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drawings/drawing1.xml" ContentType="application/vnd.openxmlformats-officedocument.drawingml.chartshapes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drawings/drawing2.xml" ContentType="application/vnd.openxmlformats-officedocument.drawingml.chartshapes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drawings/drawing3.xml" ContentType="application/vnd.openxmlformats-officedocument.drawingml.chartshapes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drawings/drawing4.xml" ContentType="application/vnd.openxmlformats-officedocument.drawingml.chartshapes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drawings/drawing5.xml" ContentType="application/vnd.openxmlformats-officedocument.drawingml.chartshapes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rawings/drawing6.xml" ContentType="application/vnd.openxmlformats-officedocument.drawingml.chartshapes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drawings/drawing7.xml" ContentType="application/vnd.openxmlformats-officedocument.drawingml.chartshapes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drawings/drawing8.xml" ContentType="application/vnd.openxmlformats-officedocument.drawingml.chartshapes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drawings/drawing9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Pr="002357C5" w:rsidRDefault="00AD77DF" w:rsidP="00AD77DF">
      <w:pPr>
        <w:ind w:right="141"/>
        <w:jc w:val="right"/>
        <w:rPr>
          <w:rFonts w:ascii="Arial" w:hAnsi="Arial" w:cs="Arial"/>
          <w:b/>
          <w:spacing w:val="120"/>
          <w:sz w:val="48"/>
          <w:szCs w:val="48"/>
        </w:rPr>
      </w:pPr>
      <w:r w:rsidRPr="002357C5">
        <w:rPr>
          <w:rFonts w:ascii="Arial" w:hAnsi="Arial" w:cs="Arial"/>
          <w:b/>
          <w:spacing w:val="120"/>
          <w:sz w:val="48"/>
          <w:szCs w:val="48"/>
        </w:rPr>
        <w:t>GRAFY</w:t>
      </w: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AD77DF" w:rsidRDefault="00AD77DF" w:rsidP="000C4667">
      <w:pPr>
        <w:ind w:right="141"/>
        <w:jc w:val="right"/>
        <w:rPr>
          <w:rFonts w:ascii="Arial" w:hAnsi="Arial" w:cs="Arial"/>
          <w:b/>
        </w:rPr>
      </w:pPr>
    </w:p>
    <w:p w:rsidR="00B91C66" w:rsidRDefault="001B575C" w:rsidP="000C4667">
      <w:pPr>
        <w:ind w:right="141"/>
        <w:rPr>
          <w:noProof/>
          <w:lang w:eastAsia="sk-SK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42104</wp:posOffset>
                </wp:positionV>
                <wp:extent cx="317241" cy="335902"/>
                <wp:effectExtent l="0" t="0" r="6985" b="7620"/>
                <wp:wrapNone/>
                <wp:docPr id="8" name="Textové po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241" cy="3359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B575C" w:rsidRPr="001B575C" w:rsidRDefault="001B575C">
                            <w:pPr>
                              <w:rPr>
                                <w:sz w:val="24"/>
                              </w:rPr>
                            </w:pPr>
                            <w:r w:rsidRPr="001B575C">
                              <w:rPr>
                                <w:sz w:val="24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8" o:spid="_x0000_s1026" type="#_x0000_t202" style="position:absolute;margin-left:3.3pt;margin-top:3.3pt;width:25pt;height:26.4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" fillcolor="white [3201]" stroked="f" strokeweight=".5pt">
                <v:textbox>
                  <w:txbxContent>
                    <w:p w:rsidR="001B575C" w:rsidRPr="001B575C" w:rsidRDefault="001B575C">
                      <w:pPr>
                        <w:rPr>
                          <w:sz w:val="24"/>
                        </w:rPr>
                      </w:pPr>
                      <w:r w:rsidRPr="001B575C">
                        <w:rPr>
                          <w:sz w:val="24"/>
                        </w:rPr>
                        <w:t>%</w:t>
                      </w:r>
                    </w:p>
                  </w:txbxContent>
                </v:textbox>
              </v:shape>
            </w:pict>
          </mc:Fallback>
        </mc:AlternateContent>
      </w:r>
      <w:r w:rsidR="00B91C66">
        <w:rPr>
          <w:noProof/>
          <w:lang w:eastAsia="sk-SK"/>
        </w:rPr>
        <w:drawing>
          <wp:inline distT="0" distB="0" distL="0" distR="0" wp14:anchorId="4B9EEEF1" wp14:editId="2B4161DA">
            <wp:extent cx="5991225" cy="4227443"/>
            <wp:effectExtent l="0" t="0" r="9525" b="1905"/>
            <wp:docPr id="2" name="Graf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:rsidR="00DE70CD" w:rsidRDefault="00DE70CD" w:rsidP="000C4667">
      <w:pPr>
        <w:ind w:right="141"/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 wp14:anchorId="0653BAEC" wp14:editId="5536913A">
            <wp:extent cx="5991225" cy="4213733"/>
            <wp:effectExtent l="0" t="0" r="9525" b="15875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B91C66" w:rsidRDefault="00B91C66" w:rsidP="000C4667">
      <w:pPr>
        <w:ind w:right="141"/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 wp14:anchorId="2D153CDD" wp14:editId="22CCAB66">
            <wp:extent cx="5960745" cy="4214191"/>
            <wp:effectExtent l="0" t="0" r="1905" b="15240"/>
            <wp:docPr id="3" name="Graf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r w:rsidR="00AE1DD4" w:rsidRPr="00AE1DD4">
        <w:rPr>
          <w:noProof/>
          <w:lang w:eastAsia="sk-SK"/>
        </w:rPr>
        <w:t xml:space="preserve"> </w:t>
      </w:r>
    </w:p>
    <w:p w:rsidR="00F8269C" w:rsidRDefault="00F8269C" w:rsidP="000C4667">
      <w:pPr>
        <w:ind w:right="141"/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 wp14:anchorId="26130340" wp14:editId="42706792">
            <wp:extent cx="5976620" cy="4213733"/>
            <wp:effectExtent l="0" t="0" r="5080" b="15875"/>
            <wp:docPr id="5" name="Graf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1762EB" w:rsidRDefault="00DE70CD" w:rsidP="000C4667">
      <w:pPr>
        <w:ind w:right="141"/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 wp14:anchorId="6D422427" wp14:editId="1D71DD63">
            <wp:extent cx="5925312" cy="4187825"/>
            <wp:effectExtent l="0" t="0" r="18415" b="3175"/>
            <wp:docPr id="6" name="Graf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F8269C" w:rsidRDefault="001762EB" w:rsidP="000C4667">
      <w:pPr>
        <w:ind w:right="141"/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 wp14:anchorId="3446E420" wp14:editId="1EAA6C34">
            <wp:extent cx="5925185" cy="4213733"/>
            <wp:effectExtent l="0" t="0" r="18415" b="15875"/>
            <wp:docPr id="7" name="Graf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004DCF" w:rsidRDefault="00FF2E8E" w:rsidP="000C4667">
      <w:pPr>
        <w:ind w:right="141"/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 wp14:anchorId="1B277313" wp14:editId="53765E3E">
            <wp:extent cx="5760720" cy="4021088"/>
            <wp:effectExtent l="0" t="0" r="11430" b="17780"/>
            <wp:docPr id="10" name="Graf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B21A60" w:rsidRDefault="00B21A60" w:rsidP="000C4667">
      <w:pPr>
        <w:ind w:right="141"/>
        <w:rPr>
          <w:noProof/>
          <w:lang w:eastAsia="sk-SK"/>
        </w:rPr>
      </w:pPr>
    </w:p>
    <w:p w:rsidR="00F96E8B" w:rsidRDefault="00FF2E8E" w:rsidP="00F96E8B">
      <w:pPr>
        <w:ind w:right="141"/>
        <w:rPr>
          <w:rFonts w:ascii="Arial" w:hAnsi="Arial" w:cs="Arial"/>
          <w:b/>
        </w:rPr>
      </w:pPr>
      <w:r>
        <w:rPr>
          <w:noProof/>
          <w:lang w:eastAsia="sk-SK"/>
        </w:rPr>
        <w:drawing>
          <wp:inline distT="0" distB="0" distL="0" distR="0" wp14:anchorId="246FF144" wp14:editId="758793DE">
            <wp:extent cx="5760720" cy="4002966"/>
            <wp:effectExtent l="0" t="0" r="11430" b="17145"/>
            <wp:docPr id="1" name="Graf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FF2E8E" w:rsidRDefault="00FF2E8E" w:rsidP="00F96E8B">
      <w:pPr>
        <w:ind w:right="141"/>
        <w:rPr>
          <w:rFonts w:ascii="Arial" w:hAnsi="Arial" w:cs="Arial"/>
          <w:b/>
        </w:rPr>
      </w:pPr>
    </w:p>
    <w:p w:rsidR="00FF2E8E" w:rsidRDefault="00FF2E8E" w:rsidP="00F96E8B">
      <w:pPr>
        <w:ind w:right="141"/>
        <w:rPr>
          <w:rFonts w:ascii="Arial" w:hAnsi="Arial" w:cs="Arial"/>
          <w:b/>
        </w:rPr>
      </w:pPr>
      <w:r>
        <w:rPr>
          <w:noProof/>
          <w:lang w:eastAsia="sk-SK"/>
        </w:rPr>
        <w:drawing>
          <wp:inline distT="0" distB="0" distL="0" distR="0" wp14:anchorId="25FCD896" wp14:editId="700DB746">
            <wp:extent cx="5760720" cy="4045938"/>
            <wp:effectExtent l="0" t="0" r="11430" b="12065"/>
            <wp:docPr id="13" name="Graf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F96E8B" w:rsidRDefault="00F96E8B" w:rsidP="00F96E8B">
      <w:pPr>
        <w:ind w:right="141"/>
        <w:rPr>
          <w:rFonts w:ascii="Arial" w:hAnsi="Arial" w:cs="Arial"/>
          <w:b/>
        </w:rPr>
      </w:pPr>
    </w:p>
    <w:p w:rsidR="00F96E8B" w:rsidRDefault="00FF2E8E" w:rsidP="00F96E8B">
      <w:pPr>
        <w:ind w:right="141"/>
        <w:rPr>
          <w:rFonts w:ascii="Arial" w:hAnsi="Arial" w:cs="Arial"/>
          <w:b/>
        </w:rPr>
      </w:pPr>
      <w:r>
        <w:rPr>
          <w:noProof/>
          <w:lang w:eastAsia="sk-SK"/>
        </w:rPr>
        <w:drawing>
          <wp:inline distT="0" distB="0" distL="0" distR="0" wp14:anchorId="240BC6D1" wp14:editId="72D6F6EC">
            <wp:extent cx="5760720" cy="4019192"/>
            <wp:effectExtent l="0" t="0" r="11430" b="635"/>
            <wp:docPr id="19" name="Graf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FF2E8E" w:rsidRDefault="00FF2E8E" w:rsidP="00F96E8B">
      <w:pPr>
        <w:ind w:right="141"/>
        <w:rPr>
          <w:rFonts w:ascii="Arial" w:hAnsi="Arial" w:cs="Arial"/>
          <w:b/>
        </w:rPr>
      </w:pPr>
    </w:p>
    <w:p w:rsidR="00FF2E8E" w:rsidRDefault="00FF2E8E" w:rsidP="00F96E8B">
      <w:pPr>
        <w:ind w:right="141"/>
        <w:rPr>
          <w:rFonts w:ascii="Arial" w:hAnsi="Arial" w:cs="Arial"/>
          <w:b/>
        </w:rPr>
      </w:pPr>
      <w:r>
        <w:rPr>
          <w:noProof/>
          <w:lang w:eastAsia="sk-SK"/>
        </w:rPr>
        <w:drawing>
          <wp:inline distT="0" distB="0" distL="0" distR="0" wp14:anchorId="1136604E" wp14:editId="6E19436F">
            <wp:extent cx="5760720" cy="4052352"/>
            <wp:effectExtent l="0" t="0" r="11430" b="5715"/>
            <wp:docPr id="20" name="Graf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F96E8B" w:rsidRDefault="00F96E8B" w:rsidP="00F96E8B">
      <w:pPr>
        <w:ind w:right="141"/>
        <w:rPr>
          <w:rFonts w:ascii="Arial" w:hAnsi="Arial" w:cs="Arial"/>
          <w:b/>
        </w:rPr>
      </w:pPr>
    </w:p>
    <w:p w:rsidR="00F96E8B" w:rsidRDefault="00FF2E8E" w:rsidP="00F96E8B">
      <w:pPr>
        <w:ind w:right="141"/>
        <w:rPr>
          <w:rFonts w:ascii="Arial" w:hAnsi="Arial" w:cs="Arial"/>
          <w:b/>
        </w:rPr>
      </w:pPr>
      <w:r>
        <w:rPr>
          <w:noProof/>
          <w:lang w:eastAsia="sk-SK"/>
        </w:rPr>
        <w:drawing>
          <wp:inline distT="0" distB="0" distL="0" distR="0" wp14:anchorId="64E9703A" wp14:editId="6A834A7E">
            <wp:extent cx="5760720" cy="4088273"/>
            <wp:effectExtent l="0" t="0" r="11430" b="7620"/>
            <wp:docPr id="21" name="Graf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F96E8B" w:rsidRDefault="00F96E8B" w:rsidP="00F96E8B">
      <w:pPr>
        <w:ind w:right="141"/>
        <w:rPr>
          <w:rFonts w:ascii="Arial" w:hAnsi="Arial" w:cs="Arial"/>
          <w:b/>
        </w:rPr>
      </w:pPr>
    </w:p>
    <w:p w:rsidR="00F96E8B" w:rsidRDefault="00F96E8B" w:rsidP="00F96E8B">
      <w:pPr>
        <w:ind w:right="141"/>
        <w:rPr>
          <w:rFonts w:ascii="Arial" w:hAnsi="Arial" w:cs="Arial"/>
          <w:b/>
        </w:rPr>
      </w:pPr>
    </w:p>
    <w:p w:rsidR="00F96E8B" w:rsidRDefault="00F96E8B" w:rsidP="00F96E8B">
      <w:pPr>
        <w:ind w:right="141"/>
        <w:rPr>
          <w:rFonts w:ascii="Arial" w:hAnsi="Arial" w:cs="Arial"/>
          <w:b/>
        </w:rPr>
      </w:pPr>
    </w:p>
    <w:p w:rsidR="00682CE5" w:rsidRDefault="00682CE5" w:rsidP="00F96E8B">
      <w:pPr>
        <w:ind w:right="141"/>
        <w:rPr>
          <w:rFonts w:ascii="Arial" w:hAnsi="Arial" w:cs="Arial"/>
          <w:b/>
        </w:rPr>
      </w:pPr>
    </w:p>
    <w:p w:rsidR="0071152A" w:rsidRDefault="0071152A" w:rsidP="00F96E8B">
      <w:pPr>
        <w:ind w:right="141"/>
        <w:rPr>
          <w:rFonts w:ascii="Arial" w:hAnsi="Arial" w:cs="Arial"/>
          <w:b/>
        </w:rPr>
      </w:pPr>
    </w:p>
    <w:p w:rsidR="0071152A" w:rsidRDefault="0071152A" w:rsidP="00F96E8B">
      <w:pPr>
        <w:ind w:right="141"/>
        <w:rPr>
          <w:rFonts w:ascii="Arial" w:hAnsi="Arial" w:cs="Arial"/>
          <w:b/>
        </w:rPr>
      </w:pPr>
    </w:p>
    <w:p w:rsidR="0071152A" w:rsidRDefault="0071152A" w:rsidP="00F96E8B">
      <w:pPr>
        <w:ind w:right="141"/>
        <w:rPr>
          <w:rFonts w:ascii="Arial" w:hAnsi="Arial" w:cs="Arial"/>
          <w:b/>
        </w:rPr>
      </w:pPr>
    </w:p>
    <w:p w:rsidR="0071152A" w:rsidRDefault="0071152A" w:rsidP="00F96E8B">
      <w:pPr>
        <w:ind w:right="141"/>
        <w:rPr>
          <w:rFonts w:ascii="Arial" w:hAnsi="Arial" w:cs="Arial"/>
          <w:b/>
        </w:rPr>
      </w:pPr>
    </w:p>
    <w:p w:rsidR="0071152A" w:rsidRDefault="0071152A" w:rsidP="00F96E8B">
      <w:pPr>
        <w:ind w:right="141"/>
        <w:rPr>
          <w:rFonts w:ascii="Arial" w:hAnsi="Arial" w:cs="Arial"/>
          <w:b/>
        </w:rPr>
      </w:pPr>
    </w:p>
    <w:p w:rsidR="00A71B7D" w:rsidRDefault="00A71B7D" w:rsidP="00F96E8B">
      <w:pPr>
        <w:ind w:right="141"/>
        <w:rPr>
          <w:rFonts w:ascii="Arial" w:hAnsi="Arial" w:cs="Arial"/>
          <w:b/>
        </w:rPr>
      </w:pPr>
    </w:p>
    <w:p w:rsidR="00A71B7D" w:rsidRDefault="00A71B7D" w:rsidP="00F96E8B">
      <w:pPr>
        <w:ind w:right="141"/>
        <w:rPr>
          <w:rFonts w:ascii="Arial" w:hAnsi="Arial" w:cs="Arial"/>
          <w:b/>
        </w:rPr>
      </w:pPr>
    </w:p>
    <w:p w:rsidR="00A71B7D" w:rsidRDefault="00A71B7D" w:rsidP="00F96E8B">
      <w:pPr>
        <w:ind w:right="141"/>
        <w:rPr>
          <w:rFonts w:ascii="Arial" w:hAnsi="Arial" w:cs="Arial"/>
          <w:b/>
        </w:rPr>
      </w:pPr>
    </w:p>
    <w:p w:rsidR="00A71B7D" w:rsidRDefault="00A71B7D" w:rsidP="00F96E8B">
      <w:pPr>
        <w:ind w:right="141"/>
        <w:rPr>
          <w:rFonts w:ascii="Arial" w:hAnsi="Arial" w:cs="Arial"/>
          <w:b/>
        </w:rPr>
      </w:pPr>
    </w:p>
    <w:p w:rsidR="00A71B7D" w:rsidRDefault="00A71B7D" w:rsidP="00F96E8B">
      <w:pPr>
        <w:ind w:right="141"/>
        <w:rPr>
          <w:rFonts w:ascii="Arial" w:hAnsi="Arial" w:cs="Arial"/>
          <w:b/>
        </w:rPr>
      </w:pPr>
    </w:p>
    <w:p w:rsidR="00E37F29" w:rsidRPr="002357C5" w:rsidRDefault="008F624E" w:rsidP="00F96E8B">
      <w:pPr>
        <w:ind w:right="141"/>
        <w:rPr>
          <w:rFonts w:ascii="Arial" w:hAnsi="Arial" w:cs="Arial"/>
          <w:b/>
          <w:spacing w:val="120"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 xml:space="preserve">                 </w:t>
      </w:r>
      <w:r w:rsidR="002357C5">
        <w:rPr>
          <w:rFonts w:ascii="Arial" w:hAnsi="Arial" w:cs="Arial"/>
          <w:b/>
          <w:sz w:val="48"/>
          <w:szCs w:val="48"/>
        </w:rPr>
        <w:t xml:space="preserve">   </w:t>
      </w:r>
      <w:r w:rsidRPr="002357C5">
        <w:rPr>
          <w:rFonts w:ascii="Arial" w:hAnsi="Arial" w:cs="Arial"/>
          <w:b/>
          <w:spacing w:val="120"/>
          <w:sz w:val="48"/>
          <w:szCs w:val="48"/>
        </w:rPr>
        <w:t xml:space="preserve">TEMATICKÉ </w:t>
      </w:r>
      <w:r w:rsidR="002357C5">
        <w:rPr>
          <w:rFonts w:ascii="Arial" w:hAnsi="Arial" w:cs="Arial"/>
          <w:b/>
          <w:spacing w:val="120"/>
          <w:sz w:val="48"/>
          <w:szCs w:val="48"/>
        </w:rPr>
        <w:t xml:space="preserve"> </w:t>
      </w:r>
      <w:r w:rsidRPr="002357C5">
        <w:rPr>
          <w:rFonts w:ascii="Arial" w:hAnsi="Arial" w:cs="Arial"/>
          <w:b/>
          <w:spacing w:val="120"/>
          <w:sz w:val="48"/>
          <w:szCs w:val="48"/>
        </w:rPr>
        <w:t>MAPY</w:t>
      </w:r>
    </w:p>
    <w:p w:rsidR="00E37F29" w:rsidRDefault="00E37F29" w:rsidP="004B6168">
      <w:pPr>
        <w:rPr>
          <w:rFonts w:ascii="Arial" w:hAnsi="Arial" w:cs="Arial"/>
          <w:b/>
          <w:sz w:val="48"/>
          <w:szCs w:val="48"/>
        </w:rPr>
        <w:sectPr w:rsidR="00E37F29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Arial" w:hAnsi="Arial" w:cs="Arial"/>
          <w:b/>
          <w:sz w:val="48"/>
          <w:szCs w:val="48"/>
        </w:rPr>
        <w:br w:type="page"/>
      </w:r>
    </w:p>
    <w:p w:rsidR="00E37F29" w:rsidRDefault="00EB6113" w:rsidP="00E37F29">
      <w:pPr>
        <w:ind w:right="141"/>
        <w:jc w:val="center"/>
        <w:rPr>
          <w:rFonts w:ascii="Arial" w:hAnsi="Arial" w:cs="Arial"/>
          <w:b/>
          <w:sz w:val="48"/>
          <w:szCs w:val="48"/>
        </w:rPr>
        <w:sectPr w:rsidR="00E37F29" w:rsidSect="00E37F29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r>
        <w:rPr>
          <w:noProof/>
          <w:lang w:eastAsia="sk-SK"/>
        </w:rPr>
        <w:t xml:space="preserve"> </w:t>
      </w:r>
      <w:r w:rsidR="004B6168" w:rsidRPr="004B6168">
        <w:rPr>
          <w:noProof/>
          <w:lang w:eastAsia="sk-SK"/>
        </w:rPr>
        <w:drawing>
          <wp:inline distT="0" distB="0" distL="0" distR="0">
            <wp:extent cx="8891270" cy="6286437"/>
            <wp:effectExtent l="0" t="0" r="5080" b="635"/>
            <wp:docPr id="22" name="Obrázok 22" descr="D:\SAS\PUBLIKACIA\2020\DEF\DEF\EU_silc20-0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AS\PUBLIKACIA\2020\DEF\DEF\EU_silc20-01-0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6286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113" w:rsidRDefault="004B6168" w:rsidP="00EB6113">
      <w:pPr>
        <w:ind w:right="141"/>
        <w:jc w:val="center"/>
        <w:rPr>
          <w:rFonts w:ascii="Arial" w:hAnsi="Arial" w:cs="Arial"/>
          <w:b/>
          <w:sz w:val="48"/>
          <w:szCs w:val="48"/>
        </w:rPr>
        <w:sectPr w:rsidR="00EB6113" w:rsidSect="00EB6113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r w:rsidRPr="004B6168">
        <w:rPr>
          <w:rFonts w:ascii="Arial" w:hAnsi="Arial" w:cs="Arial"/>
          <w:b/>
          <w:noProof/>
          <w:sz w:val="48"/>
          <w:szCs w:val="48"/>
          <w:lang w:eastAsia="sk-SK"/>
        </w:rPr>
        <w:drawing>
          <wp:inline distT="0" distB="0" distL="0" distR="0">
            <wp:extent cx="8891270" cy="6286437"/>
            <wp:effectExtent l="0" t="0" r="5080" b="635"/>
            <wp:docPr id="23" name="Obrázok 23" descr="D:\SAS\PUBLIKACIA\2020\DEF\DEF\Mier_r_ch_silc20_final-02-0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AS\PUBLIKACIA\2020\DEF\DEF\Mier_r_ch_silc20_final-02-01-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6286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113" w:rsidRDefault="004B6168" w:rsidP="00EB6113">
      <w:pPr>
        <w:ind w:right="141"/>
        <w:jc w:val="center"/>
        <w:rPr>
          <w:rFonts w:ascii="Arial" w:hAnsi="Arial" w:cs="Arial"/>
          <w:b/>
          <w:sz w:val="48"/>
          <w:szCs w:val="48"/>
        </w:rPr>
        <w:sectPr w:rsidR="00EB6113" w:rsidSect="00EB6113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r w:rsidRPr="004B6168">
        <w:rPr>
          <w:rFonts w:ascii="Arial" w:hAnsi="Arial" w:cs="Arial"/>
          <w:b/>
          <w:noProof/>
          <w:sz w:val="48"/>
          <w:szCs w:val="48"/>
          <w:lang w:eastAsia="sk-SK"/>
        </w:rPr>
        <w:drawing>
          <wp:inline distT="0" distB="0" distL="0" distR="0">
            <wp:extent cx="8891270" cy="6286437"/>
            <wp:effectExtent l="0" t="0" r="5080" b="635"/>
            <wp:docPr id="24" name="Obrázok 24" descr="D:\SAS\PUBLIKACIA\2020\DEF\DEF\s80_s20_silc20_final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AS\PUBLIKACIA\2020\DEF\DEF\s80_s20_silc20_final-0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6286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96E8B" w:rsidRDefault="00C41096" w:rsidP="00EB6113">
      <w:pPr>
        <w:ind w:right="141"/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noProof/>
          <w:sz w:val="48"/>
          <w:szCs w:val="48"/>
          <w:lang w:eastAsia="sk-SK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40.4pt;height:452.85pt">
            <v:imagedata r:id="rId20" o:title="gini_silc20-01"/>
          </v:shape>
        </w:pict>
      </w:r>
      <w:r w:rsidR="00EB6113">
        <w:rPr>
          <w:rFonts w:ascii="Arial" w:hAnsi="Arial" w:cs="Arial"/>
          <w:b/>
          <w:sz w:val="48"/>
          <w:szCs w:val="48"/>
        </w:rPr>
        <w:t xml:space="preserve"> </w:t>
      </w:r>
    </w:p>
    <w:p w:rsidR="00EB6113" w:rsidRDefault="004B6168" w:rsidP="00EB6113">
      <w:pPr>
        <w:ind w:right="141"/>
        <w:jc w:val="center"/>
        <w:rPr>
          <w:rFonts w:ascii="Arial" w:hAnsi="Arial" w:cs="Arial"/>
          <w:b/>
          <w:sz w:val="48"/>
          <w:szCs w:val="48"/>
        </w:rPr>
      </w:pPr>
      <w:r w:rsidRPr="004B6168">
        <w:rPr>
          <w:rFonts w:ascii="Arial" w:hAnsi="Arial" w:cs="Arial"/>
          <w:b/>
          <w:noProof/>
          <w:sz w:val="48"/>
          <w:szCs w:val="48"/>
          <w:lang w:eastAsia="sk-SK"/>
        </w:rPr>
        <w:drawing>
          <wp:inline distT="0" distB="0" distL="0" distR="0">
            <wp:extent cx="8891270" cy="6286437"/>
            <wp:effectExtent l="0" t="0" r="5080" b="635"/>
            <wp:docPr id="26" name="Obrázok 26" descr="D:\SAS\PUBLIKACIA\2020\DEF\DEF\LWI_silc20-0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AS\PUBLIKACIA\2020\DEF\DEF\LWI_silc20-01-0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6286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6113" w:rsidSect="00EB6113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AMO_ReportControlsVisible" w:val="Empty"/>
    <w:docVar w:name="_AMO_UniqueIdentifier" w:val="0e51e46b-3102-43df-bce7-c07227aea6c0"/>
  </w:docVars>
  <w:rsids>
    <w:rsidRoot w:val="000C4667"/>
    <w:rsid w:val="00004DCF"/>
    <w:rsid w:val="000662BB"/>
    <w:rsid w:val="0008613E"/>
    <w:rsid w:val="000A6398"/>
    <w:rsid w:val="000C4667"/>
    <w:rsid w:val="001762EB"/>
    <w:rsid w:val="00180821"/>
    <w:rsid w:val="00197C2F"/>
    <w:rsid w:val="001B575C"/>
    <w:rsid w:val="001D6A5D"/>
    <w:rsid w:val="001D71BC"/>
    <w:rsid w:val="002357C5"/>
    <w:rsid w:val="0024495E"/>
    <w:rsid w:val="002713A5"/>
    <w:rsid w:val="00304FC5"/>
    <w:rsid w:val="00323A1D"/>
    <w:rsid w:val="003377B8"/>
    <w:rsid w:val="00373AFA"/>
    <w:rsid w:val="003774F2"/>
    <w:rsid w:val="003F1AE1"/>
    <w:rsid w:val="003F4378"/>
    <w:rsid w:val="00451A8B"/>
    <w:rsid w:val="004B6168"/>
    <w:rsid w:val="00547514"/>
    <w:rsid w:val="00547935"/>
    <w:rsid w:val="00617C8F"/>
    <w:rsid w:val="006417C7"/>
    <w:rsid w:val="00682CE5"/>
    <w:rsid w:val="006A09AF"/>
    <w:rsid w:val="006F4CF5"/>
    <w:rsid w:val="0071152A"/>
    <w:rsid w:val="00794C7B"/>
    <w:rsid w:val="007B2AF0"/>
    <w:rsid w:val="007E76BE"/>
    <w:rsid w:val="00865688"/>
    <w:rsid w:val="00890B99"/>
    <w:rsid w:val="008F624E"/>
    <w:rsid w:val="0097182F"/>
    <w:rsid w:val="009D7115"/>
    <w:rsid w:val="009E41FE"/>
    <w:rsid w:val="00A13290"/>
    <w:rsid w:val="00A6258C"/>
    <w:rsid w:val="00A71B7D"/>
    <w:rsid w:val="00AD63D8"/>
    <w:rsid w:val="00AD77DF"/>
    <w:rsid w:val="00AE1DD4"/>
    <w:rsid w:val="00AE6DF0"/>
    <w:rsid w:val="00B21A60"/>
    <w:rsid w:val="00B91C66"/>
    <w:rsid w:val="00BB34EE"/>
    <w:rsid w:val="00C11DBC"/>
    <w:rsid w:val="00C41096"/>
    <w:rsid w:val="00CF7D3A"/>
    <w:rsid w:val="00D41016"/>
    <w:rsid w:val="00DA1472"/>
    <w:rsid w:val="00DE70CD"/>
    <w:rsid w:val="00E13AC9"/>
    <w:rsid w:val="00E13B05"/>
    <w:rsid w:val="00E37F29"/>
    <w:rsid w:val="00E83B06"/>
    <w:rsid w:val="00EB6113"/>
    <w:rsid w:val="00F429CA"/>
    <w:rsid w:val="00F8269C"/>
    <w:rsid w:val="00F96E8B"/>
    <w:rsid w:val="00FF2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C8EA3A"/>
  <w15:docId w15:val="{F9D505FC-57FE-486D-B5DB-B15555133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0C46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C46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4.xml"/><Relationship Id="rId13" Type="http://schemas.openxmlformats.org/officeDocument/2006/relationships/chart" Target="charts/chart9.xml"/><Relationship Id="rId18" Type="http://schemas.openxmlformats.org/officeDocument/2006/relationships/image" Target="media/image2.jpeg"/><Relationship Id="rId3" Type="http://schemas.openxmlformats.org/officeDocument/2006/relationships/settings" Target="settings.xml"/><Relationship Id="rId21" Type="http://schemas.openxmlformats.org/officeDocument/2006/relationships/image" Target="media/image5.jpeg"/><Relationship Id="rId7" Type="http://schemas.openxmlformats.org/officeDocument/2006/relationships/chart" Target="charts/chart3.xml"/><Relationship Id="rId12" Type="http://schemas.openxmlformats.org/officeDocument/2006/relationships/chart" Target="charts/chart8.xml"/><Relationship Id="rId1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chart" Target="charts/chart12.xml"/><Relationship Id="rId20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chart" Target="charts/chart2.xml"/><Relationship Id="rId11" Type="http://schemas.openxmlformats.org/officeDocument/2006/relationships/chart" Target="charts/chart7.xml"/><Relationship Id="rId5" Type="http://schemas.openxmlformats.org/officeDocument/2006/relationships/chart" Target="charts/chart1.xml"/><Relationship Id="rId15" Type="http://schemas.openxmlformats.org/officeDocument/2006/relationships/chart" Target="charts/chart11.xml"/><Relationship Id="rId23" Type="http://schemas.openxmlformats.org/officeDocument/2006/relationships/theme" Target="theme/theme1.xml"/><Relationship Id="rId10" Type="http://schemas.openxmlformats.org/officeDocument/2006/relationships/chart" Target="charts/chart6.xml"/><Relationship Id="rId19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chart" Target="charts/chart5.xml"/><Relationship Id="rId14" Type="http://schemas.openxmlformats.org/officeDocument/2006/relationships/chart" Target="charts/chart10.xml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Grafy_publikacia%202020_Ukropo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AppData\Local\Microsoft\Windows\INetCache\Content.Outlook\0MRMWKII\DEF_Grafy%20do%20publik&#225;cie%202020.xlsx" TargetMode="Externa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chartUserShapes" Target="../drawings/drawing1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Grafy_publikacia%202020_Ukropo.xlsx" TargetMode="Externa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chartUserShapes" Target="../drawings/drawing2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Grafy_publikacia%202020_Ukropo.xlsx" TargetMode="Externa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chartUserShapes" Target="../drawings/drawing3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AppData\Local\Microsoft\Windows\INetCache\Content.Outlook\0MRMWKII\DEF_Grafy%20do%20publik&#225;cie%2020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AppData\Local\Microsoft\Windows\INetCache\Content.Outlook\0MRMWKII\DEF_Grafy%20do%20publik&#225;cie%202020.xlsx" TargetMode="Externa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chartUserShapes" Target="../drawings/drawing4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DEF_Grafy%20do%20publik&#225;cie%202020_2_doplnenie.xlsx" TargetMode="External"/><Relationship Id="rId2" Type="http://schemas.microsoft.com/office/2011/relationships/chartColorStyle" Target="colors7.xml"/><Relationship Id="rId1" Type="http://schemas.microsoft.com/office/2011/relationships/chartStyle" Target="style7.xml"/><Relationship Id="rId4" Type="http://schemas.openxmlformats.org/officeDocument/2006/relationships/chartUserShapes" Target="../drawings/drawing5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DEF_Grafy%20do%20publik&#225;cie%202020_2_doplnenie.xlsx" TargetMode="External"/><Relationship Id="rId2" Type="http://schemas.microsoft.com/office/2011/relationships/chartColorStyle" Target="colors8.xml"/><Relationship Id="rId1" Type="http://schemas.microsoft.com/office/2011/relationships/chartStyle" Target="style8.xml"/><Relationship Id="rId4" Type="http://schemas.openxmlformats.org/officeDocument/2006/relationships/chartUserShapes" Target="../drawings/drawing6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DEF_Grafy%20do%20publik&#225;cie%202020_2_doplnenie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DEF_Grafy%20do%20publik&#225;cie%202020_2_doplnenie.xlsx" TargetMode="Externa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chartUserShapes" Target="../drawings/drawing7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DEF_Grafy%20do%20publik&#225;cie%202020_3_doplnenie.xlsx" TargetMode="External"/><Relationship Id="rId2" Type="http://schemas.microsoft.com/office/2011/relationships/chartColorStyle" Target="colors11.xml"/><Relationship Id="rId1" Type="http://schemas.microsoft.com/office/2011/relationships/chartStyle" Target="style11.xml"/><Relationship Id="rId4" Type="http://schemas.openxmlformats.org/officeDocument/2006/relationships/chartUserShapes" Target="../drawings/drawing8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kropo\Documents\Moje%20dokumenty%20Ela\EU%20SILC\2020\Publikacia\DEF_Grafy%20do%20publik&#225;cie%202020_3_doplnenie.xlsx" TargetMode="External"/><Relationship Id="rId2" Type="http://schemas.microsoft.com/office/2011/relationships/chartColorStyle" Target="colors12.xml"/><Relationship Id="rId1" Type="http://schemas.microsoft.com/office/2011/relationships/chartStyle" Target="style12.xml"/><Relationship Id="rId4" Type="http://schemas.openxmlformats.org/officeDocument/2006/relationships/chartUserShapes" Target="../drawings/drawing9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sk-SK" sz="105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rPr>
              <a:t>Graf 1. Miera rizika chudoby v členení podľa krajov</a:t>
            </a:r>
          </a:p>
          <a:p>
            <a:pPr>
              <a:defRPr sz="1050">
                <a:latin typeface="Arial" panose="020B0604020202020204" pitchFamily="34" charset="0"/>
                <a:cs typeface="Arial" panose="020B0604020202020204" pitchFamily="34" charset="0"/>
              </a:defRPr>
            </a:pPr>
            <a:r>
              <a:rPr lang="sk-SK" sz="1050">
                <a:latin typeface="Arial" panose="020B0604020202020204" pitchFamily="34" charset="0"/>
                <a:cs typeface="Arial" panose="020B0604020202020204" pitchFamily="34" charset="0"/>
              </a:rPr>
              <a:t>EU SILC</a:t>
            </a:r>
            <a:r>
              <a:rPr lang="sk-SK" sz="1050" baseline="0">
                <a:latin typeface="Arial" panose="020B0604020202020204" pitchFamily="34" charset="0"/>
                <a:cs typeface="Arial" panose="020B0604020202020204" pitchFamily="34" charset="0"/>
              </a:rPr>
              <a:t> 2020</a:t>
            </a:r>
            <a:endParaRPr lang="en-US" sz="1050">
              <a:latin typeface="Arial" panose="020B0604020202020204" pitchFamily="34" charset="0"/>
              <a:cs typeface="Arial" panose="020B0604020202020204" pitchFamily="34" charset="0"/>
            </a:endParaRP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1'!$B$4</c:f>
              <c:strCache>
                <c:ptCount val="1"/>
                <c:pt idx="0">
                  <c:v>Miera rizika chudoby podľa krajov</c:v>
                </c:pt>
              </c:strCache>
            </c:strRef>
          </c:tx>
          <c:spPr>
            <a:solidFill>
              <a:schemeClr val="accent1"/>
            </a:solidFill>
            <a:ln>
              <a:solidFill>
                <a:schemeClr val="accent1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072D-43F1-8CE8-FE97E7FD15A8}"/>
              </c:ext>
            </c:extLst>
          </c:dPt>
          <c:dLbls>
            <c:dLbl>
              <c:idx val="0"/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0">
                  <a:spAutoFit/>
                </a:bodyPr>
                <a:lstStyle/>
                <a:p>
                  <a:pPr>
                    <a:defRPr sz="11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072D-43F1-8CE8-FE97E7FD15A8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0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accent1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 1'!$A$5:$A$13</c:f>
              <c:strCache>
                <c:ptCount val="9"/>
                <c:pt idx="0">
                  <c:v>SR</c:v>
                </c:pt>
                <c:pt idx="1">
                  <c:v>Bratislavský 
kraj</c:v>
                </c:pt>
                <c:pt idx="2">
                  <c:v>Trnavský 
kraj</c:v>
                </c:pt>
                <c:pt idx="3">
                  <c:v>Trenčiansky 
kraj</c:v>
                </c:pt>
                <c:pt idx="4">
                  <c:v>Nitriansky 
kraj</c:v>
                </c:pt>
                <c:pt idx="5">
                  <c:v>Žilinský 
kraj</c:v>
                </c:pt>
                <c:pt idx="6">
                  <c:v>Banskobystrický 
kraj</c:v>
                </c:pt>
                <c:pt idx="7">
                  <c:v>Prešovský 
kraj</c:v>
                </c:pt>
                <c:pt idx="8">
                  <c:v>Košický 
kraj</c:v>
                </c:pt>
              </c:strCache>
            </c:strRef>
          </c:cat>
          <c:val>
            <c:numRef>
              <c:f>'Graf 1'!$B$5:$B$13</c:f>
              <c:numCache>
                <c:formatCode>General</c:formatCode>
                <c:ptCount val="9"/>
                <c:pt idx="0">
                  <c:v>11.4</c:v>
                </c:pt>
                <c:pt idx="1">
                  <c:v>3.7</c:v>
                </c:pt>
                <c:pt idx="2">
                  <c:v>9</c:v>
                </c:pt>
                <c:pt idx="3">
                  <c:v>5.2</c:v>
                </c:pt>
                <c:pt idx="4" formatCode="0.0">
                  <c:v>7.2</c:v>
                </c:pt>
                <c:pt idx="5">
                  <c:v>11.6</c:v>
                </c:pt>
                <c:pt idx="6">
                  <c:v>18.3</c:v>
                </c:pt>
                <c:pt idx="7">
                  <c:v>17.2</c:v>
                </c:pt>
                <c:pt idx="8">
                  <c:v>15.8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72D-43F1-8CE8-FE97E7FD15A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20"/>
        <c:overlap val="-27"/>
        <c:axId val="263758064"/>
        <c:axId val="263763104"/>
      </c:barChart>
      <c:catAx>
        <c:axId val="2637580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63763104"/>
        <c:crosses val="autoZero"/>
        <c:auto val="1"/>
        <c:lblAlgn val="ctr"/>
        <c:lblOffset val="100"/>
        <c:noMultiLvlLbl val="0"/>
      </c:catAx>
      <c:valAx>
        <c:axId val="2637631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637580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50000"/>
          <a:lumOff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sk-SK" sz="105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rPr>
              <a:t>Graf 2. Celková miera rizika chudoby v členení podľa vekových skupín</a:t>
            </a:r>
          </a:p>
          <a:p>
            <a:pPr>
              <a:defRPr sz="1050">
                <a:latin typeface="Arial" panose="020B0604020202020204" pitchFamily="34" charset="0"/>
                <a:cs typeface="Arial" panose="020B0604020202020204" pitchFamily="34" charset="0"/>
              </a:defRPr>
            </a:pPr>
            <a:r>
              <a:rPr lang="sk-SK" sz="1050">
                <a:latin typeface="Arial" panose="020B0604020202020204" pitchFamily="34" charset="0"/>
                <a:cs typeface="Arial" panose="020B0604020202020204" pitchFamily="34" charset="0"/>
              </a:rPr>
              <a:t>EU SILC</a:t>
            </a:r>
            <a:r>
              <a:rPr lang="sk-SK" sz="1050" baseline="0">
                <a:latin typeface="Arial" panose="020B0604020202020204" pitchFamily="34" charset="0"/>
                <a:cs typeface="Arial" panose="020B0604020202020204" pitchFamily="34" charset="0"/>
              </a:rPr>
              <a:t> 2020</a:t>
            </a:r>
            <a:endParaRPr lang="en-US" sz="1050">
              <a:latin typeface="Arial" panose="020B0604020202020204" pitchFamily="34" charset="0"/>
              <a:cs typeface="Arial" panose="020B0604020202020204" pitchFamily="34" charset="0"/>
            </a:endParaRP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2_1'!$B$4</c:f>
              <c:strCache>
                <c:ptCount val="1"/>
                <c:pt idx="0">
                  <c:v>Miera rizika chudoby </c:v>
                </c:pt>
              </c:strCache>
            </c:strRef>
          </c:tx>
          <c:spPr>
            <a:solidFill>
              <a:schemeClr val="accent1"/>
            </a:solidFill>
            <a:ln>
              <a:solidFill>
                <a:schemeClr val="accent1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C235-4934-A09E-94309B3145CE}"/>
              </c:ext>
            </c:extLst>
          </c:dPt>
          <c:dLbls>
            <c:dLbl>
              <c:idx val="0"/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0">
                  <a:spAutoFit/>
                </a:bodyPr>
                <a:lstStyle/>
                <a:p>
                  <a:pPr>
                    <a:defRPr sz="11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C235-4934-A09E-94309B3145CE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0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accent1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 2_1'!$A$5:$A$10</c:f>
              <c:strCache>
                <c:ptCount val="6"/>
                <c:pt idx="0">
                  <c:v>SR</c:v>
                </c:pt>
                <c:pt idx="1">
                  <c:v>0 – 17 roční</c:v>
                </c:pt>
                <c:pt idx="2">
                  <c:v>18 – 24 roční</c:v>
                </c:pt>
                <c:pt idx="3">
                  <c:v>25 – 49 roční</c:v>
                </c:pt>
                <c:pt idx="4">
                  <c:v>50 - 64 roční</c:v>
                </c:pt>
                <c:pt idx="5">
                  <c:v>65 roční a starší </c:v>
                </c:pt>
              </c:strCache>
            </c:strRef>
          </c:cat>
          <c:val>
            <c:numRef>
              <c:f>'Graf 2_1'!$B$5:$B$10</c:f>
              <c:numCache>
                <c:formatCode>0.0</c:formatCode>
                <c:ptCount val="6"/>
                <c:pt idx="0">
                  <c:v>11.4</c:v>
                </c:pt>
                <c:pt idx="1">
                  <c:v>17</c:v>
                </c:pt>
                <c:pt idx="2">
                  <c:v>13</c:v>
                </c:pt>
                <c:pt idx="3">
                  <c:v>10.199999999999999</c:v>
                </c:pt>
                <c:pt idx="4">
                  <c:v>9.8000000000000007</c:v>
                </c:pt>
                <c:pt idx="5">
                  <c:v>9.5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235-4934-A09E-94309B3145C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20"/>
        <c:overlap val="-27"/>
        <c:axId val="263761984"/>
        <c:axId val="254082240"/>
      </c:barChart>
      <c:catAx>
        <c:axId val="2637619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54082240"/>
        <c:crosses val="autoZero"/>
        <c:auto val="1"/>
        <c:lblAlgn val="ctr"/>
        <c:lblOffset val="100"/>
        <c:noMultiLvlLbl val="0"/>
      </c:catAx>
      <c:valAx>
        <c:axId val="2540822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637619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50000"/>
          <a:lumOff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sk-SK" sz="105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rPr>
              <a:t>Graf 3. Miera rizika chudoby v členení podľa najčastejšieho statusu ekonomickej aktivity</a:t>
            </a:r>
          </a:p>
          <a:p>
            <a:pPr>
              <a:defRPr sz="1050">
                <a:latin typeface="Arial" panose="020B0604020202020204" pitchFamily="34" charset="0"/>
                <a:cs typeface="Arial" panose="020B0604020202020204" pitchFamily="34" charset="0"/>
              </a:defRPr>
            </a:pPr>
            <a:r>
              <a:rPr lang="sk-SK" sz="1050">
                <a:latin typeface="Arial" panose="020B0604020202020204" pitchFamily="34" charset="0"/>
                <a:cs typeface="Arial" panose="020B0604020202020204" pitchFamily="34" charset="0"/>
              </a:rPr>
              <a:t>EU SILC</a:t>
            </a:r>
            <a:r>
              <a:rPr lang="sk-SK" sz="1050" baseline="0">
                <a:latin typeface="Arial" panose="020B0604020202020204" pitchFamily="34" charset="0"/>
                <a:cs typeface="Arial" panose="020B0604020202020204" pitchFamily="34" charset="0"/>
              </a:rPr>
              <a:t> 2020</a:t>
            </a:r>
            <a:endParaRPr lang="en-US" sz="1050">
              <a:latin typeface="Arial" panose="020B0604020202020204" pitchFamily="34" charset="0"/>
              <a:cs typeface="Arial" panose="020B0604020202020204" pitchFamily="34" charset="0"/>
            </a:endParaRP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2'!$B$4</c:f>
              <c:strCache>
                <c:ptCount val="1"/>
                <c:pt idx="0">
                  <c:v>Miera rizika chudoby podľa ekonomickej aktivity</c:v>
                </c:pt>
              </c:strCache>
            </c:strRef>
          </c:tx>
          <c:spPr>
            <a:solidFill>
              <a:schemeClr val="accent1"/>
            </a:solidFill>
            <a:ln>
              <a:solidFill>
                <a:schemeClr val="accent1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4736-4191-84C6-E1A711F7FA8C}"/>
              </c:ext>
            </c:extLst>
          </c:dPt>
          <c:dLbls>
            <c:dLbl>
              <c:idx val="0"/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0">
                  <a:spAutoFit/>
                </a:bodyPr>
                <a:lstStyle/>
                <a:p>
                  <a:pPr>
                    <a:defRPr sz="11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4736-4191-84C6-E1A711F7FA8C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0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accent1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 2'!$A$5:$A$10</c:f>
              <c:strCache>
                <c:ptCount val="6"/>
                <c:pt idx="0">
                  <c:v>SR</c:v>
                </c:pt>
                <c:pt idx="1">
                  <c:v>pracujúci</c:v>
                </c:pt>
                <c:pt idx="2">
                  <c:v>nepracujúci</c:v>
                </c:pt>
                <c:pt idx="3">
                  <c:v>nezamestnaní</c:v>
                </c:pt>
                <c:pt idx="4">
                  <c:v>dôchodcovia</c:v>
                </c:pt>
                <c:pt idx="5">
                  <c:v>iné neaktívne osoby</c:v>
                </c:pt>
              </c:strCache>
            </c:strRef>
          </c:cat>
          <c:val>
            <c:numRef>
              <c:f>'Graf 2'!$B$5:$B$10</c:f>
              <c:numCache>
                <c:formatCode>General</c:formatCode>
                <c:ptCount val="6"/>
                <c:pt idx="0">
                  <c:v>11.4</c:v>
                </c:pt>
                <c:pt idx="1">
                  <c:v>5.2</c:v>
                </c:pt>
                <c:pt idx="2">
                  <c:v>17.3</c:v>
                </c:pt>
                <c:pt idx="3">
                  <c:v>56.1</c:v>
                </c:pt>
                <c:pt idx="4" formatCode="0.0">
                  <c:v>9.6</c:v>
                </c:pt>
                <c:pt idx="5">
                  <c:v>20.8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736-4191-84C6-E1A711F7FA8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20"/>
        <c:overlap val="-27"/>
        <c:axId val="156648560"/>
        <c:axId val="156649120"/>
      </c:barChart>
      <c:catAx>
        <c:axId val="1566485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56649120"/>
        <c:crosses val="autoZero"/>
        <c:auto val="1"/>
        <c:lblAlgn val="ctr"/>
        <c:lblOffset val="100"/>
        <c:noMultiLvlLbl val="0"/>
      </c:catAx>
      <c:valAx>
        <c:axId val="1566491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566485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50000"/>
          <a:lumOff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sk-SK" sz="105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rPr>
              <a:t>Graf 4. Miera rizika chudoby v členení podľa typu domácnosti</a:t>
            </a:r>
          </a:p>
          <a:p>
            <a:pPr>
              <a:defRPr sz="1050">
                <a:latin typeface="Arial" panose="020B0604020202020204" pitchFamily="34" charset="0"/>
                <a:cs typeface="Arial" panose="020B0604020202020204" pitchFamily="34" charset="0"/>
              </a:defRPr>
            </a:pPr>
            <a:r>
              <a:rPr lang="sk-SK" sz="1050">
                <a:latin typeface="Arial" panose="020B0604020202020204" pitchFamily="34" charset="0"/>
                <a:cs typeface="Arial" panose="020B0604020202020204" pitchFamily="34" charset="0"/>
              </a:rPr>
              <a:t>EU SILC</a:t>
            </a:r>
            <a:r>
              <a:rPr lang="sk-SK" sz="1050" baseline="0">
                <a:latin typeface="Arial" panose="020B0604020202020204" pitchFamily="34" charset="0"/>
                <a:cs typeface="Arial" panose="020B0604020202020204" pitchFamily="34" charset="0"/>
              </a:rPr>
              <a:t> 2020</a:t>
            </a:r>
            <a:endParaRPr lang="en-US" sz="1050">
              <a:latin typeface="Arial" panose="020B0604020202020204" pitchFamily="34" charset="0"/>
              <a:cs typeface="Arial" panose="020B0604020202020204" pitchFamily="34" charset="0"/>
            </a:endParaRP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3'!$B$4</c:f>
              <c:strCache>
                <c:ptCount val="1"/>
                <c:pt idx="0">
                  <c:v>Miera rizika chudoby podľa typu domácnosti</c:v>
                </c:pt>
              </c:strCache>
            </c:strRef>
          </c:tx>
          <c:spPr>
            <a:solidFill>
              <a:schemeClr val="accent1"/>
            </a:solidFill>
            <a:ln>
              <a:solidFill>
                <a:schemeClr val="accent1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F76F-4A38-B2DA-10AE1291C1BA}"/>
              </c:ext>
            </c:extLst>
          </c:dPt>
          <c:dLbls>
            <c:dLbl>
              <c:idx val="0"/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0">
                  <a:spAutoFit/>
                </a:bodyPr>
                <a:lstStyle/>
                <a:p>
                  <a:pPr>
                    <a:defRPr sz="11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F76F-4A38-B2DA-10AE1291C1BA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0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accent1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 3'!$A$5:$A$10</c:f>
              <c:strCache>
                <c:ptCount val="6"/>
                <c:pt idx="0">
                  <c:v>SR</c:v>
                </c:pt>
                <c:pt idx="1">
                  <c:v>domácnosť bez závislých detí</c:v>
                </c:pt>
                <c:pt idx="2">
                  <c:v>1 rodič, najmenej 1 závislé dieťa</c:v>
                </c:pt>
                <c:pt idx="3">
                  <c:v>2 dospelí s 1 závislým dieťaťom</c:v>
                </c:pt>
                <c:pt idx="4">
                  <c:v>2 dospelí s 2 závislými deťmi</c:v>
                </c:pt>
                <c:pt idx="5">
                  <c:v>2 dospelí s 3 a viac závislými deťmi</c:v>
                </c:pt>
              </c:strCache>
            </c:strRef>
          </c:cat>
          <c:val>
            <c:numRef>
              <c:f>'Graf 3'!$B$5:$B$10</c:f>
              <c:numCache>
                <c:formatCode>0.0</c:formatCode>
                <c:ptCount val="6"/>
                <c:pt idx="0">
                  <c:v>11.4</c:v>
                </c:pt>
                <c:pt idx="1">
                  <c:v>8</c:v>
                </c:pt>
                <c:pt idx="2">
                  <c:v>33.9</c:v>
                </c:pt>
                <c:pt idx="3">
                  <c:v>11</c:v>
                </c:pt>
                <c:pt idx="4">
                  <c:v>10.3</c:v>
                </c:pt>
                <c:pt idx="5">
                  <c:v>37.1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76F-4A38-B2DA-10AE1291C1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20"/>
        <c:overlap val="-27"/>
        <c:axId val="156648000"/>
        <c:axId val="251501904"/>
      </c:barChart>
      <c:catAx>
        <c:axId val="1566480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51501904"/>
        <c:crosses val="autoZero"/>
        <c:auto val="1"/>
        <c:lblAlgn val="ctr"/>
        <c:lblOffset val="100"/>
        <c:noMultiLvlLbl val="0"/>
      </c:catAx>
      <c:valAx>
        <c:axId val="2515019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5664800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50000"/>
          <a:lumOff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sk-SK" sz="105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rPr>
              <a:t>Graf 5. Nerovnomernosť príjmového rozdelenia: S80/S20 pomer príjmov horného a dolného kvintilu v členení podľa krajov</a:t>
            </a:r>
          </a:p>
          <a:p>
            <a:pPr>
              <a:defRPr sz="1050">
                <a:latin typeface="Arial" panose="020B0604020202020204" pitchFamily="34" charset="0"/>
                <a:cs typeface="Arial" panose="020B0604020202020204" pitchFamily="34" charset="0"/>
              </a:defRPr>
            </a:pPr>
            <a:r>
              <a:rPr lang="sk-SK" sz="1050">
                <a:latin typeface="Arial" panose="020B0604020202020204" pitchFamily="34" charset="0"/>
                <a:cs typeface="Arial" panose="020B0604020202020204" pitchFamily="34" charset="0"/>
              </a:rPr>
              <a:t>EU SILC</a:t>
            </a:r>
            <a:r>
              <a:rPr lang="sk-SK" sz="1050" baseline="0">
                <a:latin typeface="Arial" panose="020B0604020202020204" pitchFamily="34" charset="0"/>
                <a:cs typeface="Arial" panose="020B0604020202020204" pitchFamily="34" charset="0"/>
              </a:rPr>
              <a:t> 2020</a:t>
            </a:r>
            <a:endParaRPr lang="en-US" sz="1050">
              <a:latin typeface="Arial" panose="020B0604020202020204" pitchFamily="34" charset="0"/>
              <a:cs typeface="Arial" panose="020B0604020202020204" pitchFamily="34" charset="0"/>
            </a:endParaRP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4s'!$B$4</c:f>
              <c:strCache>
                <c:ptCount val="1"/>
                <c:pt idx="0">
                  <c:v>S80/S20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95C1-45E5-9F9E-BEE00B325653}"/>
              </c:ext>
            </c:extLst>
          </c:dPt>
          <c:dLbls>
            <c:dLbl>
              <c:idx val="0"/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0">
                  <a:spAutoFit/>
                </a:bodyPr>
                <a:lstStyle/>
                <a:p>
                  <a:pPr>
                    <a:defRPr sz="11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95C1-45E5-9F9E-BEE00B325653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0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accent6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 4s'!$A$5:$A$13</c:f>
              <c:strCache>
                <c:ptCount val="9"/>
                <c:pt idx="0">
                  <c:v>SR</c:v>
                </c:pt>
                <c:pt idx="1">
                  <c:v>Bratislavský 
kraj</c:v>
                </c:pt>
                <c:pt idx="2">
                  <c:v>Trnavský 
kraj</c:v>
                </c:pt>
                <c:pt idx="3">
                  <c:v>Trenčiansky 
kraj</c:v>
                </c:pt>
                <c:pt idx="4">
                  <c:v>Nitriansky 
kraj</c:v>
                </c:pt>
                <c:pt idx="5">
                  <c:v>Žilinský 
kraj</c:v>
                </c:pt>
                <c:pt idx="6">
                  <c:v>Banskobystrický 
kraj</c:v>
                </c:pt>
                <c:pt idx="7">
                  <c:v>Prešovský 
kraj</c:v>
                </c:pt>
                <c:pt idx="8">
                  <c:v>Košický 
kraj</c:v>
                </c:pt>
              </c:strCache>
            </c:strRef>
          </c:cat>
          <c:val>
            <c:numRef>
              <c:f>'Graf 4s'!$B$5:$B$13</c:f>
              <c:numCache>
                <c:formatCode>0.0</c:formatCode>
                <c:ptCount val="9"/>
                <c:pt idx="0">
                  <c:v>3</c:v>
                </c:pt>
                <c:pt idx="1">
                  <c:v>2.6</c:v>
                </c:pt>
                <c:pt idx="2">
                  <c:v>2.9</c:v>
                </c:pt>
                <c:pt idx="3">
                  <c:v>2.5</c:v>
                </c:pt>
                <c:pt idx="4">
                  <c:v>2.8</c:v>
                </c:pt>
                <c:pt idx="5">
                  <c:v>2.8</c:v>
                </c:pt>
                <c:pt idx="6">
                  <c:v>3.9</c:v>
                </c:pt>
                <c:pt idx="7">
                  <c:v>3.3</c:v>
                </c:pt>
                <c:pt idx="8">
                  <c:v>3.3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5C1-45E5-9F9E-BEE00B3256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20"/>
        <c:overlap val="-27"/>
        <c:axId val="251507504"/>
        <c:axId val="251506384"/>
      </c:barChart>
      <c:catAx>
        <c:axId val="2515075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51506384"/>
        <c:crosses val="autoZero"/>
        <c:auto val="1"/>
        <c:lblAlgn val="ctr"/>
        <c:lblOffset val="100"/>
        <c:noMultiLvlLbl val="0"/>
      </c:catAx>
      <c:valAx>
        <c:axId val="2515063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515075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50000"/>
          <a:lumOff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sk-SK" sz="105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rPr>
              <a:t>Graf 6. Nerovnomernosť príjmového rozdelenia: Gini koeficient v členení podľa krajov</a:t>
            </a:r>
          </a:p>
          <a:p>
            <a:pPr>
              <a:defRPr sz="1050">
                <a:latin typeface="Arial" panose="020B0604020202020204" pitchFamily="34" charset="0"/>
                <a:cs typeface="Arial" panose="020B0604020202020204" pitchFamily="34" charset="0"/>
              </a:defRPr>
            </a:pPr>
            <a:r>
              <a:rPr lang="sk-SK" sz="1050">
                <a:latin typeface="Arial" panose="020B0604020202020204" pitchFamily="34" charset="0"/>
                <a:cs typeface="Arial" panose="020B0604020202020204" pitchFamily="34" charset="0"/>
              </a:rPr>
              <a:t>EU SILC</a:t>
            </a:r>
            <a:r>
              <a:rPr lang="sk-SK" sz="1050" baseline="0">
                <a:latin typeface="Arial" panose="020B0604020202020204" pitchFamily="34" charset="0"/>
                <a:cs typeface="Arial" panose="020B0604020202020204" pitchFamily="34" charset="0"/>
              </a:rPr>
              <a:t> 2020</a:t>
            </a:r>
            <a:endParaRPr lang="en-US" sz="1050">
              <a:latin typeface="Arial" panose="020B0604020202020204" pitchFamily="34" charset="0"/>
              <a:cs typeface="Arial" panose="020B0604020202020204" pitchFamily="34" charset="0"/>
            </a:endParaRP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4g'!$B$4</c:f>
              <c:strCache>
                <c:ptCount val="1"/>
                <c:pt idx="0">
                  <c:v>Nerovnomernosť príjmového rozdelenia: Gini koeficient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471F-43CA-B5BA-291230EA4CA5}"/>
              </c:ext>
            </c:extLst>
          </c:dPt>
          <c:dLbls>
            <c:dLbl>
              <c:idx val="0"/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0">
                  <a:spAutoFit/>
                </a:bodyPr>
                <a:lstStyle/>
                <a:p>
                  <a:pPr>
                    <a:defRPr sz="11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471F-43CA-B5BA-291230EA4CA5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0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accent6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 4g'!$A$5:$A$13</c:f>
              <c:strCache>
                <c:ptCount val="9"/>
                <c:pt idx="0">
                  <c:v>SR</c:v>
                </c:pt>
                <c:pt idx="1">
                  <c:v>Bratislavský 
kraj</c:v>
                </c:pt>
                <c:pt idx="2">
                  <c:v>Trnavský 
kraj</c:v>
                </c:pt>
                <c:pt idx="3">
                  <c:v>Trenčiansky 
kraj</c:v>
                </c:pt>
                <c:pt idx="4">
                  <c:v>Nitriansky 
kraj</c:v>
                </c:pt>
                <c:pt idx="5">
                  <c:v>Žilinský 
kraj</c:v>
                </c:pt>
                <c:pt idx="6">
                  <c:v>Banskobystrický 
kraj</c:v>
                </c:pt>
                <c:pt idx="7">
                  <c:v>Prešovský 
kraj</c:v>
                </c:pt>
                <c:pt idx="8">
                  <c:v>Košický 
kraj</c:v>
                </c:pt>
              </c:strCache>
            </c:strRef>
          </c:cat>
          <c:val>
            <c:numRef>
              <c:f>'Graf 4g'!$B$5:$B$13</c:f>
              <c:numCache>
                <c:formatCode>0.0</c:formatCode>
                <c:ptCount val="9"/>
                <c:pt idx="0">
                  <c:v>20.9</c:v>
                </c:pt>
                <c:pt idx="1">
                  <c:v>18.3</c:v>
                </c:pt>
                <c:pt idx="2">
                  <c:v>20</c:v>
                </c:pt>
                <c:pt idx="3">
                  <c:v>17.3</c:v>
                </c:pt>
                <c:pt idx="4">
                  <c:v>19.399999999999999</c:v>
                </c:pt>
                <c:pt idx="5">
                  <c:v>19.5</c:v>
                </c:pt>
                <c:pt idx="6">
                  <c:v>24.5</c:v>
                </c:pt>
                <c:pt idx="7">
                  <c:v>21.6</c:v>
                </c:pt>
                <c:pt idx="8">
                  <c:v>21.4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71F-43CA-B5BA-291230EA4CA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20"/>
        <c:overlap val="-27"/>
        <c:axId val="152911008"/>
        <c:axId val="152910448"/>
      </c:barChart>
      <c:catAx>
        <c:axId val="152911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52910448"/>
        <c:crosses val="autoZero"/>
        <c:auto val="1"/>
        <c:lblAlgn val="ctr"/>
        <c:lblOffset val="100"/>
        <c:noMultiLvlLbl val="0"/>
      </c:catAx>
      <c:valAx>
        <c:axId val="1529104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529110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50000"/>
          <a:lumOff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200" b="0" i="0" u="none" strike="noStrike" baseline="0">
                <a:effectLst/>
              </a:rPr>
              <a:t>G</a:t>
            </a:r>
            <a:r>
              <a:rPr lang="sk-SK" sz="120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+mn-lt"/>
                <a:ea typeface="+mn-ea"/>
                <a:cs typeface="+mn-cs"/>
              </a:rPr>
              <a:t>raf</a:t>
            </a:r>
            <a:r>
              <a:rPr lang="sk-SK" sz="1200" b="0" i="0" u="none" strike="noStrike" baseline="0">
                <a:effectLst/>
              </a:rPr>
              <a:t> 7. </a:t>
            </a:r>
            <a:r>
              <a:rPr lang="en-US" sz="1200"/>
              <a:t>Miera materiálnej deprivácie podľa vekových skupín a ľudí </a:t>
            </a:r>
            <a:r>
              <a:rPr lang="sk-SK" sz="1200"/>
              <a:t>nad</a:t>
            </a:r>
            <a:r>
              <a:rPr lang="en-US" sz="1200"/>
              <a:t> hranicou chudoby</a:t>
            </a:r>
            <a:endParaRPr lang="sk-SK" sz="1200"/>
          </a:p>
          <a:p>
            <a:pPr>
              <a:defRPr/>
            </a:pPr>
            <a:r>
              <a:rPr lang="sk-SK" sz="1200"/>
              <a:t>EU</a:t>
            </a:r>
            <a:r>
              <a:rPr lang="sk-SK" sz="1200" baseline="0"/>
              <a:t> SILC 2020</a:t>
            </a:r>
            <a:endParaRPr lang="en-US" sz="1200"/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5a'!$C$22</c:f>
              <c:strCache>
                <c:ptCount val="1"/>
                <c:pt idx="0">
                  <c:v>Miera materiálnej deprivácie
(%)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B3EF-4EAB-8B15-CECA261535F7}"/>
              </c:ext>
            </c:extLst>
          </c:dPt>
          <c:dPt>
            <c:idx val="2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B3EF-4EAB-8B15-CECA261535F7}"/>
              </c:ext>
            </c:extLst>
          </c:dPt>
          <c:dPt>
            <c:idx val="4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B3EF-4EAB-8B15-CECA261535F7}"/>
              </c:ext>
            </c:extLst>
          </c:dPt>
          <c:dPt>
            <c:idx val="6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B3EF-4EAB-8B15-CECA261535F7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B3EF-4EAB-8B15-CECA261535F7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B3EF-4EAB-8B15-CECA261535F7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B3EF-4EAB-8B15-CECA261535F7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7-B3EF-4EAB-8B15-CECA261535F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accent1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5a'!$A$36:$B$43</c:f>
              <c:multiLvlStrCache>
                <c:ptCount val="8"/>
                <c:lvl>
                  <c:pt idx="0">
                    <c:v>spolu</c:v>
                  </c:pt>
                  <c:pt idx="1">
                    <c:v>nad hranicou chudoby</c:v>
                  </c:pt>
                  <c:pt idx="2">
                    <c:v>spolu</c:v>
                  </c:pt>
                  <c:pt idx="3">
                    <c:v>nad hranicou chudoby</c:v>
                  </c:pt>
                  <c:pt idx="4">
                    <c:v>spolu</c:v>
                  </c:pt>
                  <c:pt idx="5">
                    <c:v>nad hranicou chudoby</c:v>
                  </c:pt>
                  <c:pt idx="6">
                    <c:v>spolu</c:v>
                  </c:pt>
                  <c:pt idx="7">
                    <c:v>nad hranicou chudoby</c:v>
                  </c:pt>
                </c:lvl>
                <c:lvl>
                  <c:pt idx="0">
                    <c:v>celková populácia</c:v>
                  </c:pt>
                  <c:pt idx="2">
                    <c:v>0 – 17 roční</c:v>
                  </c:pt>
                  <c:pt idx="4">
                    <c:v>18 – 64 roční </c:v>
                  </c:pt>
                  <c:pt idx="6">
                    <c:v>65 roční a starší</c:v>
                  </c:pt>
                </c:lvl>
              </c:multiLvlStrCache>
            </c:multiLvlStrRef>
          </c:cat>
          <c:val>
            <c:numRef>
              <c:f>'Graf 5a'!$C$36:$C$43</c:f>
              <c:numCache>
                <c:formatCode>0.0</c:formatCode>
                <c:ptCount val="8"/>
                <c:pt idx="0">
                  <c:v>12.6</c:v>
                </c:pt>
                <c:pt idx="1">
                  <c:v>8.4</c:v>
                </c:pt>
                <c:pt idx="2">
                  <c:v>12.9</c:v>
                </c:pt>
                <c:pt idx="3">
                  <c:v>6.9</c:v>
                </c:pt>
                <c:pt idx="4">
                  <c:v>11.7</c:v>
                </c:pt>
                <c:pt idx="5">
                  <c:v>7.8</c:v>
                </c:pt>
                <c:pt idx="6">
                  <c:v>15.4</c:v>
                </c:pt>
                <c:pt idx="7">
                  <c:v>11.8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B3EF-4EAB-8B15-CECA261535F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7"/>
        <c:axId val="36970048"/>
        <c:axId val="36967968"/>
      </c:barChart>
      <c:catAx>
        <c:axId val="369700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6967968"/>
        <c:crosses val="autoZero"/>
        <c:auto val="1"/>
        <c:lblAlgn val="ctr"/>
        <c:lblOffset val="100"/>
        <c:noMultiLvlLbl val="0"/>
      </c:catAx>
      <c:valAx>
        <c:axId val="369679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69700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200"/>
              <a:t>Graf 8.</a:t>
            </a:r>
            <a:r>
              <a:rPr lang="sk-SK" sz="1200" baseline="0"/>
              <a:t> </a:t>
            </a:r>
            <a:r>
              <a:rPr lang="en-US" sz="1200"/>
              <a:t>Miera materiálnej deprivácie podľa vekových skupín a ľudí pod hranicou chudoby</a:t>
            </a:r>
            <a:endParaRPr lang="sk-SK" sz="1200"/>
          </a:p>
          <a:p>
            <a:pPr>
              <a:defRPr/>
            </a:pPr>
            <a:r>
              <a:rPr lang="sk-SK" sz="1200"/>
              <a:t>EU</a:t>
            </a:r>
            <a:r>
              <a:rPr lang="sk-SK" sz="1200" baseline="0"/>
              <a:t> SILC 2020</a:t>
            </a:r>
            <a:endParaRPr lang="en-US" sz="1200"/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5a'!$C$22</c:f>
              <c:strCache>
                <c:ptCount val="1"/>
                <c:pt idx="0">
                  <c:v>Miera materiálnej deprivácie
(%)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FD82-4BB3-A22A-ECD78B4B0DE6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FD82-4BB3-A22A-ECD78B4B0DE6}"/>
              </c:ext>
            </c:extLst>
          </c:dPt>
          <c:dPt>
            <c:idx val="2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FD82-4BB3-A22A-ECD78B4B0DE6}"/>
              </c:ext>
            </c:extLst>
          </c:dPt>
          <c:dPt>
            <c:idx val="3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FD82-4BB3-A22A-ECD78B4B0DE6}"/>
              </c:ext>
            </c:extLst>
          </c:dPt>
          <c:dPt>
            <c:idx val="4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9-FD82-4BB3-A22A-ECD78B4B0DE6}"/>
              </c:ext>
            </c:extLst>
          </c:dPt>
          <c:dPt>
            <c:idx val="5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B-FD82-4BB3-A22A-ECD78B4B0DE6}"/>
              </c:ext>
            </c:extLst>
          </c:dPt>
          <c:dPt>
            <c:idx val="6"/>
            <c:invertIfNegative val="0"/>
            <c:bubble3D val="0"/>
            <c:spPr>
              <a:solidFill>
                <a:schemeClr val="tx1">
                  <a:lumMod val="65000"/>
                  <a:lumOff val="3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D-FD82-4BB3-A22A-ECD78B4B0DE6}"/>
              </c:ext>
            </c:extLst>
          </c:dPt>
          <c:dPt>
            <c:idx val="7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F-FD82-4BB3-A22A-ECD78B4B0DE6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FD82-4BB3-A22A-ECD78B4B0DE6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FD82-4BB3-A22A-ECD78B4B0DE6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FD82-4BB3-A22A-ECD78B4B0DE6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7-FD82-4BB3-A22A-ECD78B4B0DE6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9-FD82-4BB3-A22A-ECD78B4B0DE6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B-FD82-4BB3-A22A-ECD78B4B0DE6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D-FD82-4BB3-A22A-ECD78B4B0DE6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F-FD82-4BB3-A22A-ECD78B4B0DE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accent1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5a'!$A$23:$B$30</c:f>
              <c:multiLvlStrCache>
                <c:ptCount val="8"/>
                <c:lvl>
                  <c:pt idx="0">
                    <c:v>spolu</c:v>
                  </c:pt>
                  <c:pt idx="1">
                    <c:v>pod hranicou chudoby</c:v>
                  </c:pt>
                  <c:pt idx="2">
                    <c:v>spolu</c:v>
                  </c:pt>
                  <c:pt idx="3">
                    <c:v>pod hranicou chudoby</c:v>
                  </c:pt>
                  <c:pt idx="4">
                    <c:v>spolu</c:v>
                  </c:pt>
                  <c:pt idx="5">
                    <c:v>pod hranicou chudoby</c:v>
                  </c:pt>
                  <c:pt idx="6">
                    <c:v>spolu</c:v>
                  </c:pt>
                  <c:pt idx="7">
                    <c:v>pod hranicou chudoby</c:v>
                  </c:pt>
                </c:lvl>
                <c:lvl>
                  <c:pt idx="0">
                    <c:v>celková populácia</c:v>
                  </c:pt>
                  <c:pt idx="2">
                    <c:v>0 – 17 roční</c:v>
                  </c:pt>
                  <c:pt idx="4">
                    <c:v>18 – 64 roční </c:v>
                  </c:pt>
                  <c:pt idx="6">
                    <c:v>65 roční a starší</c:v>
                  </c:pt>
                </c:lvl>
              </c:multiLvlStrCache>
            </c:multiLvlStrRef>
          </c:cat>
          <c:val>
            <c:numRef>
              <c:f>'Graf 5a'!$C$23:$C$30</c:f>
              <c:numCache>
                <c:formatCode>0.0</c:formatCode>
                <c:ptCount val="8"/>
                <c:pt idx="0">
                  <c:v>12.6</c:v>
                </c:pt>
                <c:pt idx="1">
                  <c:v>45</c:v>
                </c:pt>
                <c:pt idx="2">
                  <c:v>12.9</c:v>
                </c:pt>
                <c:pt idx="3">
                  <c:v>42.1</c:v>
                </c:pt>
                <c:pt idx="4">
                  <c:v>11.7</c:v>
                </c:pt>
                <c:pt idx="5">
                  <c:v>45.1</c:v>
                </c:pt>
                <c:pt idx="6">
                  <c:v>15.4</c:v>
                </c:pt>
                <c:pt idx="7">
                  <c:v>49.6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FD82-4BB3-A22A-ECD78B4B0DE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7"/>
        <c:axId val="36970048"/>
        <c:axId val="36967968"/>
      </c:barChart>
      <c:catAx>
        <c:axId val="369700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6967968"/>
        <c:crosses val="autoZero"/>
        <c:auto val="1"/>
        <c:lblAlgn val="ctr"/>
        <c:lblOffset val="100"/>
        <c:noMultiLvlLbl val="0"/>
      </c:catAx>
      <c:valAx>
        <c:axId val="369679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69700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200"/>
              <a:t>Graf 9. </a:t>
            </a:r>
            <a:r>
              <a:rPr lang="en-US" sz="1200"/>
              <a:t>Miera závažnej materiálnej deprivácie podľa vekových skupín a ľudí </a:t>
            </a:r>
            <a:r>
              <a:rPr lang="sk-SK" sz="1200"/>
              <a:t>nad</a:t>
            </a:r>
            <a:r>
              <a:rPr lang="en-US" sz="1200"/>
              <a:t> hranicou chudoby</a:t>
            </a:r>
            <a:endParaRPr lang="sk-SK" sz="1200"/>
          </a:p>
          <a:p>
            <a:pPr>
              <a:defRPr/>
            </a:pPr>
            <a:r>
              <a:rPr lang="sk-SK" sz="1200"/>
              <a:t>EU</a:t>
            </a:r>
            <a:r>
              <a:rPr lang="sk-SK" sz="1200" baseline="0"/>
              <a:t> SILC 2020</a:t>
            </a:r>
            <a:endParaRPr lang="en-US" sz="1200"/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5b'!$C$22</c:f>
              <c:strCache>
                <c:ptCount val="1"/>
                <c:pt idx="0">
                  <c:v>Miera závažnej materiálnej deprivácie
(%)</c:v>
                </c:pt>
              </c:strCache>
            </c:strRef>
          </c:tx>
          <c:spPr>
            <a:solidFill>
              <a:schemeClr val="tx1">
                <a:lumMod val="65000"/>
                <a:lumOff val="35000"/>
              </a:schemeClr>
            </a:solidFill>
            <a:ln>
              <a:noFill/>
            </a:ln>
            <a:effectLst/>
          </c:spPr>
          <c:invertIfNegative val="0"/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96C7-465D-98A6-B8B552EED865}"/>
              </c:ext>
            </c:extLst>
          </c:dPt>
          <c:dPt>
            <c:idx val="3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96C7-465D-98A6-B8B552EED865}"/>
              </c:ext>
            </c:extLst>
          </c:dPt>
          <c:dPt>
            <c:idx val="5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96C7-465D-98A6-B8B552EED865}"/>
              </c:ext>
            </c:extLst>
          </c:dPt>
          <c:dPt>
            <c:idx val="7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96C7-465D-98A6-B8B552EED865}"/>
              </c:ext>
            </c:extLst>
          </c:dPt>
          <c:dLbls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96C7-465D-98A6-B8B552EED865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96C7-465D-98A6-B8B552EED865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96C7-465D-98A6-B8B552EED865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7-96C7-465D-98A6-B8B552EED86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5b'!$A$36:$B$43</c:f>
              <c:multiLvlStrCache>
                <c:ptCount val="8"/>
                <c:lvl>
                  <c:pt idx="0">
                    <c:v>spolu</c:v>
                  </c:pt>
                  <c:pt idx="1">
                    <c:v>nad hranicou chudoby</c:v>
                  </c:pt>
                  <c:pt idx="2">
                    <c:v>spolu</c:v>
                  </c:pt>
                  <c:pt idx="3">
                    <c:v>nad hranicou chudoby</c:v>
                  </c:pt>
                  <c:pt idx="4">
                    <c:v>spolu</c:v>
                  </c:pt>
                  <c:pt idx="5">
                    <c:v>nad hranicou chudoby</c:v>
                  </c:pt>
                  <c:pt idx="6">
                    <c:v>spolu</c:v>
                  </c:pt>
                  <c:pt idx="7">
                    <c:v>nad hranicou chudoby</c:v>
                  </c:pt>
                </c:lvl>
                <c:lvl>
                  <c:pt idx="0">
                    <c:v>celková populácia</c:v>
                  </c:pt>
                  <c:pt idx="2">
                    <c:v>0 – 17 roční</c:v>
                  </c:pt>
                  <c:pt idx="4">
                    <c:v>18 – 64 roční </c:v>
                  </c:pt>
                  <c:pt idx="6">
                    <c:v>65 roční a starší</c:v>
                  </c:pt>
                </c:lvl>
              </c:multiLvlStrCache>
            </c:multiLvlStrRef>
          </c:cat>
          <c:val>
            <c:numRef>
              <c:f>'Graf 5b'!$C$36:$C$43</c:f>
              <c:numCache>
                <c:formatCode>0.0</c:formatCode>
                <c:ptCount val="8"/>
                <c:pt idx="0">
                  <c:v>5.9</c:v>
                </c:pt>
                <c:pt idx="1">
                  <c:v>3.1</c:v>
                </c:pt>
                <c:pt idx="2">
                  <c:v>6.4</c:v>
                </c:pt>
                <c:pt idx="3">
                  <c:v>2.4</c:v>
                </c:pt>
                <c:pt idx="4">
                  <c:v>5.8</c:v>
                </c:pt>
                <c:pt idx="5">
                  <c:v>3</c:v>
                </c:pt>
                <c:pt idx="6">
                  <c:v>5.7</c:v>
                </c:pt>
                <c:pt idx="7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96C7-465D-98A6-B8B552EED86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7"/>
        <c:axId val="115542112"/>
        <c:axId val="115536288"/>
      </c:barChart>
      <c:catAx>
        <c:axId val="115542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15536288"/>
        <c:crosses val="autoZero"/>
        <c:auto val="1"/>
        <c:lblAlgn val="ctr"/>
        <c:lblOffset val="100"/>
        <c:noMultiLvlLbl val="0"/>
      </c:catAx>
      <c:valAx>
        <c:axId val="1155362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155421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200"/>
              <a:t>Graf 10. </a:t>
            </a:r>
            <a:r>
              <a:rPr lang="en-US" sz="1200"/>
              <a:t>Miera závažnej materiálnej deprivácie podľa vekových skupín a ľudí pod hranicou chudoby</a:t>
            </a:r>
            <a:endParaRPr lang="sk-SK" sz="1200"/>
          </a:p>
          <a:p>
            <a:pPr>
              <a:defRPr/>
            </a:pPr>
            <a:r>
              <a:rPr lang="sk-SK" sz="1200"/>
              <a:t>EU</a:t>
            </a:r>
            <a:r>
              <a:rPr lang="sk-SK" sz="1200" baseline="0"/>
              <a:t> SILC 2020</a:t>
            </a:r>
            <a:endParaRPr lang="en-US" sz="1200"/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5b'!$C$22</c:f>
              <c:strCache>
                <c:ptCount val="1"/>
                <c:pt idx="0">
                  <c:v>Miera závažnej materiálnej deprivácie
(%)</c:v>
                </c:pt>
              </c:strCache>
            </c:strRef>
          </c:tx>
          <c:spPr>
            <a:solidFill>
              <a:schemeClr val="tx1">
                <a:lumMod val="65000"/>
                <a:lumOff val="35000"/>
              </a:schemeClr>
            </a:solidFill>
            <a:ln>
              <a:noFill/>
            </a:ln>
            <a:effectLst/>
          </c:spPr>
          <c:invertIfNegative val="0"/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8AB6-4D48-8E05-8CC35572B9CF}"/>
              </c:ext>
            </c:extLst>
          </c:dPt>
          <c:dPt>
            <c:idx val="3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8AB6-4D48-8E05-8CC35572B9CF}"/>
              </c:ext>
            </c:extLst>
          </c:dPt>
          <c:dPt>
            <c:idx val="5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8AB6-4D48-8E05-8CC35572B9CF}"/>
              </c:ext>
            </c:extLst>
          </c:dPt>
          <c:dPt>
            <c:idx val="7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8AB6-4D48-8E05-8CC35572B9CF}"/>
              </c:ext>
            </c:extLst>
          </c:dPt>
          <c:dLbls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8AB6-4D48-8E05-8CC35572B9CF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8AB6-4D48-8E05-8CC35572B9CF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8AB6-4D48-8E05-8CC35572B9CF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7-8AB6-4D48-8E05-8CC35572B9C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5b'!$A$23:$B$30</c:f>
              <c:multiLvlStrCache>
                <c:ptCount val="8"/>
                <c:lvl>
                  <c:pt idx="0">
                    <c:v>spolu</c:v>
                  </c:pt>
                  <c:pt idx="1">
                    <c:v>pod hranicou chudoby</c:v>
                  </c:pt>
                  <c:pt idx="2">
                    <c:v>spolu</c:v>
                  </c:pt>
                  <c:pt idx="3">
                    <c:v>pod hranicou chudoby</c:v>
                  </c:pt>
                  <c:pt idx="4">
                    <c:v>spolu</c:v>
                  </c:pt>
                  <c:pt idx="5">
                    <c:v>pod hranicou chudoby</c:v>
                  </c:pt>
                  <c:pt idx="6">
                    <c:v>spolu</c:v>
                  </c:pt>
                  <c:pt idx="7">
                    <c:v>pod hranicou chudoby</c:v>
                  </c:pt>
                </c:lvl>
                <c:lvl>
                  <c:pt idx="0">
                    <c:v>celková populácia</c:v>
                  </c:pt>
                  <c:pt idx="2">
                    <c:v>0 – 17 roční</c:v>
                  </c:pt>
                  <c:pt idx="4">
                    <c:v>18 – 64 roční </c:v>
                  </c:pt>
                  <c:pt idx="6">
                    <c:v>65 roční a starší</c:v>
                  </c:pt>
                </c:lvl>
              </c:multiLvlStrCache>
            </c:multiLvlStrRef>
          </c:cat>
          <c:val>
            <c:numRef>
              <c:f>'Graf 5b'!$C$23:$C$30</c:f>
              <c:numCache>
                <c:formatCode>0.0</c:formatCode>
                <c:ptCount val="8"/>
                <c:pt idx="0">
                  <c:v>5.9</c:v>
                </c:pt>
                <c:pt idx="1">
                  <c:v>27.6</c:v>
                </c:pt>
                <c:pt idx="2">
                  <c:v>6.4</c:v>
                </c:pt>
                <c:pt idx="3">
                  <c:v>25.9</c:v>
                </c:pt>
                <c:pt idx="4">
                  <c:v>5.8</c:v>
                </c:pt>
                <c:pt idx="5">
                  <c:v>29.9</c:v>
                </c:pt>
                <c:pt idx="6">
                  <c:v>5.7</c:v>
                </c:pt>
                <c:pt idx="7">
                  <c:v>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8AB6-4D48-8E05-8CC35572B9C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7"/>
        <c:axId val="115542112"/>
        <c:axId val="115536288"/>
      </c:barChart>
      <c:catAx>
        <c:axId val="115542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15536288"/>
        <c:crosses val="autoZero"/>
        <c:auto val="1"/>
        <c:lblAlgn val="ctr"/>
        <c:lblOffset val="100"/>
        <c:noMultiLvlLbl val="0"/>
      </c:catAx>
      <c:valAx>
        <c:axId val="1155362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1155421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200"/>
              <a:t>Graf 11</a:t>
            </a:r>
            <a:r>
              <a:rPr lang="sk-SK" sz="1200" baseline="0"/>
              <a:t>. </a:t>
            </a:r>
            <a:r>
              <a:rPr lang="en-US" sz="1200"/>
              <a:t>Miera rizika chudoby podľa vekových skupín - po všetkých sociálnych transferoch a pred sociálnymi transfermi okrem starobných a pozostalostných dávok</a:t>
            </a:r>
            <a:endParaRPr lang="sk-SK" sz="1200"/>
          </a:p>
          <a:p>
            <a:pPr>
              <a:defRPr/>
            </a:pPr>
            <a:r>
              <a:rPr lang="sk-SK" sz="1200"/>
              <a:t>EU SILC 2020</a:t>
            </a:r>
            <a:endParaRPr lang="en-US" sz="1200"/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6a'!$C$21</c:f>
              <c:strCache>
                <c:ptCount val="1"/>
                <c:pt idx="0">
                  <c:v>Miera rizika chudoby po sociálnych transferoch SR
(%)</c:v>
                </c:pt>
              </c:strCache>
            </c:strRef>
          </c:tx>
          <c:spPr>
            <a:solidFill>
              <a:schemeClr val="tx1">
                <a:lumMod val="65000"/>
                <a:lumOff val="35000"/>
              </a:schemeClr>
            </a:solidFill>
            <a:ln>
              <a:noFill/>
            </a:ln>
            <a:effectLst/>
          </c:spPr>
          <c:invertIfNegative val="0"/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BA2D-4E20-B785-EE2AFDD57474}"/>
              </c:ext>
            </c:extLst>
          </c:dPt>
          <c:dPt>
            <c:idx val="3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BA2D-4E20-B785-EE2AFDD57474}"/>
              </c:ext>
            </c:extLst>
          </c:dPt>
          <c:dPt>
            <c:idx val="5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BA2D-4E20-B785-EE2AFDD57474}"/>
              </c:ext>
            </c:extLst>
          </c:dPt>
          <c:dPt>
            <c:idx val="7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BA2D-4E20-B785-EE2AFDD57474}"/>
              </c:ext>
            </c:extLst>
          </c:dPt>
          <c:dLbls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BA2D-4E20-B785-EE2AFDD57474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BA2D-4E20-B785-EE2AFDD57474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BA2D-4E20-B785-EE2AFDD57474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7-BA2D-4E20-B785-EE2AFDD5747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6a'!$A$22:$B$29</c:f>
              <c:multiLvlStrCache>
                <c:ptCount val="8"/>
                <c:lvl>
                  <c:pt idx="0">
                    <c:v>po sociálnych transferoch</c:v>
                  </c:pt>
                  <c:pt idx="1">
                    <c:v>pred sociálnymi transfermi</c:v>
                  </c:pt>
                  <c:pt idx="2">
                    <c:v>po sociálnych transferoch</c:v>
                  </c:pt>
                  <c:pt idx="3">
                    <c:v>pred sociálnymi transfermi</c:v>
                  </c:pt>
                  <c:pt idx="4">
                    <c:v>po sociálnych transferoch</c:v>
                  </c:pt>
                  <c:pt idx="5">
                    <c:v>pred sociálnymi transfermi</c:v>
                  </c:pt>
                  <c:pt idx="6">
                    <c:v>po sociálnych transferoch</c:v>
                  </c:pt>
                  <c:pt idx="7">
                    <c:v>pred sociálnymi transfermi</c:v>
                  </c:pt>
                </c:lvl>
                <c:lvl>
                  <c:pt idx="0">
                    <c:v>celková populácia</c:v>
                  </c:pt>
                  <c:pt idx="2">
                    <c:v>0 – 17 roční</c:v>
                  </c:pt>
                  <c:pt idx="4">
                    <c:v>18 – 64  roční</c:v>
                  </c:pt>
                  <c:pt idx="6">
                    <c:v>65 roční a starší</c:v>
                  </c:pt>
                </c:lvl>
              </c:multiLvlStrCache>
            </c:multiLvlStrRef>
          </c:cat>
          <c:val>
            <c:numRef>
              <c:f>'Graf 6a'!$C$22:$C$29</c:f>
              <c:numCache>
                <c:formatCode>0.0</c:formatCode>
                <c:ptCount val="8"/>
                <c:pt idx="0">
                  <c:v>11.4</c:v>
                </c:pt>
                <c:pt idx="1">
                  <c:v>19</c:v>
                </c:pt>
                <c:pt idx="2">
                  <c:v>17</c:v>
                </c:pt>
                <c:pt idx="3">
                  <c:v>27.5</c:v>
                </c:pt>
                <c:pt idx="4">
                  <c:v>10.3</c:v>
                </c:pt>
                <c:pt idx="5">
                  <c:v>17.899999999999999</c:v>
                </c:pt>
                <c:pt idx="6">
                  <c:v>9.5</c:v>
                </c:pt>
                <c:pt idx="7">
                  <c:v>14.2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BA2D-4E20-B785-EE2AFDD5747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7"/>
        <c:axId val="328213279"/>
        <c:axId val="328209951"/>
      </c:barChart>
      <c:catAx>
        <c:axId val="32821327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28209951"/>
        <c:crosses val="autoZero"/>
        <c:auto val="1"/>
        <c:lblAlgn val="ctr"/>
        <c:lblOffset val="100"/>
        <c:noMultiLvlLbl val="0"/>
      </c:catAx>
      <c:valAx>
        <c:axId val="32820995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28213279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200" b="0" i="0" u="none" strike="noStrike" baseline="0">
                <a:effectLst/>
              </a:rPr>
              <a:t>Graf 12. </a:t>
            </a:r>
            <a:r>
              <a:rPr lang="en-US" sz="1200"/>
              <a:t>Miera rizika chudoby podľa vekových skupín - po všetkých sociálnych transferoch a pred všetkými sociálnymi transfermi (vrátane starobných a pozostalostných dávok)</a:t>
            </a:r>
            <a:endParaRPr lang="sk-SK" sz="1200"/>
          </a:p>
          <a:p>
            <a:pPr>
              <a:defRPr/>
            </a:pPr>
            <a:r>
              <a:rPr lang="sk-SK" sz="1200"/>
              <a:t>EU SILC 2020</a:t>
            </a:r>
            <a:endParaRPr lang="en-US" sz="1200"/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'Graf 6b'!$C$21</c:f>
              <c:strCache>
                <c:ptCount val="1"/>
                <c:pt idx="0">
                  <c:v>Miera rizika chudoby po sociálnych transferoch SR
(%)</c:v>
                </c:pt>
              </c:strCache>
            </c:strRef>
          </c:tx>
          <c:spPr>
            <a:solidFill>
              <a:schemeClr val="tx1">
                <a:lumMod val="65000"/>
                <a:lumOff val="35000"/>
              </a:schemeClr>
            </a:solidFill>
            <a:ln>
              <a:noFill/>
            </a:ln>
            <a:effectLst/>
          </c:spPr>
          <c:invertIfNegative val="0"/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C735-4A5F-9C51-02211DBE490D}"/>
              </c:ext>
            </c:extLst>
          </c:dPt>
          <c:dPt>
            <c:idx val="3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C735-4A5F-9C51-02211DBE490D}"/>
              </c:ext>
            </c:extLst>
          </c:dPt>
          <c:dPt>
            <c:idx val="5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C735-4A5F-9C51-02211DBE490D}"/>
              </c:ext>
            </c:extLst>
          </c:dPt>
          <c:dPt>
            <c:idx val="7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C735-4A5F-9C51-02211DBE490D}"/>
              </c:ext>
            </c:extLst>
          </c:dPt>
          <c:dLbls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C735-4A5F-9C51-02211DBE490D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C735-4A5F-9C51-02211DBE490D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C735-4A5F-9C51-02211DBE490D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7-C735-4A5F-9C51-02211DBE49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6b'!$A$22:$B$29</c:f>
              <c:multiLvlStrCache>
                <c:ptCount val="8"/>
                <c:lvl>
                  <c:pt idx="0">
                    <c:v>po sociálnych transferoch</c:v>
                  </c:pt>
                  <c:pt idx="1">
                    <c:v>pred všetkými sociálnymi transfermi</c:v>
                  </c:pt>
                  <c:pt idx="2">
                    <c:v>po sociálnych transferoch</c:v>
                  </c:pt>
                  <c:pt idx="3">
                    <c:v>pred všetkými sociálnymi transfermi</c:v>
                  </c:pt>
                  <c:pt idx="4">
                    <c:v>po sociálnych transferoch</c:v>
                  </c:pt>
                  <c:pt idx="5">
                    <c:v>pred všetkými sociálnymi transfermi</c:v>
                  </c:pt>
                  <c:pt idx="6">
                    <c:v>po sociálnych transferoch</c:v>
                  </c:pt>
                  <c:pt idx="7">
                    <c:v>pred všetkými sociálnymi transfermi</c:v>
                  </c:pt>
                </c:lvl>
                <c:lvl>
                  <c:pt idx="0">
                    <c:v>celková populácia</c:v>
                  </c:pt>
                  <c:pt idx="2">
                    <c:v>0 – 17 roční</c:v>
                  </c:pt>
                  <c:pt idx="4">
                    <c:v>18 – 64  roční</c:v>
                  </c:pt>
                  <c:pt idx="6">
                    <c:v>65 roční a starší</c:v>
                  </c:pt>
                </c:lvl>
              </c:multiLvlStrCache>
            </c:multiLvlStrRef>
          </c:cat>
          <c:val>
            <c:numRef>
              <c:f>'Graf 6b'!$C$22:$C$29</c:f>
              <c:numCache>
                <c:formatCode>0.0</c:formatCode>
                <c:ptCount val="8"/>
                <c:pt idx="0">
                  <c:v>11.4</c:v>
                </c:pt>
                <c:pt idx="1">
                  <c:v>37.4</c:v>
                </c:pt>
                <c:pt idx="2">
                  <c:v>17</c:v>
                </c:pt>
                <c:pt idx="3">
                  <c:v>32.6</c:v>
                </c:pt>
                <c:pt idx="4">
                  <c:v>10.3</c:v>
                </c:pt>
                <c:pt idx="5">
                  <c:v>27.1</c:v>
                </c:pt>
                <c:pt idx="6">
                  <c:v>9.5</c:v>
                </c:pt>
                <c:pt idx="7">
                  <c:v>79.5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C735-4A5F-9C51-02211DBE490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7"/>
        <c:axId val="450379519"/>
        <c:axId val="450384927"/>
      </c:barChart>
      <c:catAx>
        <c:axId val="45037951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450384927"/>
        <c:crosses val="autoZero"/>
        <c:auto val="1"/>
        <c:lblAlgn val="ctr"/>
        <c:lblOffset val="100"/>
        <c:noMultiLvlLbl val="0"/>
      </c:catAx>
      <c:valAx>
        <c:axId val="45038492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450379519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0.00779</cdr:x>
      <cdr:y>0.01189</cdr:y>
    </cdr:from>
    <cdr:to>
      <cdr:x>0.06068</cdr:x>
      <cdr:y>0.09147</cdr:y>
    </cdr:to>
    <cdr:sp macro="" textlink="">
      <cdr:nvSpPr>
        <cdr:cNvPr id="2" name="Textové pole 8"/>
        <cdr:cNvSpPr txBox="1"/>
      </cdr:nvSpPr>
      <cdr:spPr>
        <a:xfrm xmlns:a="http://schemas.openxmlformats.org/drawingml/2006/main">
          <a:off x="46653" y="50113"/>
          <a:ext cx="316865" cy="335280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6350">
          <a:noFill/>
        </a:ln>
      </cdr:spPr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/>
        <a:p xmlns:a="http://schemas.openxmlformats.org/drawingml/2006/main">
          <a:pPr>
            <a:lnSpc>
              <a:spcPct val="115000"/>
            </a:lnSpc>
            <a:spcAft>
              <a:spcPts val="1000"/>
            </a:spcAft>
          </a:pPr>
          <a:r>
            <a:rPr lang="sk-SK" sz="120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%</a:t>
          </a:r>
          <a:endParaRPr lang="sk-SK" sz="1100">
            <a:effectLst/>
            <a:latin typeface="Calibri" panose="020F0502020204030204" pitchFamily="34" charset="0"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0.01154</cdr:x>
      <cdr:y>0.01411</cdr:y>
    </cdr:from>
    <cdr:to>
      <cdr:x>0.0647</cdr:x>
      <cdr:y>0.09367</cdr:y>
    </cdr:to>
    <cdr:sp macro="" textlink="">
      <cdr:nvSpPr>
        <cdr:cNvPr id="2" name="Textové pole 8"/>
        <cdr:cNvSpPr txBox="1"/>
      </cdr:nvSpPr>
      <cdr:spPr>
        <a:xfrm xmlns:a="http://schemas.openxmlformats.org/drawingml/2006/main">
          <a:off x="68775" y="59444"/>
          <a:ext cx="316865" cy="335280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6350">
          <a:noFill/>
        </a:ln>
      </cdr:spPr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/>
        <a:p xmlns:a="http://schemas.openxmlformats.org/drawingml/2006/main">
          <a:pPr>
            <a:lnSpc>
              <a:spcPct val="115000"/>
            </a:lnSpc>
            <a:spcAft>
              <a:spcPts val="1000"/>
            </a:spcAft>
          </a:pPr>
          <a:r>
            <a:rPr lang="sk-SK" sz="120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%</a:t>
          </a:r>
          <a:endParaRPr lang="sk-SK" sz="1100">
            <a:effectLst/>
            <a:latin typeface="Calibri" panose="020F0502020204030204" pitchFamily="34" charset="0"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0.00838</cdr:x>
      <cdr:y>0.01411</cdr:y>
    </cdr:from>
    <cdr:to>
      <cdr:x>0.0614</cdr:x>
      <cdr:y>0.09369</cdr:y>
    </cdr:to>
    <cdr:sp macro="" textlink="">
      <cdr:nvSpPr>
        <cdr:cNvPr id="2" name="Textové pole 8"/>
        <cdr:cNvSpPr txBox="1"/>
      </cdr:nvSpPr>
      <cdr:spPr>
        <a:xfrm xmlns:a="http://schemas.openxmlformats.org/drawingml/2006/main">
          <a:off x="50113" y="59443"/>
          <a:ext cx="316865" cy="335280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6350">
          <a:noFill/>
        </a:ln>
      </cdr:spPr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/>
        <a:p xmlns:a="http://schemas.openxmlformats.org/drawingml/2006/main">
          <a:pPr>
            <a:lnSpc>
              <a:spcPct val="115000"/>
            </a:lnSpc>
            <a:spcAft>
              <a:spcPts val="1000"/>
            </a:spcAft>
          </a:pPr>
          <a:r>
            <a:rPr lang="sk-SK" sz="120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%</a:t>
          </a:r>
          <a:endParaRPr lang="sk-SK" sz="1100">
            <a:effectLst/>
            <a:latin typeface="Calibri" panose="020F0502020204030204" pitchFamily="34" charset="0"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0.01703</cdr:x>
      <cdr:y>0.02617</cdr:y>
    </cdr:from>
    <cdr:to>
      <cdr:x>0.07051</cdr:x>
      <cdr:y>0.10575</cdr:y>
    </cdr:to>
    <cdr:sp macro="" textlink="">
      <cdr:nvSpPr>
        <cdr:cNvPr id="2" name="Textové pole 8"/>
        <cdr:cNvSpPr txBox="1"/>
      </cdr:nvSpPr>
      <cdr:spPr>
        <a:xfrm xmlns:a="http://schemas.openxmlformats.org/drawingml/2006/main">
          <a:off x="100884" y="110249"/>
          <a:ext cx="316880" cy="335288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6350">
          <a:noFill/>
        </a:ln>
      </cdr:spPr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>
            <a:lnSpc>
              <a:spcPct val="115000"/>
            </a:lnSpc>
            <a:spcAft>
              <a:spcPts val="1000"/>
            </a:spcAft>
          </a:pPr>
          <a:r>
            <a:rPr lang="sk-SK" sz="120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%</a:t>
          </a:r>
          <a:endParaRPr lang="sk-SK" sz="1100">
            <a:effectLst/>
            <a:latin typeface="Calibri" panose="020F0502020204030204" pitchFamily="34" charset="0"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0.00695</cdr:x>
      <cdr:y>0.1056</cdr:y>
    </cdr:from>
    <cdr:to>
      <cdr:x>0.08663</cdr:x>
      <cdr:y>0.17846</cdr:y>
    </cdr:to>
    <cdr:sp macro="" textlink="">
      <cdr:nvSpPr>
        <cdr:cNvPr id="2" name="BlokTextu 5"/>
        <cdr:cNvSpPr txBox="1"/>
      </cdr:nvSpPr>
      <cdr:spPr>
        <a:xfrm xmlns:a="http://schemas.openxmlformats.org/drawingml/2006/main">
          <a:off x="41823" y="444382"/>
          <a:ext cx="479505" cy="306606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9525" cmpd="sng">
          <a:noFill/>
        </a:ln>
      </cdr:spPr>
      <cdr:style>
        <a:lnRef xmlns:a="http://schemas.openxmlformats.org/drawingml/2006/main" idx="0">
          <a:scrgbClr r="0" g="0" b="0"/>
        </a:lnRef>
        <a:fillRef xmlns:a="http://schemas.openxmlformats.org/drawingml/2006/main" idx="0">
          <a:scrgbClr r="0" g="0" b="0"/>
        </a:fillRef>
        <a:effectRef xmlns:a="http://schemas.openxmlformats.org/drawingml/2006/main" idx="0">
          <a:scrgbClr r="0" g="0" b="0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wrap="square" rtlCol="0" anchor="t"/>
        <a:lstStyle xmlns:a="http://schemas.openxmlformats.org/drawingml/2006/main">
          <a:lvl1pPr marL="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k-SK" sz="1100"/>
            <a:t>%</a:t>
          </a:r>
        </a:p>
      </cdr:txBody>
    </cdr: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0.00288</cdr:x>
      <cdr:y>0.10615</cdr:y>
    </cdr:from>
    <cdr:to>
      <cdr:x>0.08256</cdr:x>
      <cdr:y>0.17445</cdr:y>
    </cdr:to>
    <cdr:sp macro="" textlink="">
      <cdr:nvSpPr>
        <cdr:cNvPr id="2" name="BlokTextu 5"/>
        <cdr:cNvSpPr txBox="1"/>
      </cdr:nvSpPr>
      <cdr:spPr>
        <a:xfrm xmlns:a="http://schemas.openxmlformats.org/drawingml/2006/main">
          <a:off x="17330" y="446691"/>
          <a:ext cx="479505" cy="287439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9525" cmpd="sng">
          <a:noFill/>
        </a:ln>
      </cdr:spPr>
      <cdr:style>
        <a:lnRef xmlns:a="http://schemas.openxmlformats.org/drawingml/2006/main" idx="0">
          <a:scrgbClr r="0" g="0" b="0"/>
        </a:lnRef>
        <a:fillRef xmlns:a="http://schemas.openxmlformats.org/drawingml/2006/main" idx="0">
          <a:scrgbClr r="0" g="0" b="0"/>
        </a:fillRef>
        <a:effectRef xmlns:a="http://schemas.openxmlformats.org/drawingml/2006/main" idx="0">
          <a:scrgbClr r="0" g="0" b="0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wrap="square" rtlCol="0" anchor="t"/>
        <a:lstStyle xmlns:a="http://schemas.openxmlformats.org/drawingml/2006/main">
          <a:lvl1pPr marL="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k-SK" sz="1100"/>
            <a:t>%</a:t>
          </a:r>
        </a:p>
      </cdr:txBody>
    </cdr:sp>
  </cdr:relSizeAnchor>
</c:userShapes>
</file>

<file path=word/drawings/drawing7.xml><?xml version="1.0" encoding="utf-8"?>
<c:userShapes xmlns:c="http://schemas.openxmlformats.org/drawingml/2006/chart">
  <cdr:relSizeAnchor xmlns:cdr="http://schemas.openxmlformats.org/drawingml/2006/chartDrawing">
    <cdr:from>
      <cdr:x>0.00225</cdr:x>
      <cdr:y>0.09949</cdr:y>
    </cdr:from>
    <cdr:to>
      <cdr:x>0.08488</cdr:x>
      <cdr:y>0.17255</cdr:y>
    </cdr:to>
    <cdr:sp macro="" textlink="">
      <cdr:nvSpPr>
        <cdr:cNvPr id="2" name="BlokTextu 5"/>
        <cdr:cNvSpPr txBox="1"/>
      </cdr:nvSpPr>
      <cdr:spPr>
        <a:xfrm xmlns:a="http://schemas.openxmlformats.org/drawingml/2006/main">
          <a:off x="13603" y="421434"/>
          <a:ext cx="499567" cy="309489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9525" cmpd="sng">
          <a:noFill/>
        </a:ln>
      </cdr:spPr>
      <cdr:style>
        <a:lnRef xmlns:a="http://schemas.openxmlformats.org/drawingml/2006/main" idx="0">
          <a:scrgbClr r="0" g="0" b="0"/>
        </a:lnRef>
        <a:fillRef xmlns:a="http://schemas.openxmlformats.org/drawingml/2006/main" idx="0">
          <a:scrgbClr r="0" g="0" b="0"/>
        </a:fillRef>
        <a:effectRef xmlns:a="http://schemas.openxmlformats.org/drawingml/2006/main" idx="0">
          <a:scrgbClr r="0" g="0" b="0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wrap="square" rtlCol="0" anchor="t"/>
        <a:lstStyle xmlns:a="http://schemas.openxmlformats.org/drawingml/2006/main">
          <a:lvl1pPr marL="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k-SK" sz="1100"/>
            <a:t>%</a:t>
          </a:r>
        </a:p>
      </cdr:txBody>
    </cdr:sp>
  </cdr:relSizeAnchor>
</c:userShapes>
</file>

<file path=word/drawings/drawing8.xml><?xml version="1.0" encoding="utf-8"?>
<c:userShapes xmlns:c="http://schemas.openxmlformats.org/drawingml/2006/chart">
  <cdr:relSizeAnchor xmlns:cdr="http://schemas.openxmlformats.org/drawingml/2006/chartDrawing">
    <cdr:from>
      <cdr:x>0.00158</cdr:x>
      <cdr:y>0.1333</cdr:y>
    </cdr:from>
    <cdr:to>
      <cdr:x>0.08297</cdr:x>
      <cdr:y>0.21835</cdr:y>
    </cdr:to>
    <cdr:sp macro="" textlink="">
      <cdr:nvSpPr>
        <cdr:cNvPr id="2" name="BlokTextu 4"/>
        <cdr:cNvSpPr txBox="1"/>
      </cdr:nvSpPr>
      <cdr:spPr>
        <a:xfrm xmlns:a="http://schemas.openxmlformats.org/drawingml/2006/main">
          <a:off x="9530" y="563419"/>
          <a:ext cx="490539" cy="359469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9525" cmpd="sng">
          <a:noFill/>
        </a:ln>
      </cdr:spPr>
      <cdr:style>
        <a:lnRef xmlns:a="http://schemas.openxmlformats.org/drawingml/2006/main" idx="0">
          <a:scrgbClr r="0" g="0" b="0"/>
        </a:lnRef>
        <a:fillRef xmlns:a="http://schemas.openxmlformats.org/drawingml/2006/main" idx="0">
          <a:scrgbClr r="0" g="0" b="0"/>
        </a:fillRef>
        <a:effectRef xmlns:a="http://schemas.openxmlformats.org/drawingml/2006/main" idx="0">
          <a:scrgbClr r="0" g="0" b="0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wrap="square" rtlCol="0" anchor="t"/>
        <a:lstStyle xmlns:a="http://schemas.openxmlformats.org/drawingml/2006/main">
          <a:lvl1pPr marL="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k-SK" sz="1100"/>
            <a:t>%</a:t>
          </a:r>
        </a:p>
      </cdr:txBody>
    </cdr:sp>
  </cdr:relSizeAnchor>
</c:userShapes>
</file>

<file path=word/drawings/drawing9.xml><?xml version="1.0" encoding="utf-8"?>
<c:userShapes xmlns:c="http://schemas.openxmlformats.org/drawingml/2006/chart">
  <cdr:relSizeAnchor xmlns:cdr="http://schemas.openxmlformats.org/drawingml/2006/chartDrawing">
    <cdr:from>
      <cdr:x>0.0025</cdr:x>
      <cdr:y>0.13453</cdr:y>
    </cdr:from>
    <cdr:to>
      <cdr:x>0.08569</cdr:x>
      <cdr:y>0.21958</cdr:y>
    </cdr:to>
    <cdr:sp macro="" textlink="">
      <cdr:nvSpPr>
        <cdr:cNvPr id="2" name="BlokTextu 4"/>
        <cdr:cNvSpPr txBox="1"/>
      </cdr:nvSpPr>
      <cdr:spPr>
        <a:xfrm xmlns:a="http://schemas.openxmlformats.org/drawingml/2006/main">
          <a:off x="14714" y="568603"/>
          <a:ext cx="490539" cy="359469"/>
        </a:xfrm>
        <a:prstGeom xmlns:a="http://schemas.openxmlformats.org/drawingml/2006/main" prst="rect">
          <a:avLst/>
        </a:prstGeom>
        <a:solidFill xmlns:a="http://schemas.openxmlformats.org/drawingml/2006/main">
          <a:schemeClr val="lt1"/>
        </a:solidFill>
        <a:ln xmlns:a="http://schemas.openxmlformats.org/drawingml/2006/main" w="9525" cmpd="sng">
          <a:noFill/>
        </a:ln>
      </cdr:spPr>
      <cdr:style>
        <a:lnRef xmlns:a="http://schemas.openxmlformats.org/drawingml/2006/main" idx="0">
          <a:scrgbClr r="0" g="0" b="0"/>
        </a:lnRef>
        <a:fillRef xmlns:a="http://schemas.openxmlformats.org/drawingml/2006/main" idx="0">
          <a:scrgbClr r="0" g="0" b="0"/>
        </a:fillRef>
        <a:effectRef xmlns:a="http://schemas.openxmlformats.org/drawingml/2006/main" idx="0">
          <a:scrgbClr r="0" g="0" b="0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wrap="square" rtlCol="0" anchor="t"/>
        <a:lstStyle xmlns:a="http://schemas.openxmlformats.org/drawingml/2006/main">
          <a:lvl1pPr marL="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dk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k-SK" sz="1100"/>
            <a:t>%</a:t>
          </a:r>
        </a:p>
      </cdr:txBody>
    </cdr:sp>
  </cdr:relSizeAnchor>
</c:userShape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3EBCEF-5EF0-4D55-B799-8D7A10ED47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19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ŠÚ SR</Company>
  <LinksUpToDate>false</LinksUpToDate>
  <CharactersWithSpaces>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Kováčová Yvona</dc:creator>
  <cp:lastModifiedBy>Kubal</cp:lastModifiedBy>
  <cp:revision>2</cp:revision>
  <cp:lastPrinted>2021-07-21T09:26:00Z</cp:lastPrinted>
  <dcterms:created xsi:type="dcterms:W3CDTF">2021-08-03T12:21:00Z</dcterms:created>
  <dcterms:modified xsi:type="dcterms:W3CDTF">2021-08-03T12:21:00Z</dcterms:modified>
</cp:coreProperties>
</file>