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644" w:rsidRPr="00E656A6" w:rsidRDefault="002C0644">
      <w:pPr>
        <w:pStyle w:val="nadpis"/>
        <w:rPr>
          <w:rFonts w:asciiTheme="majorBidi" w:hAnsiTheme="majorBidi" w:cstheme="majorBidi"/>
          <w:lang w:val="en-GB"/>
        </w:rPr>
      </w:pPr>
      <w:bookmarkStart w:id="0" w:name="_GoBack"/>
      <w:r w:rsidRPr="00E656A6">
        <w:rPr>
          <w:rFonts w:asciiTheme="majorBidi" w:hAnsiTheme="majorBidi" w:cstheme="majorBidi"/>
          <w:lang w:val="en-GB"/>
        </w:rPr>
        <w:t xml:space="preserve">5. </w:t>
      </w:r>
      <w:r w:rsidRPr="00E656A6">
        <w:rPr>
          <w:rFonts w:asciiTheme="majorBidi" w:hAnsiTheme="majorBidi" w:cstheme="majorBidi"/>
          <w:lang w:val="en-GB"/>
        </w:rPr>
        <w:tab/>
        <w:t xml:space="preserve">INCOME, EXPENDITURE </w:t>
      </w:r>
      <w:r w:rsidRPr="00E656A6">
        <w:rPr>
          <w:rFonts w:asciiTheme="majorBidi" w:hAnsiTheme="majorBidi" w:cstheme="majorBidi"/>
          <w:lang w:val="en-GB"/>
        </w:rPr>
        <w:br/>
      </w:r>
      <w:r w:rsidRPr="00E656A6">
        <w:rPr>
          <w:rFonts w:asciiTheme="majorBidi" w:hAnsiTheme="majorBidi" w:cstheme="majorBidi"/>
          <w:lang w:val="en-GB"/>
        </w:rPr>
        <w:tab/>
        <w:t xml:space="preserve">AND CONSUMPTION </w:t>
      </w:r>
      <w:r w:rsidRPr="00E656A6">
        <w:rPr>
          <w:rFonts w:asciiTheme="majorBidi" w:hAnsiTheme="majorBidi" w:cstheme="majorBidi"/>
          <w:lang w:val="en-GB"/>
        </w:rPr>
        <w:br/>
      </w:r>
      <w:r w:rsidRPr="00E656A6">
        <w:rPr>
          <w:rFonts w:asciiTheme="majorBidi" w:hAnsiTheme="majorBidi" w:cstheme="majorBidi"/>
          <w:lang w:val="en-GB"/>
        </w:rPr>
        <w:tab/>
        <w:t>OF HOUSEHOLDS</w:t>
      </w:r>
    </w:p>
    <w:p w:rsidR="002C0644" w:rsidRPr="00E656A6" w:rsidRDefault="002C0644">
      <w:pPr>
        <w:pStyle w:val="podnadpis"/>
        <w:spacing w:before="57"/>
        <w:rPr>
          <w:rFonts w:asciiTheme="majorBidi" w:hAnsiTheme="majorBidi" w:cstheme="majorBidi"/>
          <w:lang w:val="en-GB"/>
        </w:rPr>
      </w:pPr>
      <w:r w:rsidRPr="00E656A6">
        <w:rPr>
          <w:rFonts w:asciiTheme="majorBidi" w:hAnsiTheme="majorBidi" w:cstheme="majorBidi"/>
          <w:lang w:val="en-GB"/>
        </w:rPr>
        <w:t>Methodological notes</w:t>
      </w:r>
    </w:p>
    <w:p w:rsidR="002C0644" w:rsidRPr="00E656A6" w:rsidRDefault="002C0644">
      <w:pPr>
        <w:pStyle w:val="bodytextEN"/>
        <w:rPr>
          <w:rFonts w:asciiTheme="majorBidi" w:hAnsiTheme="majorBidi" w:cstheme="majorBidi"/>
        </w:rPr>
      </w:pPr>
      <w:r w:rsidRPr="00E656A6">
        <w:rPr>
          <w:rFonts w:asciiTheme="majorBidi" w:hAnsiTheme="majorBidi" w:cstheme="majorBidi"/>
        </w:rPr>
        <w:t>In this section are listed the outputs from the Household Budget Surveys, Statistics on Income and Living Conditions (EU SILC) and Food Consumption Statistics.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Household Budget Survey</w:t>
      </w:r>
      <w:r w:rsidRPr="00E656A6">
        <w:rPr>
          <w:rFonts w:asciiTheme="majorBidi" w:hAnsiTheme="majorBidi" w:cstheme="majorBidi"/>
        </w:rPr>
        <w:t xml:space="preserve"> is survey on income and expenditures of private jointly managed households (private households). </w:t>
      </w:r>
    </w:p>
    <w:p w:rsidR="002C0644" w:rsidRPr="00E656A6" w:rsidRDefault="002C0644">
      <w:pPr>
        <w:pStyle w:val="bodytextEN"/>
        <w:rPr>
          <w:rFonts w:asciiTheme="majorBidi" w:hAnsiTheme="majorBidi" w:cstheme="majorBidi"/>
        </w:rPr>
      </w:pPr>
      <w:r w:rsidRPr="00E656A6">
        <w:rPr>
          <w:rFonts w:asciiTheme="majorBidi" w:hAnsiTheme="majorBidi" w:cstheme="majorBidi"/>
        </w:rPr>
        <w:t>In 2015 Household budget survey was implemented in the new design. Consumption expen</w:t>
      </w:r>
      <w:r w:rsidRPr="00E656A6">
        <w:rPr>
          <w:rFonts w:asciiTheme="majorBidi" w:hAnsiTheme="majorBidi" w:cstheme="majorBidi"/>
        </w:rPr>
        <w:t>d</w:t>
      </w:r>
      <w:r w:rsidRPr="00E656A6">
        <w:rPr>
          <w:rFonts w:asciiTheme="majorBidi" w:hAnsiTheme="majorBidi" w:cstheme="majorBidi"/>
        </w:rPr>
        <w:t xml:space="preserve">itures are presented according to the Classification of Individual Consumption according to Purpose (COICOP) for needs on household budget survey. From 2015 a new classification COICOP-5 was used. In comparison with COICOP-HBS, which was used in Household Budget Statistics till 2015, the changes arose in COICOP-5 concerning items of expenditures namely cancellation some categories, introduction new categories, change of titles, reclassification some items within classes (for example in Division 04 Housing, water, electricity, gas and other fuels the fund of repairs was reclassified from group „Actual rentals for housing“ into group „Water supply and miscellaneous services relating to the dwelling“ etc.). Changes also related to survey on regular and large expenditure of households for period twelve (three) months prior to the month of the survey. The purchase of items in stock was taken into account in calculation of consumer expenditures. The household selection was done on the basis of the 2-steps stratified random sampling. Data from Population and Housing Census 2011 were the sampling frame. </w:t>
      </w:r>
    </w:p>
    <w:p w:rsidR="002C0644" w:rsidRPr="00E656A6" w:rsidRDefault="002C0644">
      <w:pPr>
        <w:pStyle w:val="bodytextEN"/>
        <w:rPr>
          <w:rFonts w:asciiTheme="majorBidi" w:hAnsiTheme="majorBidi" w:cstheme="majorBidi"/>
        </w:rPr>
      </w:pPr>
      <w:r w:rsidRPr="00E656A6">
        <w:rPr>
          <w:rFonts w:asciiTheme="majorBidi" w:hAnsiTheme="majorBidi" w:cstheme="majorBidi"/>
        </w:rPr>
        <w:t>Recommendation by Eurostat related to obtaining of data on household expenditure and i</w:t>
      </w:r>
      <w:r w:rsidRPr="00E656A6">
        <w:rPr>
          <w:rFonts w:asciiTheme="majorBidi" w:hAnsiTheme="majorBidi" w:cstheme="majorBidi"/>
        </w:rPr>
        <w:t>n</w:t>
      </w:r>
      <w:r w:rsidRPr="00E656A6">
        <w:rPr>
          <w:rFonts w:asciiTheme="majorBidi" w:hAnsiTheme="majorBidi" w:cstheme="majorBidi"/>
        </w:rPr>
        <w:t xml:space="preserve">come in national surveys was taken into consideration. </w:t>
      </w:r>
    </w:p>
    <w:p w:rsidR="002C0644" w:rsidRPr="00E656A6" w:rsidRDefault="002C0644">
      <w:pPr>
        <w:pStyle w:val="bodytextEN"/>
        <w:rPr>
          <w:rFonts w:asciiTheme="majorBidi" w:hAnsiTheme="majorBidi" w:cstheme="majorBidi"/>
          <w:spacing w:val="-2"/>
        </w:rPr>
      </w:pPr>
      <w:r w:rsidRPr="00E656A6">
        <w:rPr>
          <w:rFonts w:asciiTheme="majorBidi" w:hAnsiTheme="majorBidi" w:cstheme="majorBidi"/>
          <w:spacing w:val="-2"/>
        </w:rPr>
        <w:t xml:space="preserve">Gross and net money income and expenditure of private households has been recalculated by calibrated weights taking into account of the structure of the age, sex and economic activity of population and household size in regions. </w:t>
      </w:r>
    </w:p>
    <w:p w:rsidR="002C0644" w:rsidRPr="00E656A6" w:rsidRDefault="002C0644">
      <w:pPr>
        <w:pStyle w:val="bodytextEN"/>
        <w:rPr>
          <w:rFonts w:asciiTheme="majorBidi" w:hAnsiTheme="majorBidi" w:cstheme="majorBidi"/>
        </w:rPr>
      </w:pPr>
      <w:r w:rsidRPr="00E656A6">
        <w:rPr>
          <w:rFonts w:asciiTheme="majorBidi" w:hAnsiTheme="majorBidi" w:cstheme="majorBidi"/>
        </w:rPr>
        <w:t>Data 2016 up to 2019 were simulated. The basis sources for simulation were data from i</w:t>
      </w:r>
      <w:r w:rsidRPr="00E656A6">
        <w:rPr>
          <w:rFonts w:asciiTheme="majorBidi" w:hAnsiTheme="majorBidi" w:cstheme="majorBidi"/>
        </w:rPr>
        <w:t>n</w:t>
      </w:r>
      <w:r w:rsidRPr="00E656A6">
        <w:rPr>
          <w:rFonts w:asciiTheme="majorBidi" w:hAnsiTheme="majorBidi" w:cstheme="majorBidi"/>
        </w:rPr>
        <w:t>come and expenditure survey in 2015 and development of consumer prices, earnings, pensions and other social income in 2016, 2017, 2018 and 2019.</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Statistics on Income and Living Conditions (EU SILC)</w:t>
      </w:r>
      <w:r w:rsidRPr="00E656A6">
        <w:rPr>
          <w:rFonts w:asciiTheme="majorBidi" w:hAnsiTheme="majorBidi" w:cstheme="majorBidi"/>
        </w:rPr>
        <w:t xml:space="preserve"> is the survey whose aim is to obtain i</w:t>
      </w:r>
      <w:r w:rsidRPr="00E656A6">
        <w:rPr>
          <w:rFonts w:asciiTheme="majorBidi" w:hAnsiTheme="majorBidi" w:cstheme="majorBidi"/>
        </w:rPr>
        <w:t>n</w:t>
      </w:r>
      <w:r w:rsidRPr="00E656A6">
        <w:rPr>
          <w:rFonts w:asciiTheme="majorBidi" w:hAnsiTheme="majorBidi" w:cstheme="majorBidi"/>
        </w:rPr>
        <w:t>formation on income distribution, on level and structure of poverty and on social exclusion. The survey is implemented under the Regulation (EC) No 1177/2003 on income and living cond</w:t>
      </w:r>
      <w:r w:rsidRPr="00E656A6">
        <w:rPr>
          <w:rFonts w:asciiTheme="majorBidi" w:hAnsiTheme="majorBidi" w:cstheme="majorBidi"/>
        </w:rPr>
        <w:t>i</w:t>
      </w:r>
      <w:r w:rsidRPr="00E656A6">
        <w:rPr>
          <w:rFonts w:asciiTheme="majorBidi" w:hAnsiTheme="majorBidi" w:cstheme="majorBidi"/>
        </w:rPr>
        <w:t>tions. This regulation was later amended by Regulation (EC) No 1553/2005 following the EU enlargements. The survey provides data on income (labour, social and others), information on opinions of households on their financial position, information on income indicators and ind</w:t>
      </w:r>
      <w:r w:rsidRPr="00E656A6">
        <w:rPr>
          <w:rFonts w:asciiTheme="majorBidi" w:hAnsiTheme="majorBidi" w:cstheme="majorBidi"/>
        </w:rPr>
        <w:t>i</w:t>
      </w:r>
      <w:r w:rsidRPr="00E656A6">
        <w:rPr>
          <w:rFonts w:asciiTheme="majorBidi" w:hAnsiTheme="majorBidi" w:cstheme="majorBidi"/>
        </w:rPr>
        <w:t>cators of material deprivation for different types of households.</w:t>
      </w:r>
    </w:p>
    <w:p w:rsidR="002C0644" w:rsidRPr="00E656A6" w:rsidRDefault="002C0644">
      <w:pPr>
        <w:pStyle w:val="bodytextEN"/>
        <w:rPr>
          <w:rFonts w:asciiTheme="majorBidi" w:hAnsiTheme="majorBidi" w:cstheme="majorBidi"/>
        </w:rPr>
      </w:pPr>
      <w:r w:rsidRPr="00E656A6">
        <w:rPr>
          <w:rFonts w:asciiTheme="majorBidi" w:hAnsiTheme="majorBidi" w:cstheme="majorBidi"/>
        </w:rPr>
        <w:t>Basic unit of this survey is private household.</w:t>
      </w:r>
    </w:p>
    <w:p w:rsidR="002C0644" w:rsidRPr="00E656A6" w:rsidRDefault="002C0644">
      <w:pPr>
        <w:pStyle w:val="bodytextEN"/>
        <w:rPr>
          <w:rFonts w:asciiTheme="majorBidi" w:hAnsiTheme="majorBidi" w:cstheme="majorBidi"/>
        </w:rPr>
      </w:pPr>
      <w:r w:rsidRPr="00E656A6">
        <w:rPr>
          <w:rFonts w:asciiTheme="majorBidi" w:hAnsiTheme="majorBidi" w:cstheme="majorBidi"/>
        </w:rPr>
        <w:t>Part of the data is used to calculate Laeken indicators, which compare the countries in achieving the strategic objectives aimed at reducing poverty and social exclusion. They passed some development and they are now called indicators of social inclusion. Poverty and social exclusion is evaluated by them. They include for example:</w:t>
      </w:r>
    </w:p>
    <w:p w:rsidR="00EF4795"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 xml:space="preserve">at-risk-of-poverty rate – by age, gender, the </w:t>
      </w:r>
      <w:r w:rsidRPr="00E656A6">
        <w:rPr>
          <w:rFonts w:asciiTheme="majorBidi" w:hAnsiTheme="majorBidi" w:cstheme="majorBidi"/>
          <w:spacing w:val="-2"/>
        </w:rPr>
        <w:t xml:space="preserve">most frequent activity status, household type, </w:t>
      </w:r>
      <w:r w:rsidRPr="00E656A6">
        <w:rPr>
          <w:rFonts w:asciiTheme="majorBidi" w:hAnsiTheme="majorBidi" w:cstheme="majorBidi"/>
        </w:rPr>
        <w:t xml:space="preserve">tenure status, regions, before all social transfers and before social transfers excluding old-age and </w:t>
      </w:r>
      <w:r w:rsidRPr="00E656A6">
        <w:rPr>
          <w:rFonts w:asciiTheme="majorBidi" w:hAnsiTheme="majorBidi" w:cstheme="majorBidi"/>
        </w:rPr>
        <w:lastRenderedPageBreak/>
        <w:t>su</w:t>
      </w:r>
      <w:r w:rsidRPr="00E656A6">
        <w:rPr>
          <w:rFonts w:asciiTheme="majorBidi" w:hAnsiTheme="majorBidi" w:cstheme="majorBidi"/>
        </w:rPr>
        <w:t>r</w:t>
      </w:r>
      <w:r w:rsidRPr="00E656A6">
        <w:rPr>
          <w:rFonts w:asciiTheme="majorBidi" w:hAnsiTheme="majorBidi" w:cstheme="majorBidi"/>
        </w:rPr>
        <w:t xml:space="preserve">vivor’s benefits </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at-risk-of-poverty rate anchored at a fixed moment in time (2008)</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at-risk-of-poverty threshold</w:t>
      </w:r>
    </w:p>
    <w:p w:rsidR="00EF4795"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income quintile share ratio (S80/S20)</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Gini coefficient</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dispersion around the at-risk-of poverty threshold</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relative median at-risk-of-poverty gap</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relative median income ratio of elderly people 65+</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aggregate replacement ratio</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material deprivation rate.</w:t>
      </w:r>
    </w:p>
    <w:p w:rsidR="002C0644" w:rsidRPr="00E656A6" w:rsidRDefault="002C0644">
      <w:pPr>
        <w:pStyle w:val="bodytextEN"/>
        <w:rPr>
          <w:rFonts w:asciiTheme="majorBidi" w:hAnsiTheme="majorBidi" w:cstheme="majorBidi"/>
        </w:rPr>
      </w:pPr>
      <w:r w:rsidRPr="00E656A6">
        <w:rPr>
          <w:rFonts w:asciiTheme="majorBidi" w:hAnsiTheme="majorBidi" w:cstheme="majorBidi"/>
        </w:rPr>
        <w:t>In connection with the request of the Eurostat, methodology was changed in EU SILC 2009 survey. In the calculation of indicators, variable “Pension from individual private pension plans” was included and therefore indicators for the EU SILC 2006 – 2008 have been revised.</w:t>
      </w:r>
    </w:p>
    <w:p w:rsidR="002C0644" w:rsidRPr="00E656A6" w:rsidRDefault="002C0644">
      <w:pPr>
        <w:pStyle w:val="bodytextEN"/>
        <w:rPr>
          <w:rFonts w:asciiTheme="majorBidi" w:hAnsiTheme="majorBidi" w:cstheme="majorBidi"/>
        </w:rPr>
      </w:pPr>
      <w:r w:rsidRPr="00E656A6">
        <w:rPr>
          <w:rFonts w:asciiTheme="majorBidi" w:hAnsiTheme="majorBidi" w:cstheme="majorBidi"/>
        </w:rPr>
        <w:t xml:space="preserve">Data on </w:t>
      </w:r>
      <w:r w:rsidRPr="00E656A6">
        <w:rPr>
          <w:rFonts w:asciiTheme="majorBidi" w:hAnsiTheme="majorBidi" w:cstheme="majorBidi"/>
          <w:b/>
          <w:bCs/>
        </w:rPr>
        <w:t>consumption of food and alcoholic beverages per capita</w:t>
      </w:r>
      <w:r w:rsidRPr="00E656A6">
        <w:rPr>
          <w:rFonts w:asciiTheme="majorBidi" w:hAnsiTheme="majorBidi" w:cstheme="majorBidi"/>
        </w:rPr>
        <w:t xml:space="preserve"> are calculated by using the balance method. Consumption is computed per mid-year population. Main data inputs used for the calculation are data on domestic production, imports, exports, initial and final stocks. Calc</w:t>
      </w:r>
      <w:r w:rsidRPr="00E656A6">
        <w:rPr>
          <w:rFonts w:asciiTheme="majorBidi" w:hAnsiTheme="majorBidi" w:cstheme="majorBidi"/>
        </w:rPr>
        <w:t>u</w:t>
      </w:r>
      <w:r w:rsidRPr="00E656A6">
        <w:rPr>
          <w:rFonts w:asciiTheme="majorBidi" w:hAnsiTheme="majorBidi" w:cstheme="majorBidi"/>
        </w:rPr>
        <w:t>lation of individual data on consumption of food is based on statistical information of the SO SR, the Ministry of Agriculture and Rural Development of the SR and Central Controlling and Testing Institute in Agriculture as well as information from some food industry unions.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Daily consumption of energy and the most important nutrients per 1 capita</w:t>
      </w:r>
      <w:r w:rsidRPr="00E656A6">
        <w:rPr>
          <w:rFonts w:asciiTheme="majorBidi" w:hAnsiTheme="majorBidi" w:cstheme="majorBidi"/>
        </w:rPr>
        <w:t xml:space="preserve"> are calculated on the base of food consumption data, which were calculated by balance method after excluding co</w:t>
      </w:r>
      <w:r w:rsidRPr="00E656A6">
        <w:rPr>
          <w:rFonts w:asciiTheme="majorBidi" w:hAnsiTheme="majorBidi" w:cstheme="majorBidi"/>
        </w:rPr>
        <w:t>n</w:t>
      </w:r>
      <w:r w:rsidRPr="00E656A6">
        <w:rPr>
          <w:rFonts w:asciiTheme="majorBidi" w:hAnsiTheme="majorBidi" w:cstheme="majorBidi"/>
        </w:rPr>
        <w:t>sumption in food industry for further processing and from the nutritive values of food given in the food tables. Data were adjusted by equivalent intake corresponding to the consumption of alcoholic and non-alcoholic beverages. The result is expressed in gross terms, i.e. including losses (as purchased).</w:t>
      </w:r>
    </w:p>
    <w:p w:rsidR="002C0644" w:rsidRPr="00E656A6" w:rsidRDefault="002C0644">
      <w:pPr>
        <w:pStyle w:val="bodytextEN"/>
        <w:rPr>
          <w:rFonts w:asciiTheme="majorBidi" w:hAnsiTheme="majorBidi" w:cstheme="majorBidi"/>
        </w:rPr>
      </w:pPr>
      <w:r w:rsidRPr="00E656A6">
        <w:rPr>
          <w:rFonts w:asciiTheme="majorBidi" w:hAnsiTheme="majorBidi" w:cstheme="majorBidi"/>
        </w:rPr>
        <w:t>Meat consumption in total is given in terms of carcass weight including entrails.</w:t>
      </w:r>
    </w:p>
    <w:p w:rsidR="00EF4795" w:rsidRPr="00E656A6" w:rsidRDefault="002C0644">
      <w:pPr>
        <w:pStyle w:val="bodytextEN"/>
        <w:rPr>
          <w:rFonts w:asciiTheme="majorBidi" w:hAnsiTheme="majorBidi" w:cstheme="majorBidi"/>
        </w:rPr>
      </w:pPr>
      <w:r w:rsidRPr="00E656A6">
        <w:rPr>
          <w:rFonts w:asciiTheme="majorBidi" w:hAnsiTheme="majorBidi" w:cstheme="majorBidi"/>
        </w:rPr>
        <w:t>Fats in total are expressed in terms of net fat.</w:t>
      </w:r>
    </w:p>
    <w:p w:rsidR="002C0644" w:rsidRPr="00E656A6" w:rsidRDefault="002C0644">
      <w:pPr>
        <w:pStyle w:val="bodytextEN"/>
        <w:rPr>
          <w:rFonts w:asciiTheme="majorBidi" w:hAnsiTheme="majorBidi" w:cstheme="majorBidi"/>
        </w:rPr>
      </w:pPr>
      <w:r w:rsidRPr="00E656A6">
        <w:rPr>
          <w:rFonts w:asciiTheme="majorBidi" w:hAnsiTheme="majorBidi" w:cstheme="majorBidi"/>
        </w:rPr>
        <w:t>Vegetable, vegetable products, fruits and fruits products are expressed in terms of fresh pro</w:t>
      </w:r>
      <w:r w:rsidRPr="00E656A6">
        <w:rPr>
          <w:rFonts w:asciiTheme="majorBidi" w:hAnsiTheme="majorBidi" w:cstheme="majorBidi"/>
        </w:rPr>
        <w:t>d</w:t>
      </w:r>
      <w:r w:rsidRPr="00E656A6">
        <w:rPr>
          <w:rFonts w:asciiTheme="majorBidi" w:hAnsiTheme="majorBidi" w:cstheme="majorBidi"/>
        </w:rPr>
        <w:t>uct.</w:t>
      </w:r>
    </w:p>
    <w:p w:rsidR="002C0644" w:rsidRPr="00E656A6" w:rsidRDefault="002C0644">
      <w:pPr>
        <w:pStyle w:val="podnadpis"/>
        <w:rPr>
          <w:rFonts w:asciiTheme="majorBidi" w:hAnsiTheme="majorBidi" w:cstheme="majorBidi"/>
        </w:rPr>
      </w:pPr>
      <w:r w:rsidRPr="00E656A6">
        <w:rPr>
          <w:rFonts w:asciiTheme="majorBidi" w:hAnsiTheme="majorBidi" w:cstheme="majorBidi"/>
        </w:rPr>
        <w:t>Definitions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Private jointly managed household</w:t>
      </w:r>
      <w:r w:rsidRPr="00E656A6">
        <w:rPr>
          <w:rFonts w:asciiTheme="majorBidi" w:hAnsiTheme="majorBidi" w:cstheme="majorBidi"/>
        </w:rPr>
        <w:t xml:space="preserve"> </w:t>
      </w:r>
      <w:r w:rsidRPr="00E656A6">
        <w:rPr>
          <w:rFonts w:asciiTheme="majorBidi" w:hAnsiTheme="majorBidi" w:cstheme="majorBidi"/>
          <w:b/>
          <w:bCs/>
        </w:rPr>
        <w:t>(private household)</w:t>
      </w:r>
      <w:r w:rsidRPr="00E656A6">
        <w:rPr>
          <w:rFonts w:asciiTheme="majorBidi" w:hAnsiTheme="majorBidi" w:cstheme="majorBidi"/>
        </w:rPr>
        <w:t xml:space="preserve"> consists of the people, who permanently occupy together one dwelling and reimburse together the household expenditure (food, current necessary household expenditure, maintenance of the dwelling, etc.). Member of household is also a person who is not relative with other members of household but he/she permanently shares one dwelling and all household expenditure with them.</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Gross money income of private households</w:t>
      </w:r>
      <w:r w:rsidRPr="00E656A6">
        <w:rPr>
          <w:rFonts w:asciiTheme="majorBidi" w:hAnsiTheme="majorBidi" w:cstheme="majorBidi"/>
        </w:rPr>
        <w:t xml:space="preserve"> is created by not reduced income which represents the total sum of money income received by every member of a household. It is the sum of the money income from employment (including income tax and compulsory contributions to the Social Insurance Agency and to the health insurance companies), financial amounts assigned by self-employed from his/her business income for the needs of the household, social income, f</w:t>
      </w:r>
      <w:r w:rsidRPr="00E656A6">
        <w:rPr>
          <w:rFonts w:asciiTheme="majorBidi" w:hAnsiTheme="majorBidi" w:cstheme="majorBidi"/>
        </w:rPr>
        <w:t>i</w:t>
      </w:r>
      <w:r w:rsidRPr="00E656A6">
        <w:rPr>
          <w:rFonts w:asciiTheme="majorBidi" w:hAnsiTheme="majorBidi" w:cstheme="majorBidi"/>
        </w:rPr>
        <w:t>nancial givings, compensations from insurance companies, gains from lotteries, withdrawals of loans and the like.</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Income from the property of private households</w:t>
      </w:r>
      <w:r w:rsidRPr="00E656A6">
        <w:rPr>
          <w:rFonts w:asciiTheme="majorBidi" w:hAnsiTheme="majorBidi" w:cstheme="majorBidi"/>
        </w:rPr>
        <w:t xml:space="preserve"> is created by the financial amounts from bonds, shares and coupon dividends, from sales of farming products, from real estate lease, etc.</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Net money income of private households</w:t>
      </w:r>
      <w:r w:rsidRPr="00E656A6">
        <w:rPr>
          <w:rFonts w:asciiTheme="majorBidi" w:hAnsiTheme="majorBidi" w:cstheme="majorBidi"/>
        </w:rPr>
        <w:t xml:space="preserve"> consists of:</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 xml:space="preserve">net income from employment (i.e. gross money income without income tax and compulsory </w:t>
      </w:r>
      <w:r w:rsidRPr="00E656A6">
        <w:rPr>
          <w:rFonts w:asciiTheme="majorBidi" w:hAnsiTheme="majorBidi" w:cstheme="majorBidi"/>
        </w:rPr>
        <w:lastRenderedPageBreak/>
        <w:t>contributions to the Social Insurance Agency and health insurance companies);</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 xml:space="preserve">part of income from private business running used by </w:t>
      </w:r>
      <w:proofErr w:type="gramStart"/>
      <w:r w:rsidRPr="00E656A6">
        <w:rPr>
          <w:rFonts w:asciiTheme="majorBidi" w:hAnsiTheme="majorBidi" w:cstheme="majorBidi"/>
        </w:rPr>
        <w:t>an</w:t>
      </w:r>
      <w:proofErr w:type="gramEnd"/>
      <w:r w:rsidRPr="00E656A6">
        <w:rPr>
          <w:rFonts w:asciiTheme="majorBidi" w:hAnsiTheme="majorBidi" w:cstheme="majorBidi"/>
        </w:rPr>
        <w:t xml:space="preserve"> self-employed for household provi</w:t>
      </w:r>
      <w:r w:rsidRPr="00E656A6">
        <w:rPr>
          <w:rFonts w:asciiTheme="majorBidi" w:hAnsiTheme="majorBidi" w:cstheme="majorBidi"/>
        </w:rPr>
        <w:t>d</w:t>
      </w:r>
      <w:r w:rsidRPr="00E656A6">
        <w:rPr>
          <w:rFonts w:asciiTheme="majorBidi" w:hAnsiTheme="majorBidi" w:cstheme="majorBidi"/>
        </w:rPr>
        <w:t>ing;</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social income, i.e. pension security benefits, sickness insurance benefits, state social benefits, social aid benefits and unemployment benefit;</w:t>
      </w:r>
    </w:p>
    <w:p w:rsidR="002C0644" w:rsidRPr="00E656A6" w:rsidRDefault="002C0644">
      <w:pPr>
        <w:pStyle w:val="abcdEN"/>
        <w:rPr>
          <w:rFonts w:asciiTheme="majorBidi" w:hAnsiTheme="majorBidi" w:cstheme="majorBidi"/>
        </w:rPr>
      </w:pPr>
      <w:r w:rsidRPr="00E656A6">
        <w:rPr>
          <w:rFonts w:asciiTheme="majorBidi" w:hAnsiTheme="majorBidi" w:cstheme="majorBidi"/>
        </w:rPr>
        <w:t>–</w:t>
      </w:r>
      <w:r w:rsidRPr="00E656A6">
        <w:rPr>
          <w:rFonts w:asciiTheme="majorBidi" w:hAnsiTheme="majorBidi" w:cstheme="majorBidi"/>
        </w:rPr>
        <w:tab/>
        <w:t>other income, i.e. income from property, income from institutions and income from private persons, income from sales of farming products and income from abroad and withdrawn new loans.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Gross money expenditure of private households</w:t>
      </w:r>
      <w:r w:rsidRPr="00E656A6">
        <w:rPr>
          <w:rFonts w:asciiTheme="majorBidi" w:hAnsiTheme="majorBidi" w:cstheme="majorBidi"/>
        </w:rPr>
        <w:t xml:space="preserve"> is the sum of financial amounts spent on pu</w:t>
      </w:r>
      <w:r w:rsidRPr="00E656A6">
        <w:rPr>
          <w:rFonts w:asciiTheme="majorBidi" w:hAnsiTheme="majorBidi" w:cstheme="majorBidi"/>
        </w:rPr>
        <w:t>r</w:t>
      </w:r>
      <w:r w:rsidRPr="00E656A6">
        <w:rPr>
          <w:rFonts w:asciiTheme="majorBidi" w:hAnsiTheme="majorBidi" w:cstheme="majorBidi"/>
        </w:rPr>
        <w:t>chase of goods and services including voluntary of insurance (consumption expenditure) and transfer of all payments (other gross expenditure) including income tax and loans payments. The expenditure of households on compulsory personal insurance, i.e. contributions on health and sickness insurance, pension security and contributions on insurance in unemployment are i</w:t>
      </w:r>
      <w:r w:rsidRPr="00E656A6">
        <w:rPr>
          <w:rFonts w:asciiTheme="majorBidi" w:hAnsiTheme="majorBidi" w:cstheme="majorBidi"/>
        </w:rPr>
        <w:t>n</w:t>
      </w:r>
      <w:r w:rsidRPr="00E656A6">
        <w:rPr>
          <w:rFonts w:asciiTheme="majorBidi" w:hAnsiTheme="majorBidi" w:cstheme="majorBidi"/>
        </w:rPr>
        <w:t>volved in the item “other gross expenditure”.</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Net money expenditure of private households</w:t>
      </w:r>
      <w:r w:rsidRPr="00E656A6">
        <w:rPr>
          <w:rFonts w:asciiTheme="majorBidi" w:hAnsiTheme="majorBidi" w:cstheme="majorBidi"/>
        </w:rPr>
        <w:t xml:space="preserve"> is recalculated as the sum of expenditure on co</w:t>
      </w:r>
      <w:r w:rsidRPr="00E656A6">
        <w:rPr>
          <w:rFonts w:asciiTheme="majorBidi" w:hAnsiTheme="majorBidi" w:cstheme="majorBidi"/>
        </w:rPr>
        <w:t>n</w:t>
      </w:r>
      <w:r w:rsidRPr="00E656A6">
        <w:rPr>
          <w:rFonts w:asciiTheme="majorBidi" w:hAnsiTheme="majorBidi" w:cstheme="majorBidi"/>
        </w:rPr>
        <w:t>sumer goods and services and other net expenditure. Income tax, compulsory contributions on health and sickness insurance, pension security and contributions on insurance in unemployment are excluded.</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Social category of private household</w:t>
      </w:r>
      <w:r w:rsidRPr="00E656A6">
        <w:rPr>
          <w:rFonts w:asciiTheme="majorBidi" w:hAnsiTheme="majorBidi" w:cstheme="majorBidi"/>
        </w:rPr>
        <w:t xml:space="preserve"> corresponds with social category of person at the head of household, which is derived from the position in occupation, from type of economic activity and from the form of compensation.</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Economically active person</w:t>
      </w:r>
      <w:r w:rsidRPr="00E656A6">
        <w:rPr>
          <w:rFonts w:asciiTheme="majorBidi" w:hAnsiTheme="majorBidi" w:cstheme="majorBidi"/>
        </w:rPr>
        <w:t xml:space="preserve"> is a person who is worked or unemployed.</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Employed</w:t>
      </w:r>
      <w:r w:rsidRPr="00E656A6">
        <w:rPr>
          <w:rFonts w:asciiTheme="majorBidi" w:hAnsiTheme="majorBidi" w:cstheme="majorBidi"/>
        </w:rPr>
        <w:t xml:space="preserve"> is a person who works at least 1 hour during a week.</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 xml:space="preserve">Employee </w:t>
      </w:r>
      <w:r w:rsidRPr="00E656A6">
        <w:rPr>
          <w:rFonts w:asciiTheme="majorBidi" w:hAnsiTheme="majorBidi" w:cstheme="majorBidi"/>
        </w:rPr>
        <w:t>is working for wage, salary or other kind of compensation in state enterprise, in pr</w:t>
      </w:r>
      <w:r w:rsidRPr="00E656A6">
        <w:rPr>
          <w:rFonts w:asciiTheme="majorBidi" w:hAnsiTheme="majorBidi" w:cstheme="majorBidi"/>
        </w:rPr>
        <w:t>i</w:t>
      </w:r>
      <w:r w:rsidRPr="00E656A6">
        <w:rPr>
          <w:rFonts w:asciiTheme="majorBidi" w:hAnsiTheme="majorBidi" w:cstheme="majorBidi"/>
        </w:rPr>
        <w:t>vate enterprise, in agricultural or other cooperative organization, in other employer.</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Self-employed</w:t>
      </w:r>
      <w:r w:rsidRPr="00E656A6">
        <w:rPr>
          <w:rFonts w:asciiTheme="majorBidi" w:hAnsiTheme="majorBidi" w:cstheme="majorBidi"/>
        </w:rPr>
        <w:t xml:space="preserve"> (entrepreneur, associate, self-employed person, self-employed farmer, freelancer) is a person who performs economic activity for the purpose to obtain a profit regardless other persons are employed by him/her or not.</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Unemployed</w:t>
      </w:r>
      <w:r w:rsidRPr="00E656A6">
        <w:rPr>
          <w:rFonts w:asciiTheme="majorBidi" w:hAnsiTheme="majorBidi" w:cstheme="majorBidi"/>
        </w:rPr>
        <w:t xml:space="preserve"> is a person who had no job during income reference period, but he/she looked the job actively, and it is not decisive if he/she is registered or not at labour office.</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Pensioner</w:t>
      </w:r>
      <w:r w:rsidRPr="00E656A6">
        <w:rPr>
          <w:rFonts w:asciiTheme="majorBidi" w:hAnsiTheme="majorBidi" w:cstheme="majorBidi"/>
        </w:rPr>
        <w:t xml:space="preserve"> is a person in retirement or early retirement if he/she left his/her work for age or other reason.</w:t>
      </w:r>
    </w:p>
    <w:p w:rsidR="002C0644" w:rsidRPr="00E656A6" w:rsidRDefault="002C0644">
      <w:pPr>
        <w:pStyle w:val="bodytextEN"/>
        <w:rPr>
          <w:rFonts w:asciiTheme="majorBidi" w:hAnsiTheme="majorBidi" w:cstheme="majorBidi"/>
          <w:b/>
          <w:bCs/>
        </w:rPr>
      </w:pPr>
      <w:r w:rsidRPr="00E656A6">
        <w:rPr>
          <w:rFonts w:asciiTheme="majorBidi" w:hAnsiTheme="majorBidi" w:cstheme="majorBidi"/>
          <w:b/>
          <w:bCs/>
        </w:rPr>
        <w:t>Old-age pensioner</w:t>
      </w:r>
      <w:r w:rsidRPr="00E656A6">
        <w:rPr>
          <w:rFonts w:asciiTheme="majorBidi" w:hAnsiTheme="majorBidi" w:cstheme="majorBidi"/>
        </w:rPr>
        <w:t xml:space="preserve"> is a person who draws an old-age pension and he/she is not employed</w:t>
      </w:r>
      <w:r w:rsidRPr="00E656A6">
        <w:rPr>
          <w:rFonts w:asciiTheme="majorBidi" w:hAnsiTheme="majorBidi" w:cstheme="majorBidi"/>
          <w:b/>
          <w:bCs/>
        </w:rPr>
        <w:t>.</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Other inactive person</w:t>
      </w:r>
      <w:r w:rsidRPr="00E656A6">
        <w:rPr>
          <w:rFonts w:asciiTheme="majorBidi" w:hAnsiTheme="majorBidi" w:cstheme="majorBidi"/>
        </w:rPr>
        <w:t xml:space="preserve"> is a person who lives from other sources, e.g., housewife, students, a</w:t>
      </w:r>
      <w:r w:rsidRPr="00E656A6">
        <w:rPr>
          <w:rFonts w:asciiTheme="majorBidi" w:hAnsiTheme="majorBidi" w:cstheme="majorBidi"/>
        </w:rPr>
        <w:t>p</w:t>
      </w:r>
      <w:r w:rsidRPr="00E656A6">
        <w:rPr>
          <w:rFonts w:asciiTheme="majorBidi" w:hAnsiTheme="majorBidi" w:cstheme="majorBidi"/>
        </w:rPr>
        <w:t>prentices, persons not included in the work process etc.</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Dependent child</w:t>
      </w:r>
      <w:r w:rsidRPr="00E656A6">
        <w:rPr>
          <w:rFonts w:asciiTheme="majorBidi" w:hAnsiTheme="majorBidi" w:cstheme="majorBidi"/>
        </w:rPr>
        <w:t xml:space="preserve"> is defined as a household member aged less than 18 or aged from 18 to 24 who is economically inactive and is living with at least one parent.</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Most frequent activity status</w:t>
      </w:r>
      <w:r w:rsidRPr="00E656A6">
        <w:rPr>
          <w:rFonts w:asciiTheme="majorBidi" w:hAnsiTheme="majorBidi" w:cstheme="majorBidi"/>
        </w:rPr>
        <w:t xml:space="preserve"> is defined by own deliberation of person (besides employed) i.e. self-defined status of economic activity is intended on the basis of principle most time spent.</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Total gross household income</w:t>
      </w:r>
      <w:r w:rsidRPr="00E656A6">
        <w:rPr>
          <w:rFonts w:asciiTheme="majorBidi" w:hAnsiTheme="majorBidi" w:cstheme="majorBidi"/>
        </w:rPr>
        <w:t xml:space="preserve"> is the sum of gross personal income components for all hous</w:t>
      </w:r>
      <w:r w:rsidRPr="00E656A6">
        <w:rPr>
          <w:rFonts w:asciiTheme="majorBidi" w:hAnsiTheme="majorBidi" w:cstheme="majorBidi"/>
        </w:rPr>
        <w:t>e</w:t>
      </w:r>
      <w:r w:rsidRPr="00E656A6">
        <w:rPr>
          <w:rFonts w:asciiTheme="majorBidi" w:hAnsiTheme="majorBidi" w:cstheme="majorBidi"/>
        </w:rPr>
        <w:t>hold members plus gross income components at household level (e.g. income from rental of a property or land, inter-household cash transfers received from other households).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spacing w:val="-2"/>
        </w:rPr>
        <w:t>Total disposable household income</w:t>
      </w:r>
      <w:r w:rsidRPr="00E656A6">
        <w:rPr>
          <w:rFonts w:asciiTheme="majorBidi" w:hAnsiTheme="majorBidi" w:cstheme="majorBidi"/>
          <w:spacing w:val="-2"/>
        </w:rPr>
        <w:t xml:space="preserve"> is the sum of gross personal income components for all household members plus gross income components at household level (e.g. income from rental of a property or land, inter-household cash transfers received from other households) minus regular taxes on property, regular inter-household cash transfers paid (e.g. alimony, regular cash support from other households), tax on income and social insurance contributions.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lastRenderedPageBreak/>
        <w:t>Equivalised scale</w:t>
      </w:r>
      <w:r w:rsidRPr="00E656A6">
        <w:rPr>
          <w:rFonts w:asciiTheme="majorBidi" w:hAnsiTheme="majorBidi" w:cstheme="majorBidi"/>
        </w:rPr>
        <w:t xml:space="preserve"> is used for calculation of equivalent household size. For calculation of ind</w:t>
      </w:r>
      <w:r w:rsidRPr="00E656A6">
        <w:rPr>
          <w:rFonts w:asciiTheme="majorBidi" w:hAnsiTheme="majorBidi" w:cstheme="majorBidi"/>
        </w:rPr>
        <w:t>i</w:t>
      </w:r>
      <w:r w:rsidRPr="00E656A6">
        <w:rPr>
          <w:rFonts w:asciiTheme="majorBidi" w:hAnsiTheme="majorBidi" w:cstheme="majorBidi"/>
        </w:rPr>
        <w:t>cators of poverty is used modified OECD scale, where coefficient 1 is assigned to the first adult household member, 0.5 to the second one and each adult household member, 0.5 to persons 14 years old and older and 0.3 to each child younger than 14 years.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Equivalised disposable income</w:t>
      </w:r>
      <w:r w:rsidRPr="00E656A6">
        <w:rPr>
          <w:rFonts w:asciiTheme="majorBidi" w:hAnsiTheme="majorBidi" w:cstheme="majorBidi"/>
        </w:rPr>
        <w:t xml:space="preserve"> is defined as the total disposable income of household divided by the equivalent number of household members. This income is assigned to each member of households.</w:t>
      </w:r>
    </w:p>
    <w:p w:rsidR="002C0644" w:rsidRPr="00E656A6" w:rsidRDefault="002C0644">
      <w:pPr>
        <w:pStyle w:val="bodytextEN"/>
        <w:rPr>
          <w:rFonts w:asciiTheme="majorBidi" w:hAnsiTheme="majorBidi" w:cstheme="majorBidi"/>
          <w:b/>
          <w:bCs/>
        </w:rPr>
      </w:pPr>
      <w:r w:rsidRPr="00E656A6">
        <w:rPr>
          <w:rFonts w:asciiTheme="majorBidi" w:hAnsiTheme="majorBidi" w:cstheme="majorBidi"/>
          <w:b/>
          <w:bCs/>
        </w:rPr>
        <w:t>Median of equivalised</w:t>
      </w:r>
      <w:r w:rsidRPr="00E656A6">
        <w:rPr>
          <w:rFonts w:asciiTheme="majorBidi" w:hAnsiTheme="majorBidi" w:cstheme="majorBidi"/>
        </w:rPr>
        <w:t xml:space="preserve"> </w:t>
      </w:r>
      <w:r w:rsidRPr="00E656A6">
        <w:rPr>
          <w:rFonts w:asciiTheme="majorBidi" w:hAnsiTheme="majorBidi" w:cstheme="majorBidi"/>
          <w:b/>
          <w:bCs/>
        </w:rPr>
        <w:t>disposable income</w:t>
      </w:r>
      <w:r w:rsidRPr="00E656A6">
        <w:rPr>
          <w:rFonts w:asciiTheme="majorBidi" w:hAnsiTheme="majorBidi" w:cstheme="majorBidi"/>
        </w:rPr>
        <w:t xml:space="preserve"> is the value of the equivalised disposable income, which divides the population according to income amount into two equally numerous parts a</w:t>
      </w:r>
      <w:r w:rsidRPr="00E656A6">
        <w:rPr>
          <w:rFonts w:asciiTheme="majorBidi" w:hAnsiTheme="majorBidi" w:cstheme="majorBidi"/>
        </w:rPr>
        <w:t>c</w:t>
      </w:r>
      <w:r w:rsidRPr="00E656A6">
        <w:rPr>
          <w:rFonts w:asciiTheme="majorBidi" w:hAnsiTheme="majorBidi" w:cstheme="majorBidi"/>
        </w:rPr>
        <w:t>cording to number of persons.</w:t>
      </w:r>
      <w:r w:rsidRPr="00E656A6">
        <w:rPr>
          <w:rFonts w:asciiTheme="majorBidi" w:hAnsiTheme="majorBidi" w:cstheme="majorBidi"/>
          <w:b/>
          <w:bCs/>
        </w:rPr>
        <w:t xml:space="preserve"> </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At-risk-of-poverty rate</w:t>
      </w:r>
      <w:r w:rsidRPr="00E656A6">
        <w:rPr>
          <w:rFonts w:asciiTheme="majorBidi" w:hAnsiTheme="majorBidi" w:cstheme="majorBidi"/>
        </w:rPr>
        <w:t xml:space="preserve"> is share of persons in the total population with an equivalised disposable income below the at-risk-of-poverty threshold (60% of the national median equivalised disposable income).</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 xml:space="preserve">The most frequent activity status </w:t>
      </w:r>
      <w:r w:rsidRPr="00E656A6">
        <w:rPr>
          <w:rFonts w:asciiTheme="majorBidi" w:hAnsiTheme="majorBidi" w:cstheme="majorBidi"/>
        </w:rPr>
        <w:t>is defined as the status that individual declares himself to have occupied for more than half the total number of months. The activity status is self-defined by respondent.</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At-risk-of-poverty rate before all social transfers (including old-age and survivors´ benefits)</w:t>
      </w:r>
      <w:r w:rsidRPr="00E656A6">
        <w:rPr>
          <w:rFonts w:asciiTheme="majorBidi" w:hAnsiTheme="majorBidi" w:cstheme="majorBidi"/>
        </w:rPr>
        <w:t xml:space="preserve"> is based on definition of income, which excludes all social transfers, i.e. not take into account ne</w:t>
      </w:r>
      <w:r w:rsidRPr="00E656A6">
        <w:rPr>
          <w:rFonts w:asciiTheme="majorBidi" w:hAnsiTheme="majorBidi" w:cstheme="majorBidi"/>
        </w:rPr>
        <w:t>i</w:t>
      </w:r>
      <w:r w:rsidRPr="00E656A6">
        <w:rPr>
          <w:rFonts w:asciiTheme="majorBidi" w:hAnsiTheme="majorBidi" w:cstheme="majorBidi"/>
        </w:rPr>
        <w:t>ther pensions (old-age and survivors´ benefits).</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 xml:space="preserve">At-risk-of-poverty rate before social transfers (except old-age and survivors´ benefits) </w:t>
      </w:r>
      <w:r w:rsidRPr="00E656A6">
        <w:rPr>
          <w:rFonts w:asciiTheme="majorBidi" w:hAnsiTheme="majorBidi" w:cstheme="majorBidi"/>
        </w:rPr>
        <w:t>is based on definition of income, which includes pensions (i.e. old-age and survivors´ benefits), but excludes other social transfers.</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 xml:space="preserve">At-risk-of-poverty rate anchored at a fixed moment in time (2008) </w:t>
      </w:r>
      <w:r w:rsidRPr="00E656A6">
        <w:rPr>
          <w:rFonts w:asciiTheme="majorBidi" w:hAnsiTheme="majorBidi" w:cstheme="majorBidi"/>
        </w:rPr>
        <w:t xml:space="preserve">in year </w:t>
      </w:r>
      <w:r w:rsidRPr="00E656A6">
        <w:rPr>
          <w:rStyle w:val="italic"/>
          <w:rFonts w:asciiTheme="majorBidi" w:hAnsiTheme="majorBidi" w:cstheme="majorBidi"/>
          <w:iCs/>
        </w:rPr>
        <w:t>t</w:t>
      </w:r>
      <w:r w:rsidRPr="00E656A6">
        <w:rPr>
          <w:rFonts w:asciiTheme="majorBidi" w:hAnsiTheme="majorBidi" w:cstheme="majorBidi"/>
        </w:rPr>
        <w:t xml:space="preserve"> is the share </w:t>
      </w:r>
      <w:r w:rsidRPr="00E656A6">
        <w:rPr>
          <w:rFonts w:asciiTheme="majorBidi" w:hAnsiTheme="majorBidi" w:cstheme="majorBidi"/>
          <w:spacing w:val="-2"/>
        </w:rPr>
        <w:t>of pe</w:t>
      </w:r>
      <w:r w:rsidRPr="00E656A6">
        <w:rPr>
          <w:rFonts w:asciiTheme="majorBidi" w:hAnsiTheme="majorBidi" w:cstheme="majorBidi"/>
          <w:spacing w:val="-2"/>
        </w:rPr>
        <w:t>r</w:t>
      </w:r>
      <w:r w:rsidRPr="00E656A6">
        <w:rPr>
          <w:rFonts w:asciiTheme="majorBidi" w:hAnsiTheme="majorBidi" w:cstheme="majorBidi"/>
          <w:spacing w:val="-2"/>
        </w:rPr>
        <w:t xml:space="preserve">sons with an equivalised disposable income below the at-risk-of-poverty threshold in year </w:t>
      </w:r>
      <w:r w:rsidRPr="00E656A6">
        <w:rPr>
          <w:rStyle w:val="italic"/>
          <w:rFonts w:asciiTheme="majorBidi" w:hAnsiTheme="majorBidi" w:cstheme="majorBidi"/>
          <w:iCs/>
          <w:spacing w:val="-2"/>
        </w:rPr>
        <w:t>t</w:t>
      </w:r>
      <w:r w:rsidRPr="00E656A6">
        <w:rPr>
          <w:rStyle w:val="italic"/>
          <w:rFonts w:asciiTheme="majorBidi" w:hAnsiTheme="majorBidi" w:cstheme="majorBidi"/>
          <w:i w:val="0"/>
          <w:spacing w:val="-2"/>
        </w:rPr>
        <w:t> – 3</w:t>
      </w:r>
      <w:r w:rsidRPr="00E656A6">
        <w:rPr>
          <w:rFonts w:asciiTheme="majorBidi" w:hAnsiTheme="majorBidi" w:cstheme="majorBidi"/>
          <w:spacing w:val="-2"/>
        </w:rPr>
        <w:t>,</w:t>
      </w:r>
      <w:r w:rsidRPr="00E656A6">
        <w:rPr>
          <w:rFonts w:asciiTheme="majorBidi" w:hAnsiTheme="majorBidi" w:cstheme="majorBidi"/>
        </w:rPr>
        <w:t xml:space="preserve"> overrated by inflation over the three years.</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At-risk-of-poverty threshold</w:t>
      </w:r>
      <w:r w:rsidRPr="00E656A6">
        <w:rPr>
          <w:rFonts w:asciiTheme="majorBidi" w:hAnsiTheme="majorBidi" w:cstheme="majorBidi"/>
        </w:rPr>
        <w:t xml:space="preserve"> is set at 60 % of the national median equivalised disposable income. The value of the at-risk-of-poverty threshold is expressed in PPS and in EUR.</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Income quintile share ratio (S80/S20)</w:t>
      </w:r>
      <w:r w:rsidRPr="00E656A6">
        <w:rPr>
          <w:rFonts w:asciiTheme="majorBidi" w:hAnsiTheme="majorBidi" w:cstheme="majorBidi"/>
        </w:rPr>
        <w:t xml:space="preserve"> is ratio of total income received by the 20 % of the country’s population with the highest income (top quintile) to that received by the 20 % of the country’s population with the lowest income (lowest quintile).</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Gini coefficient</w:t>
      </w:r>
      <w:r w:rsidRPr="00E656A6">
        <w:rPr>
          <w:rFonts w:asciiTheme="majorBidi" w:hAnsiTheme="majorBidi" w:cstheme="majorBidi"/>
        </w:rPr>
        <w:t xml:space="preserve"> (inequality of income distribution) is summary measure of the cumulative shares of equivalised disposable income accounted for by the cumulative percentage of the number of individuals. It is value ranges from 0 % (complete equality) to 100 % (complete in</w:t>
      </w:r>
      <w:r w:rsidRPr="00E656A6">
        <w:rPr>
          <w:rFonts w:asciiTheme="majorBidi" w:hAnsiTheme="majorBidi" w:cstheme="majorBidi"/>
        </w:rPr>
        <w:t>e</w:t>
      </w:r>
      <w:r w:rsidRPr="00E656A6">
        <w:rPr>
          <w:rFonts w:asciiTheme="majorBidi" w:hAnsiTheme="majorBidi" w:cstheme="majorBidi"/>
        </w:rPr>
        <w:t>quality).</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 xml:space="preserve">Dispersion around the at-risk-of-poverty thre­shold </w:t>
      </w:r>
      <w:r w:rsidRPr="00E656A6">
        <w:rPr>
          <w:rFonts w:asciiTheme="majorBidi" w:hAnsiTheme="majorBidi" w:cstheme="majorBidi"/>
        </w:rPr>
        <w:t>is defined as the percentage</w:t>
      </w:r>
      <w:r w:rsidRPr="00E656A6">
        <w:rPr>
          <w:rFonts w:asciiTheme="majorBidi" w:hAnsiTheme="majorBidi" w:cstheme="majorBidi"/>
          <w:b/>
          <w:bCs/>
        </w:rPr>
        <w:t xml:space="preserve"> </w:t>
      </w:r>
      <w:r w:rsidRPr="00E656A6">
        <w:rPr>
          <w:rFonts w:asciiTheme="majorBidi" w:hAnsiTheme="majorBidi" w:cstheme="majorBidi"/>
        </w:rPr>
        <w:t>of persons, over the total population, with an equivalised disposable income below 40%, 50% and 70% of the national median equivalised disposable income.</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Relative median at-risk-of-poverty gap</w:t>
      </w:r>
      <w:r w:rsidRPr="00E656A6">
        <w:rPr>
          <w:rFonts w:asciiTheme="majorBidi" w:hAnsiTheme="majorBidi" w:cstheme="majorBidi"/>
        </w:rPr>
        <w:t xml:space="preserve"> is defined as difference between the median equivalised disposable income of persons below the at-risk-of poverty threshold and the threshold itself, expressed as a percentage of the at-risk-of poverty threshold.</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Relative median income ratio of people aged 65+</w:t>
      </w:r>
      <w:r w:rsidRPr="00E656A6">
        <w:rPr>
          <w:rFonts w:asciiTheme="majorBidi" w:hAnsiTheme="majorBidi" w:cstheme="majorBidi"/>
        </w:rPr>
        <w:t xml:space="preserve"> is the ratio of the median equivalised dispos</w:t>
      </w:r>
      <w:r w:rsidRPr="00E656A6">
        <w:rPr>
          <w:rFonts w:asciiTheme="majorBidi" w:hAnsiTheme="majorBidi" w:cstheme="majorBidi"/>
        </w:rPr>
        <w:t>a</w:t>
      </w:r>
      <w:r w:rsidRPr="00E656A6">
        <w:rPr>
          <w:rFonts w:asciiTheme="majorBidi" w:hAnsiTheme="majorBidi" w:cstheme="majorBidi"/>
        </w:rPr>
        <w:t>ble income of people aged 65+ to the median equivalised disposable income of people aged 0 – 64.</w:t>
      </w:r>
    </w:p>
    <w:p w:rsidR="002C0644" w:rsidRPr="00E656A6" w:rsidRDefault="002C0644">
      <w:pPr>
        <w:pStyle w:val="bodytextEN"/>
        <w:rPr>
          <w:rFonts w:asciiTheme="majorBidi" w:hAnsiTheme="majorBidi" w:cstheme="majorBidi"/>
        </w:rPr>
      </w:pPr>
      <w:r w:rsidRPr="00E656A6">
        <w:rPr>
          <w:rFonts w:asciiTheme="majorBidi" w:hAnsiTheme="majorBidi" w:cstheme="majorBidi"/>
          <w:b/>
          <w:bCs/>
        </w:rPr>
        <w:t>Aggregate replacement ratio</w:t>
      </w:r>
      <w:r w:rsidRPr="00E656A6">
        <w:rPr>
          <w:rFonts w:asciiTheme="majorBidi" w:hAnsiTheme="majorBidi" w:cstheme="majorBidi"/>
        </w:rPr>
        <w:t xml:space="preserve"> is the ratio of the median personal (non-equivalised) income from pensions of retired persons aged 65 – 74, to the median personal (non-equivalised) income from earnings of persons aged 50 – 59. Income in both cases is not recalculated per equivalised unit.</w:t>
      </w:r>
    </w:p>
    <w:p w:rsidR="00EF4795" w:rsidRPr="00E656A6" w:rsidRDefault="002C0644">
      <w:pPr>
        <w:pStyle w:val="bodytextEN"/>
        <w:rPr>
          <w:rFonts w:asciiTheme="majorBidi" w:hAnsiTheme="majorBidi" w:cstheme="majorBidi"/>
        </w:rPr>
      </w:pPr>
      <w:r w:rsidRPr="00E656A6">
        <w:rPr>
          <w:rFonts w:asciiTheme="majorBidi" w:hAnsiTheme="majorBidi" w:cstheme="majorBidi"/>
          <w:b/>
          <w:bCs/>
        </w:rPr>
        <w:t>Material deprivation</w:t>
      </w:r>
      <w:r w:rsidRPr="00E656A6">
        <w:rPr>
          <w:rFonts w:asciiTheme="majorBidi" w:hAnsiTheme="majorBidi" w:cstheme="majorBidi"/>
        </w:rPr>
        <w:t xml:space="preserve"> </w:t>
      </w:r>
      <w:r w:rsidRPr="00E656A6">
        <w:rPr>
          <w:rFonts w:asciiTheme="majorBidi" w:hAnsiTheme="majorBidi" w:cstheme="majorBidi"/>
          <w:b/>
          <w:bCs/>
        </w:rPr>
        <w:t>rate</w:t>
      </w:r>
      <w:r w:rsidRPr="00E656A6">
        <w:rPr>
          <w:rFonts w:asciiTheme="majorBidi" w:hAnsiTheme="majorBidi" w:cstheme="majorBidi"/>
        </w:rPr>
        <w:t xml:space="preserve"> is defined as the percentage of population with an enforced lack of at least three or at least four out of nine material deprivation items, that a household cannot afford: </w:t>
      </w:r>
      <w:r w:rsidRPr="00E656A6">
        <w:rPr>
          <w:rFonts w:asciiTheme="majorBidi" w:hAnsiTheme="majorBidi" w:cstheme="majorBidi"/>
        </w:rPr>
        <w:lastRenderedPageBreak/>
        <w:t xml:space="preserve">a) to face unexpected financial expenses, b) to go for one week´s annual holiday, away from home, c) to pay arrears on mortgage or rent payments, utility bills, hire purchase instalments or other loan payments, d) to eat every second day a meal with meat, chicken, fish, e) to keep home adequately warm or although the household would like to have but it cannot afford: f) washing machine, g) colour TV, h) telephone or i) car. </w:t>
      </w:r>
    </w:p>
    <w:p w:rsidR="002C0644" w:rsidRPr="00E656A6" w:rsidRDefault="002C0644">
      <w:pPr>
        <w:pStyle w:val="bodytextEN"/>
        <w:rPr>
          <w:rFonts w:asciiTheme="majorBidi" w:hAnsiTheme="majorBidi" w:cstheme="majorBidi"/>
          <w:spacing w:val="-3"/>
        </w:rPr>
      </w:pPr>
      <w:r w:rsidRPr="00E656A6">
        <w:rPr>
          <w:rFonts w:asciiTheme="majorBidi" w:hAnsiTheme="majorBidi" w:cstheme="majorBidi"/>
          <w:b/>
          <w:bCs/>
          <w:spacing w:val="-3"/>
        </w:rPr>
        <w:t>The average consumption of selected kind of food and alcoholic beverages</w:t>
      </w:r>
      <w:r w:rsidRPr="00E656A6">
        <w:rPr>
          <w:rFonts w:asciiTheme="majorBidi" w:hAnsiTheme="majorBidi" w:cstheme="majorBidi"/>
          <w:spacing w:val="-3"/>
        </w:rPr>
        <w:t xml:space="preserve"> is total amount of the commodity available in the country as human food during given year per capita. The consumption of surveyed kinds of food also involves the consumption in food industry for further processing (meat for production of smoked products, sugar for confectionery production, e.g.).</w:t>
      </w:r>
    </w:p>
    <w:p w:rsidR="002C0644" w:rsidRPr="00E656A6" w:rsidRDefault="002C0644">
      <w:pPr>
        <w:pStyle w:val="podnadpis"/>
        <w:rPr>
          <w:rFonts w:asciiTheme="majorBidi" w:hAnsiTheme="majorBidi" w:cstheme="majorBidi"/>
        </w:rPr>
      </w:pPr>
      <w:r w:rsidRPr="00E656A6">
        <w:rPr>
          <w:rFonts w:asciiTheme="majorBidi" w:hAnsiTheme="majorBidi" w:cstheme="majorBidi"/>
        </w:rPr>
        <w:t>Source</w:t>
      </w:r>
    </w:p>
    <w:p w:rsidR="002C0644" w:rsidRPr="00E656A6" w:rsidRDefault="002C0644">
      <w:pPr>
        <w:pStyle w:val="bodytextEN"/>
        <w:rPr>
          <w:rFonts w:asciiTheme="majorBidi" w:hAnsiTheme="majorBidi" w:cstheme="majorBidi"/>
        </w:rPr>
      </w:pPr>
      <w:r w:rsidRPr="00E656A6">
        <w:rPr>
          <w:rFonts w:asciiTheme="majorBidi" w:hAnsiTheme="majorBidi" w:cstheme="majorBidi"/>
        </w:rPr>
        <w:t>Money income and expenditure of private household data are the result of the statistics on the household budget survey carried out by the SO SR. More detailed information is available in the publications Income, Expenditures and Consumption of Private Households.</w:t>
      </w:r>
    </w:p>
    <w:p w:rsidR="002C0644" w:rsidRPr="00E656A6" w:rsidRDefault="002C0644">
      <w:pPr>
        <w:pStyle w:val="bodytextEN"/>
        <w:rPr>
          <w:rFonts w:asciiTheme="majorBidi" w:hAnsiTheme="majorBidi" w:cstheme="majorBidi"/>
        </w:rPr>
      </w:pPr>
      <w:r w:rsidRPr="00E656A6">
        <w:rPr>
          <w:rFonts w:asciiTheme="majorBidi" w:hAnsiTheme="majorBidi" w:cstheme="majorBidi"/>
        </w:rPr>
        <w:t>In statistics of incomes and living conditions are presented finally results from survey on i</w:t>
      </w:r>
      <w:r w:rsidRPr="00E656A6">
        <w:rPr>
          <w:rFonts w:asciiTheme="majorBidi" w:hAnsiTheme="majorBidi" w:cstheme="majorBidi"/>
        </w:rPr>
        <w:t>n</w:t>
      </w:r>
      <w:r w:rsidRPr="00E656A6">
        <w:rPr>
          <w:rFonts w:asciiTheme="majorBidi" w:hAnsiTheme="majorBidi" w:cstheme="majorBidi"/>
        </w:rPr>
        <w:t>comes and living conditions of households for EU SILC 2014 – 2018. Detailed data were pu</w:t>
      </w:r>
      <w:r w:rsidRPr="00E656A6">
        <w:rPr>
          <w:rFonts w:asciiTheme="majorBidi" w:hAnsiTheme="majorBidi" w:cstheme="majorBidi"/>
        </w:rPr>
        <w:t>b</w:t>
      </w:r>
      <w:r w:rsidRPr="00E656A6">
        <w:rPr>
          <w:rFonts w:asciiTheme="majorBidi" w:hAnsiTheme="majorBidi" w:cstheme="majorBidi"/>
        </w:rPr>
        <w:t>lished in special publications.</w:t>
      </w:r>
    </w:p>
    <w:p w:rsidR="002C0644" w:rsidRPr="00E656A6" w:rsidRDefault="002C0644">
      <w:pPr>
        <w:pStyle w:val="bodytextEN"/>
        <w:rPr>
          <w:rFonts w:asciiTheme="majorBidi" w:hAnsiTheme="majorBidi" w:cstheme="majorBidi"/>
        </w:rPr>
      </w:pPr>
      <w:r w:rsidRPr="00E656A6">
        <w:rPr>
          <w:rFonts w:asciiTheme="majorBidi" w:hAnsiTheme="majorBidi" w:cstheme="majorBidi"/>
        </w:rPr>
        <w:t>Food consumption and its nutritive evaluation were processed by the SO SR. Next info</w:t>
      </w:r>
      <w:r w:rsidRPr="00E656A6">
        <w:rPr>
          <w:rFonts w:asciiTheme="majorBidi" w:hAnsiTheme="majorBidi" w:cstheme="majorBidi"/>
        </w:rPr>
        <w:t>r</w:t>
      </w:r>
      <w:r w:rsidRPr="00E656A6">
        <w:rPr>
          <w:rFonts w:asciiTheme="majorBidi" w:hAnsiTheme="majorBidi" w:cstheme="majorBidi"/>
        </w:rPr>
        <w:t>mation can be found in annual publications Food Consumption in the SR.</w:t>
      </w:r>
      <w:bookmarkEnd w:id="0"/>
    </w:p>
    <w:sectPr w:rsidR="002C0644" w:rsidRPr="00E656A6">
      <w:pgSz w:w="9354" w:h="13209"/>
      <w:pgMar w:top="1134" w:right="850" w:bottom="1020" w:left="794"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Nimbus Roman D OT">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5"/>
    <w:rsid w:val="002C0644"/>
    <w:rsid w:val="00E656A6"/>
    <w:rsid w:val="00EF479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8CAA255-63B1-45B1-B69B-3FC5BAF7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cs="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ezodstavcovhostylu">
    <w:name w:val="[Bez odstavcového stylu]"/>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nadpis">
    <w:name w:val="nadpis"/>
    <w:basedOn w:val="Bezodstavcovhostylu"/>
    <w:uiPriority w:val="99"/>
    <w:pPr>
      <w:tabs>
        <w:tab w:val="left" w:pos="340"/>
      </w:tabs>
      <w:suppressAutoHyphens/>
      <w:spacing w:after="440"/>
      <w:textAlignment w:val="top"/>
    </w:pPr>
    <w:rPr>
      <w:rFonts w:ascii="Nimbus Roman D OT" w:hAnsi="Nimbus Roman D OT" w:cs="Nimbus Roman D OT"/>
      <w:b/>
      <w:bCs/>
      <w:caps/>
      <w:lang w:val="en-US"/>
    </w:rPr>
  </w:style>
  <w:style w:type="paragraph" w:customStyle="1" w:styleId="podnadpis">
    <w:name w:val="podnadpis"/>
    <w:basedOn w:val="Bezodstavcovhostylu"/>
    <w:uiPriority w:val="99"/>
    <w:pPr>
      <w:keepNext/>
      <w:suppressAutoHyphens/>
      <w:spacing w:before="220" w:after="220" w:line="220" w:lineRule="atLeast"/>
      <w:textAlignment w:val="top"/>
    </w:pPr>
    <w:rPr>
      <w:rFonts w:ascii="Nimbus Roman D OT" w:hAnsi="Nimbus Roman D OT" w:cs="Nimbus Roman D OT"/>
      <w:b/>
      <w:bCs/>
      <w:sz w:val="20"/>
      <w:szCs w:val="20"/>
      <w:lang w:val="en-US"/>
    </w:rPr>
  </w:style>
  <w:style w:type="paragraph" w:styleId="Zkladntext">
    <w:name w:val="Body Text"/>
    <w:basedOn w:val="Bezodstavcovhostylu"/>
    <w:link w:val="ZkladntextChar"/>
    <w:uiPriority w:val="99"/>
    <w:pPr>
      <w:spacing w:line="220" w:lineRule="atLeast"/>
      <w:ind w:firstLine="200"/>
      <w:jc w:val="both"/>
      <w:textAlignment w:val="baseline"/>
    </w:pPr>
    <w:rPr>
      <w:rFonts w:ascii="Nimbus Roman D OT" w:hAnsi="Nimbus Roman D OT" w:cs="Nimbus Roman D OT"/>
      <w:sz w:val="20"/>
      <w:szCs w:val="20"/>
      <w:lang w:val="sk-SK"/>
    </w:rPr>
  </w:style>
  <w:style w:type="character" w:customStyle="1" w:styleId="ZkladntextChar">
    <w:name w:val="Základný text Char"/>
    <w:basedOn w:val="Predvolenpsmoodseku"/>
    <w:link w:val="Zkladntext"/>
    <w:uiPriority w:val="99"/>
    <w:semiHidden/>
    <w:locked/>
    <w:rPr>
      <w:rFonts w:cs="Times New Roman"/>
    </w:rPr>
  </w:style>
  <w:style w:type="paragraph" w:customStyle="1" w:styleId="bodytextEN">
    <w:name w:val="body text EN"/>
    <w:basedOn w:val="Zkladntext"/>
    <w:uiPriority w:val="99"/>
    <w:rPr>
      <w:lang w:val="en-GB"/>
    </w:rPr>
  </w:style>
  <w:style w:type="paragraph" w:customStyle="1" w:styleId="abcd">
    <w:name w:val="abcd"/>
    <w:basedOn w:val="Zkladntext"/>
    <w:uiPriority w:val="99"/>
    <w:pPr>
      <w:ind w:left="200" w:hanging="200"/>
    </w:pPr>
  </w:style>
  <w:style w:type="paragraph" w:customStyle="1" w:styleId="abcdEN">
    <w:name w:val="abcd EN"/>
    <w:basedOn w:val="abcd"/>
    <w:uiPriority w:val="99"/>
    <w:rPr>
      <w:lang w:val="en-GB"/>
    </w:rPr>
  </w:style>
  <w:style w:type="character" w:customStyle="1" w:styleId="italic">
    <w:name w:val="italic"/>
    <w:uiPriority w:val="9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2310</Words>
  <Characters>13168</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Cerulíková Anna Ing.</dc:creator>
  <cp:keywords/>
  <dc:description/>
  <cp:lastModifiedBy>Cerulíková Anna Ing.</cp:lastModifiedBy>
  <cp:revision>2</cp:revision>
  <dcterms:created xsi:type="dcterms:W3CDTF">2021-02-02T08:21:00Z</dcterms:created>
  <dcterms:modified xsi:type="dcterms:W3CDTF">2021-02-02T08:21:00Z</dcterms:modified>
</cp:coreProperties>
</file>