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Pr="000F06A8" w:rsidRDefault="000F06A8">
      <w:pPr>
        <w:pStyle w:val="nadpis"/>
        <w:rPr>
          <w:rFonts w:asciiTheme="majorBidi" w:hAnsiTheme="majorBidi" w:cstheme="majorBidi"/>
          <w:lang w:val="en-GB"/>
        </w:rPr>
      </w:pPr>
      <w:bookmarkStart w:id="0" w:name="_GoBack"/>
      <w:r w:rsidRPr="000F06A8">
        <w:rPr>
          <w:rFonts w:asciiTheme="majorBidi" w:hAnsiTheme="majorBidi" w:cstheme="majorBidi"/>
          <w:lang w:val="en-GB"/>
        </w:rPr>
        <w:t>30. Gender Equality</w:t>
      </w:r>
    </w:p>
    <w:p w:rsidR="00000000" w:rsidRPr="000F06A8" w:rsidRDefault="000F06A8">
      <w:pPr>
        <w:pStyle w:val="podnadpis"/>
        <w:rPr>
          <w:rFonts w:asciiTheme="majorBidi" w:hAnsiTheme="majorBidi" w:cstheme="majorBidi"/>
          <w:lang w:val="en-GB"/>
        </w:rPr>
      </w:pPr>
      <w:r w:rsidRPr="000F06A8">
        <w:rPr>
          <w:rFonts w:asciiTheme="majorBidi" w:hAnsiTheme="majorBidi" w:cstheme="majorBidi"/>
          <w:lang w:val="en-GB"/>
        </w:rPr>
        <w:t>Methodological notes</w:t>
      </w:r>
    </w:p>
    <w:p w:rsidR="00000000" w:rsidRPr="000F06A8" w:rsidRDefault="000F06A8">
      <w:pPr>
        <w:pStyle w:val="bodytextEN"/>
        <w:rPr>
          <w:rFonts w:asciiTheme="majorBidi" w:hAnsiTheme="majorBidi" w:cstheme="majorBidi"/>
        </w:rPr>
      </w:pPr>
      <w:r w:rsidRPr="000F06A8">
        <w:rPr>
          <w:rFonts w:asciiTheme="majorBidi" w:hAnsiTheme="majorBidi" w:cstheme="majorBidi"/>
          <w:b/>
          <w:bCs/>
        </w:rPr>
        <w:t>Gender equality</w:t>
      </w:r>
      <w:r w:rsidRPr="000F06A8">
        <w:rPr>
          <w:rFonts w:asciiTheme="majorBidi" w:hAnsiTheme="majorBidi" w:cstheme="majorBidi"/>
        </w:rPr>
        <w:t xml:space="preserve"> is equitable treatment of women and men, which is equivalent from point of view rights, advantages, liabilities and chances. Every person is accepted, evaluated and supported in the same rate and without discrimination.</w:t>
      </w:r>
      <w:r w:rsidRPr="000F06A8">
        <w:rPr>
          <w:rFonts w:asciiTheme="majorBidi" w:hAnsiTheme="majorBidi" w:cstheme="majorBidi"/>
        </w:rPr>
        <w:t xml:space="preserve"> </w:t>
      </w:r>
    </w:p>
    <w:p w:rsidR="00000000" w:rsidRPr="000F06A8" w:rsidRDefault="000F06A8">
      <w:pPr>
        <w:pStyle w:val="bodytextEN"/>
        <w:rPr>
          <w:rFonts w:asciiTheme="majorBidi" w:hAnsiTheme="majorBidi" w:cstheme="majorBidi"/>
        </w:rPr>
      </w:pPr>
      <w:r w:rsidRPr="000F06A8">
        <w:rPr>
          <w:rFonts w:asciiTheme="majorBidi" w:hAnsiTheme="majorBidi" w:cstheme="majorBidi"/>
        </w:rPr>
        <w:t>The Statistical Office of the SR surveys, processes and provides statistical information broken down by gender on a long term. Thus making it possible to describe the phenomena affecting the status of women and men in society. The SO SR contributes to cr</w:t>
      </w:r>
      <w:r w:rsidRPr="000F06A8">
        <w:rPr>
          <w:rFonts w:asciiTheme="majorBidi" w:hAnsiTheme="majorBidi" w:cstheme="majorBidi"/>
        </w:rPr>
        <w:t>eate and adopt measures for increasing the level of support, protection and fulfilment of equality of rights and opportunities between genders. The SO SR actively cooperates and participates in the activities of the Government of the SR for Gender Equality</w:t>
      </w:r>
      <w:r w:rsidRPr="000F06A8">
        <w:rPr>
          <w:rFonts w:asciiTheme="majorBidi" w:hAnsiTheme="majorBidi" w:cstheme="majorBidi"/>
        </w:rPr>
        <w:t xml:space="preserve"> in the area of statistics.</w:t>
      </w:r>
    </w:p>
    <w:p w:rsidR="00000000" w:rsidRPr="000F06A8" w:rsidRDefault="000F06A8">
      <w:pPr>
        <w:pStyle w:val="bodytextEN"/>
        <w:rPr>
          <w:rFonts w:asciiTheme="majorBidi" w:hAnsiTheme="majorBidi" w:cstheme="majorBidi"/>
        </w:rPr>
      </w:pPr>
      <w:r w:rsidRPr="000F06A8">
        <w:rPr>
          <w:rFonts w:asciiTheme="majorBidi" w:hAnsiTheme="majorBidi" w:cstheme="majorBidi"/>
        </w:rPr>
        <w:t xml:space="preserve">In the Statistical Yearbook of the SR, the data on gender are mostly incorporated in the tables of the individual chapters including methodology, mainly in demographic and social statistics. </w:t>
      </w:r>
    </w:p>
    <w:p w:rsidR="00000000" w:rsidRPr="000F06A8" w:rsidRDefault="000F06A8">
      <w:pPr>
        <w:pStyle w:val="bodytextEN"/>
        <w:rPr>
          <w:rFonts w:asciiTheme="majorBidi" w:hAnsiTheme="majorBidi" w:cstheme="majorBidi"/>
        </w:rPr>
      </w:pPr>
      <w:r w:rsidRPr="000F06A8">
        <w:rPr>
          <w:rFonts w:asciiTheme="majorBidi" w:hAnsiTheme="majorBidi" w:cstheme="majorBidi"/>
        </w:rPr>
        <w:t xml:space="preserve">The chapter </w:t>
      </w:r>
      <w:r w:rsidRPr="000F06A8">
        <w:rPr>
          <w:rFonts w:asciiTheme="majorBidi" w:hAnsiTheme="majorBidi" w:cstheme="majorBidi"/>
          <w:b/>
          <w:bCs/>
        </w:rPr>
        <w:t>Gender equality</w:t>
      </w:r>
      <w:r w:rsidRPr="000F06A8">
        <w:rPr>
          <w:rFonts w:asciiTheme="majorBidi" w:hAnsiTheme="majorBidi" w:cstheme="majorBidi"/>
        </w:rPr>
        <w:t xml:space="preserve"> compleme</w:t>
      </w:r>
      <w:r w:rsidRPr="000F06A8">
        <w:rPr>
          <w:rFonts w:asciiTheme="majorBidi" w:hAnsiTheme="majorBidi" w:cstheme="majorBidi"/>
        </w:rPr>
        <w:t>nts and extends the content of the publication by statistical data broken down by women and men for that indicators, which are not included in the relevant chapters. The processing of the indicator the average gross nominal monthly earnings of employees ha</w:t>
      </w:r>
      <w:r w:rsidRPr="000F06A8">
        <w:rPr>
          <w:rFonts w:asciiTheme="majorBidi" w:hAnsiTheme="majorBidi" w:cstheme="majorBidi"/>
        </w:rPr>
        <w:t>s used the International Standard Classification of Occupation (ISCO – 08).</w:t>
      </w:r>
    </w:p>
    <w:p w:rsidR="00000000" w:rsidRPr="000F06A8" w:rsidRDefault="000F06A8">
      <w:pPr>
        <w:pStyle w:val="bodytextEN"/>
        <w:rPr>
          <w:rFonts w:asciiTheme="majorBidi" w:hAnsiTheme="majorBidi" w:cstheme="majorBidi"/>
        </w:rPr>
      </w:pPr>
      <w:r w:rsidRPr="000F06A8">
        <w:rPr>
          <w:rFonts w:asciiTheme="majorBidi" w:hAnsiTheme="majorBidi" w:cstheme="majorBidi"/>
        </w:rPr>
        <w:t xml:space="preserve">The </w:t>
      </w:r>
      <w:r w:rsidRPr="000F06A8">
        <w:rPr>
          <w:rFonts w:asciiTheme="majorBidi" w:hAnsiTheme="majorBidi" w:cstheme="majorBidi"/>
          <w:b/>
          <w:bCs/>
        </w:rPr>
        <w:t>elections to the National Council of the SR</w:t>
      </w:r>
      <w:r w:rsidRPr="000F06A8">
        <w:rPr>
          <w:rFonts w:asciiTheme="majorBidi" w:hAnsiTheme="majorBidi" w:cstheme="majorBidi"/>
        </w:rPr>
        <w:t xml:space="preserve"> were held in line with the Act No 180/2014 Coll. on Conditions of the Exercise of Voting Rights and on amendments to certain laws. T</w:t>
      </w:r>
      <w:r w:rsidRPr="000F06A8">
        <w:rPr>
          <w:rFonts w:asciiTheme="majorBidi" w:hAnsiTheme="majorBidi" w:cstheme="majorBidi"/>
        </w:rPr>
        <w:t>he elections were held on 29 February 2020. The 150 members were elected to a four-year term of office.</w:t>
      </w:r>
    </w:p>
    <w:p w:rsidR="00000000" w:rsidRPr="000F06A8" w:rsidRDefault="000F06A8">
      <w:pPr>
        <w:pStyle w:val="bodytextEN"/>
        <w:rPr>
          <w:rFonts w:asciiTheme="majorBidi" w:hAnsiTheme="majorBidi" w:cstheme="majorBidi"/>
        </w:rPr>
      </w:pPr>
      <w:r w:rsidRPr="000F06A8">
        <w:rPr>
          <w:rFonts w:asciiTheme="majorBidi" w:hAnsiTheme="majorBidi" w:cstheme="majorBidi"/>
        </w:rPr>
        <w:t>The elections to the European Parliament are held on the basis of universal, equal and direct suffrage by secret ballot following the principle of propo</w:t>
      </w:r>
      <w:r w:rsidRPr="000F06A8">
        <w:rPr>
          <w:rFonts w:asciiTheme="majorBidi" w:hAnsiTheme="majorBidi" w:cstheme="majorBidi"/>
        </w:rPr>
        <w:t xml:space="preserve">rtional representation. </w:t>
      </w:r>
      <w:r w:rsidRPr="000F06A8">
        <w:rPr>
          <w:rFonts w:asciiTheme="majorBidi" w:hAnsiTheme="majorBidi" w:cstheme="majorBidi"/>
          <w:b/>
          <w:bCs/>
        </w:rPr>
        <w:t>Elections to the European Parliament</w:t>
      </w:r>
      <w:r w:rsidRPr="000F06A8">
        <w:rPr>
          <w:rFonts w:asciiTheme="majorBidi" w:hAnsiTheme="majorBidi" w:cstheme="majorBidi"/>
        </w:rPr>
        <w:t xml:space="preserve"> were held on 25 May 2019. 14 members were elected to a five-year term of office.</w:t>
      </w:r>
    </w:p>
    <w:p w:rsidR="00000000" w:rsidRPr="000F06A8" w:rsidRDefault="000F06A8">
      <w:pPr>
        <w:pStyle w:val="bodytextEN"/>
        <w:rPr>
          <w:rFonts w:asciiTheme="majorBidi" w:hAnsiTheme="majorBidi" w:cstheme="majorBidi"/>
        </w:rPr>
      </w:pPr>
      <w:r w:rsidRPr="000F06A8">
        <w:rPr>
          <w:rFonts w:asciiTheme="majorBidi" w:hAnsiTheme="majorBidi" w:cstheme="majorBidi"/>
        </w:rPr>
        <w:t xml:space="preserve">The Chairman of the National Council of the Slovak Republic, by his degree No 166/2017, announced </w:t>
      </w:r>
      <w:r w:rsidRPr="000F06A8">
        <w:rPr>
          <w:rFonts w:asciiTheme="majorBidi" w:hAnsiTheme="majorBidi" w:cstheme="majorBidi"/>
          <w:b/>
          <w:bCs/>
        </w:rPr>
        <w:t>the elections to</w:t>
      </w:r>
      <w:r w:rsidRPr="000F06A8">
        <w:rPr>
          <w:rFonts w:asciiTheme="majorBidi" w:hAnsiTheme="majorBidi" w:cstheme="majorBidi"/>
          <w:b/>
          <w:bCs/>
        </w:rPr>
        <w:t xml:space="preserve"> local authorities of Self-governing Regions</w:t>
      </w:r>
      <w:r w:rsidRPr="000F06A8">
        <w:rPr>
          <w:rFonts w:asciiTheme="majorBidi" w:hAnsiTheme="majorBidi" w:cstheme="majorBidi"/>
        </w:rPr>
        <w:t>, which were held on 4 November 2017. The elections were held in line with the Act No 180/2014 Coll. on Conditions of the Exercise of Voting Rights and on amendments to certain laws only in one round.</w:t>
      </w:r>
    </w:p>
    <w:p w:rsidR="00000000" w:rsidRPr="000F06A8" w:rsidRDefault="000F06A8">
      <w:pPr>
        <w:pStyle w:val="podnadpis"/>
        <w:rPr>
          <w:rFonts w:asciiTheme="majorBidi" w:hAnsiTheme="majorBidi" w:cstheme="majorBidi"/>
        </w:rPr>
      </w:pPr>
      <w:r w:rsidRPr="000F06A8">
        <w:rPr>
          <w:rFonts w:asciiTheme="majorBidi" w:hAnsiTheme="majorBidi" w:cstheme="majorBidi"/>
        </w:rPr>
        <w:t>Definitions</w:t>
      </w:r>
    </w:p>
    <w:p w:rsidR="00000000" w:rsidRPr="000F06A8" w:rsidRDefault="000F06A8">
      <w:pPr>
        <w:pStyle w:val="bodytextEN"/>
        <w:rPr>
          <w:rFonts w:asciiTheme="majorBidi" w:hAnsiTheme="majorBidi" w:cstheme="majorBidi"/>
        </w:rPr>
      </w:pPr>
      <w:r w:rsidRPr="000F06A8">
        <w:rPr>
          <w:rFonts w:asciiTheme="majorBidi" w:hAnsiTheme="majorBidi" w:cstheme="majorBidi"/>
          <w:b/>
          <w:bCs/>
        </w:rPr>
        <w:t>Congenital defect</w:t>
      </w:r>
      <w:r w:rsidRPr="000F06A8">
        <w:rPr>
          <w:rFonts w:asciiTheme="majorBidi" w:hAnsiTheme="majorBidi" w:cstheme="majorBidi"/>
        </w:rPr>
        <w:t xml:space="preserve"> is an abnormality in the structure, function or metabolism of the body organ or body parts that arose during the intrauterine development of foetus and is present at the birth.</w:t>
      </w:r>
    </w:p>
    <w:p w:rsidR="00000000" w:rsidRPr="000F06A8" w:rsidRDefault="000F06A8">
      <w:pPr>
        <w:pStyle w:val="bodytextEN"/>
        <w:rPr>
          <w:rFonts w:asciiTheme="majorBidi" w:hAnsiTheme="majorBidi" w:cstheme="majorBidi"/>
        </w:rPr>
      </w:pPr>
      <w:r w:rsidRPr="000F06A8">
        <w:rPr>
          <w:rFonts w:asciiTheme="majorBidi" w:hAnsiTheme="majorBidi" w:cstheme="majorBidi"/>
          <w:b/>
          <w:bCs/>
        </w:rPr>
        <w:t>Occupational disease</w:t>
      </w:r>
      <w:r w:rsidRPr="000F06A8">
        <w:rPr>
          <w:rFonts w:asciiTheme="majorBidi" w:hAnsiTheme="majorBidi" w:cstheme="majorBidi"/>
        </w:rPr>
        <w:t xml:space="preserve"> is a disease that arose during the perf</w:t>
      </w:r>
      <w:r w:rsidRPr="000F06A8">
        <w:rPr>
          <w:rFonts w:asciiTheme="majorBidi" w:hAnsiTheme="majorBidi" w:cstheme="majorBidi"/>
        </w:rPr>
        <w:t>ormance of work service tasks or in direct connection with the performance of work or service tasks.</w:t>
      </w:r>
    </w:p>
    <w:p w:rsidR="00000000" w:rsidRPr="000F06A8" w:rsidRDefault="000F06A8">
      <w:pPr>
        <w:pStyle w:val="bodytextEN"/>
        <w:rPr>
          <w:rFonts w:asciiTheme="majorBidi" w:hAnsiTheme="majorBidi" w:cstheme="majorBidi"/>
        </w:rPr>
      </w:pPr>
      <w:r w:rsidRPr="000F06A8">
        <w:rPr>
          <w:rFonts w:asciiTheme="majorBidi" w:hAnsiTheme="majorBidi" w:cstheme="majorBidi"/>
          <w:b/>
          <w:bCs/>
        </w:rPr>
        <w:t>Outpatient protective treatment</w:t>
      </w:r>
      <w:r w:rsidRPr="000F06A8">
        <w:rPr>
          <w:rFonts w:asciiTheme="majorBidi" w:hAnsiTheme="majorBidi" w:cstheme="majorBidi"/>
        </w:rPr>
        <w:t xml:space="preserve"> is a protection measure, imposed by the court to a sick person to undergo outpatient treatment and keep the treatment progr</w:t>
      </w:r>
      <w:r w:rsidRPr="000F06A8">
        <w:rPr>
          <w:rFonts w:asciiTheme="majorBidi" w:hAnsiTheme="majorBidi" w:cstheme="majorBidi"/>
        </w:rPr>
        <w:t>am.</w:t>
      </w:r>
    </w:p>
    <w:p w:rsidR="00000000" w:rsidRPr="000F06A8" w:rsidRDefault="000F06A8">
      <w:pPr>
        <w:pStyle w:val="bodytextEN"/>
        <w:rPr>
          <w:rFonts w:asciiTheme="majorBidi" w:hAnsiTheme="majorBidi" w:cstheme="majorBidi"/>
        </w:rPr>
      </w:pPr>
      <w:r w:rsidRPr="000F06A8">
        <w:rPr>
          <w:rFonts w:asciiTheme="majorBidi" w:hAnsiTheme="majorBidi" w:cstheme="majorBidi"/>
          <w:b/>
          <w:bCs/>
        </w:rPr>
        <w:t>Suicide</w:t>
      </w:r>
      <w:r w:rsidRPr="000F06A8">
        <w:rPr>
          <w:rFonts w:asciiTheme="majorBidi" w:hAnsiTheme="majorBidi" w:cstheme="majorBidi"/>
        </w:rPr>
        <w:t xml:space="preserve"> is act of the intentionally ending one´s own life by spontaneous act causing death.</w:t>
      </w:r>
    </w:p>
    <w:p w:rsidR="00000000" w:rsidRPr="000F06A8" w:rsidRDefault="000F06A8">
      <w:pPr>
        <w:pStyle w:val="podnadpis"/>
        <w:rPr>
          <w:rFonts w:asciiTheme="majorBidi" w:hAnsiTheme="majorBidi" w:cstheme="majorBidi"/>
        </w:rPr>
      </w:pPr>
      <w:r w:rsidRPr="000F06A8">
        <w:rPr>
          <w:rFonts w:asciiTheme="majorBidi" w:hAnsiTheme="majorBidi" w:cstheme="majorBidi"/>
        </w:rPr>
        <w:t>Source</w:t>
      </w:r>
    </w:p>
    <w:p w:rsidR="00000000" w:rsidRPr="000F06A8" w:rsidRDefault="000F06A8">
      <w:pPr>
        <w:pStyle w:val="bodytextEN"/>
        <w:rPr>
          <w:rFonts w:asciiTheme="majorBidi" w:hAnsiTheme="majorBidi" w:cstheme="majorBidi"/>
        </w:rPr>
      </w:pPr>
      <w:r w:rsidRPr="000F06A8">
        <w:rPr>
          <w:rFonts w:asciiTheme="majorBidi" w:hAnsiTheme="majorBidi" w:cstheme="majorBidi"/>
        </w:rPr>
        <w:t>Data on pensions are obtained from the administrative data sources of the Social Insurance Company. Data on health status of population, drug addiction a</w:t>
      </w:r>
      <w:r w:rsidRPr="000F06A8">
        <w:rPr>
          <w:rFonts w:asciiTheme="majorBidi" w:hAnsiTheme="majorBidi" w:cstheme="majorBidi"/>
        </w:rPr>
        <w:t xml:space="preserve">nd suicides are obtained from the </w:t>
      </w:r>
      <w:r w:rsidRPr="000F06A8">
        <w:rPr>
          <w:rFonts w:asciiTheme="majorBidi" w:hAnsiTheme="majorBidi" w:cstheme="majorBidi"/>
        </w:rPr>
        <w:lastRenderedPageBreak/>
        <w:t>processing of statistical survey of the Ministry of Health of the SR (National Health Information Centre). Data on criminal offenders and victims of crime are provided by the Ministry of Interior of the SR. Other published</w:t>
      </w:r>
      <w:r w:rsidRPr="000F06A8">
        <w:rPr>
          <w:rFonts w:asciiTheme="majorBidi" w:hAnsiTheme="majorBidi" w:cstheme="majorBidi"/>
        </w:rPr>
        <w:t xml:space="preserve"> data are the results of the statistical surveys of the SO SR. </w:t>
      </w:r>
      <w:bookmarkEnd w:id="0"/>
    </w:p>
    <w:sectPr w:rsidR="00000000" w:rsidRPr="000F06A8">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auto"/>
    <w:notTrueType/>
    <w:pitch w:val="default"/>
    <w:sig w:usb0="00000003" w:usb1="00000000" w:usb2="00000000" w:usb3="00000000" w:csb0="00000001" w:csb1="00000000"/>
  </w:font>
  <w:font w:name="Nimbus Roman D O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6A8"/>
    <w:rsid w:val="000F0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5C094A-36AD-44F5-B7A3-95CCDB85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2903</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2021-02-02T12:57:00Z</dcterms:created>
  <dcterms:modified xsi:type="dcterms:W3CDTF">2021-02-02T12:57:00Z</dcterms:modified>
</cp:coreProperties>
</file>