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CED" w:rsidRPr="00D62DB2" w:rsidRDefault="00C54CED">
      <w:pPr>
        <w:pStyle w:val="nadpis"/>
        <w:spacing w:after="283"/>
        <w:rPr>
          <w:rFonts w:asciiTheme="majorBidi" w:hAnsiTheme="majorBidi" w:cstheme="majorBidi"/>
          <w:lang w:val="sk-SK"/>
        </w:rPr>
      </w:pPr>
      <w:bookmarkStart w:id="0" w:name="_GoBack"/>
      <w:bookmarkEnd w:id="0"/>
      <w:r w:rsidRPr="00D62DB2">
        <w:rPr>
          <w:rFonts w:asciiTheme="majorBidi" w:hAnsiTheme="majorBidi" w:cstheme="majorBidi"/>
          <w:lang w:val="sk-SK"/>
        </w:rPr>
        <w:t>6. Vzdelávanie</w:t>
      </w:r>
    </w:p>
    <w:p w:rsidR="00C54CED" w:rsidRPr="00D62DB2" w:rsidRDefault="00C54CED">
      <w:pPr>
        <w:pStyle w:val="podnadpis"/>
        <w:rPr>
          <w:rFonts w:asciiTheme="majorBidi" w:hAnsiTheme="majorBidi" w:cstheme="majorBidi"/>
          <w:lang w:val="sk-SK"/>
        </w:rPr>
      </w:pPr>
      <w:r w:rsidRPr="00D62DB2">
        <w:rPr>
          <w:rFonts w:asciiTheme="majorBidi" w:hAnsiTheme="majorBidi" w:cstheme="majorBidi"/>
          <w:lang w:val="sk-SK"/>
        </w:rPr>
        <w:t>Metodické vysvetlivky</w:t>
      </w:r>
    </w:p>
    <w:p w:rsidR="00313B63" w:rsidRPr="00D62DB2" w:rsidRDefault="00C54CED">
      <w:pPr>
        <w:pStyle w:val="Zkladntext"/>
        <w:rPr>
          <w:rFonts w:asciiTheme="majorBidi" w:hAnsiTheme="majorBidi" w:cstheme="majorBidi"/>
          <w:b/>
          <w:bCs/>
        </w:rPr>
      </w:pPr>
      <w:r w:rsidRPr="00D62DB2">
        <w:rPr>
          <w:rFonts w:asciiTheme="majorBidi" w:hAnsiTheme="majorBidi" w:cstheme="majorBidi"/>
        </w:rPr>
        <w:t xml:space="preserve">Zákon č. 245/2008 Z. z. (školský zákon) definuje jednotlivé druhy škôl poskytujúce </w:t>
      </w:r>
      <w:proofErr w:type="spellStart"/>
      <w:r w:rsidRPr="00D62DB2">
        <w:rPr>
          <w:rFonts w:asciiTheme="majorBidi" w:hAnsiTheme="majorBidi" w:cstheme="majorBidi"/>
        </w:rPr>
        <w:t>predprimárne</w:t>
      </w:r>
      <w:proofErr w:type="spellEnd"/>
      <w:r w:rsidRPr="00D62DB2">
        <w:rPr>
          <w:rFonts w:asciiTheme="majorBidi" w:hAnsiTheme="majorBidi" w:cstheme="majorBidi"/>
        </w:rPr>
        <w:t xml:space="preserve">, základné, stredné, vyššie odborné vzdelanie a záujmové vzdelávanie: </w:t>
      </w:r>
      <w:r w:rsidRPr="00D62DB2">
        <w:rPr>
          <w:rFonts w:asciiTheme="majorBidi" w:hAnsiTheme="majorBidi" w:cstheme="majorBidi"/>
          <w:b/>
          <w:bCs/>
        </w:rPr>
        <w:t>materská škola, základná škola, gymnázium, stredná odborná škola, konzervatórium,</w:t>
      </w:r>
      <w:r w:rsidRPr="00D62DB2">
        <w:rPr>
          <w:rFonts w:asciiTheme="majorBidi" w:hAnsiTheme="majorBidi" w:cstheme="majorBidi"/>
        </w:rPr>
        <w:t xml:space="preserve"> </w:t>
      </w:r>
      <w:r w:rsidRPr="00D62DB2">
        <w:rPr>
          <w:rFonts w:asciiTheme="majorBidi" w:hAnsiTheme="majorBidi" w:cstheme="majorBidi"/>
          <w:b/>
          <w:bCs/>
        </w:rPr>
        <w:t>škola pre deti a žiakov so špeciálnymi výchovno-vzdelávacími potrebami, základná umelecká škola, jazyková škola.</w:t>
      </w:r>
      <w:r w:rsidRPr="00D62DB2">
        <w:rPr>
          <w:rFonts w:asciiTheme="majorBidi" w:hAnsiTheme="majorBidi" w:cstheme="majorBidi"/>
        </w:rPr>
        <w:t xml:space="preserve"> Súčasťou školskej výchovno-vzdelávacej sústavy sú aj </w:t>
      </w:r>
      <w:r w:rsidRPr="00D62DB2">
        <w:rPr>
          <w:rFonts w:asciiTheme="majorBidi" w:hAnsiTheme="majorBidi" w:cstheme="majorBidi"/>
          <w:b/>
          <w:bCs/>
        </w:rPr>
        <w:t>školské zariadenia.</w:t>
      </w:r>
    </w:p>
    <w:p w:rsidR="00313B63" w:rsidRPr="00D62DB2" w:rsidRDefault="00C54CED">
      <w:pPr>
        <w:pStyle w:val="Zkladntext"/>
        <w:rPr>
          <w:rFonts w:asciiTheme="majorBidi" w:hAnsiTheme="majorBidi" w:cstheme="majorBidi"/>
        </w:rPr>
      </w:pPr>
      <w:r w:rsidRPr="00D62DB2">
        <w:rPr>
          <w:rFonts w:asciiTheme="majorBidi" w:hAnsiTheme="majorBidi" w:cstheme="majorBidi"/>
        </w:rPr>
        <w:t xml:space="preserve">Podľa zákona č. 245/2008 Z. z. učilištia a stredné odborné učilištia zriadené podľa doterajších predpisov sú </w:t>
      </w:r>
      <w:r w:rsidRPr="00D62DB2">
        <w:rPr>
          <w:rFonts w:asciiTheme="majorBidi" w:hAnsiTheme="majorBidi" w:cstheme="majorBidi"/>
          <w:b/>
          <w:bCs/>
        </w:rPr>
        <w:t>strednou odbornou školou</w:t>
      </w:r>
      <w:r w:rsidRPr="00D62DB2">
        <w:rPr>
          <w:rFonts w:asciiTheme="majorBidi" w:hAnsiTheme="majorBidi" w:cstheme="majorBidi"/>
        </w:rPr>
        <w:t xml:space="preserve"> poskytujúcou nižšie stredné odborné vzdelanie a stredné odborné vzdelanie. Z tohto dôvodu všetky údaje o učilištiach a stredných odborných učilištiach sú zahrnuté do údajov stredných odborných škôl (úrovne 252, 253 a 352, 353 podľa klasifikácie ISCED 2011).</w:t>
      </w:r>
    </w:p>
    <w:p w:rsidR="00C54CED" w:rsidRPr="00D62DB2" w:rsidRDefault="00C54CED">
      <w:pPr>
        <w:pStyle w:val="Zkladntext"/>
        <w:rPr>
          <w:rFonts w:asciiTheme="majorBidi" w:hAnsiTheme="majorBidi" w:cstheme="majorBidi"/>
        </w:rPr>
      </w:pPr>
      <w:r w:rsidRPr="00D62DB2">
        <w:rPr>
          <w:rFonts w:asciiTheme="majorBidi" w:hAnsiTheme="majorBidi" w:cstheme="majorBidi"/>
          <w:b/>
          <w:bCs/>
        </w:rPr>
        <w:t xml:space="preserve">Vysoké školy </w:t>
      </w:r>
      <w:r w:rsidRPr="00D62DB2">
        <w:rPr>
          <w:rFonts w:asciiTheme="majorBidi" w:hAnsiTheme="majorBidi" w:cstheme="majorBidi"/>
        </w:rPr>
        <w:t>definuje zákon č. 131/2002 Z. z. o vysokých školách a o zmene a doplnení niektorých zákonov v znení neskorších predpisov.</w:t>
      </w:r>
    </w:p>
    <w:p w:rsidR="00C54CED" w:rsidRPr="00D62DB2" w:rsidRDefault="00C54CED">
      <w:pPr>
        <w:pStyle w:val="Zkladntext"/>
        <w:rPr>
          <w:rFonts w:asciiTheme="majorBidi" w:hAnsiTheme="majorBidi" w:cstheme="majorBidi"/>
        </w:rPr>
      </w:pPr>
      <w:r w:rsidRPr="00D62DB2">
        <w:rPr>
          <w:rFonts w:asciiTheme="majorBidi" w:hAnsiTheme="majorBidi" w:cstheme="majorBidi"/>
        </w:rPr>
        <w:t>Školy, v ktorých sa výchova a vzdelávanie uskutočňujú popri slovenskom jazyku aj v jazyku národnostnej menšiny, sa vykazujú ako školy s viacerými výchovnými jazykmi, to znamená, že v týchto školách sú zriadené triedy s vyučovacím jazykom slovenským a triedy s vyučovacím jazykom národnostnej menšiny.</w:t>
      </w:r>
    </w:p>
    <w:p w:rsidR="00C54CED" w:rsidRPr="00D62DB2" w:rsidRDefault="00C54CED">
      <w:pPr>
        <w:pStyle w:val="Zkladntext"/>
        <w:rPr>
          <w:rFonts w:asciiTheme="majorBidi" w:hAnsiTheme="majorBidi" w:cstheme="majorBidi"/>
        </w:rPr>
      </w:pPr>
      <w:r w:rsidRPr="00D62DB2">
        <w:rPr>
          <w:rFonts w:asciiTheme="majorBidi" w:hAnsiTheme="majorBidi" w:cstheme="majorBidi"/>
        </w:rPr>
        <w:t xml:space="preserve">V údajoch o počte </w:t>
      </w:r>
      <w:r w:rsidRPr="00D62DB2">
        <w:rPr>
          <w:rFonts w:asciiTheme="majorBidi" w:hAnsiTheme="majorBidi" w:cstheme="majorBidi"/>
          <w:b/>
          <w:bCs/>
        </w:rPr>
        <w:t>učiteľov</w:t>
      </w:r>
      <w:r w:rsidRPr="00D62DB2">
        <w:rPr>
          <w:rFonts w:asciiTheme="majorBidi" w:hAnsiTheme="majorBidi" w:cstheme="majorBidi"/>
        </w:rPr>
        <w:t xml:space="preserve"> sú zahrnutí učitelia na ustanovený pracovný čas (plný úväzok) vrátane riaditeľov a zástupcov.</w:t>
      </w:r>
    </w:p>
    <w:p w:rsidR="00C54CED" w:rsidRPr="00D62DB2" w:rsidRDefault="00C54CED">
      <w:pPr>
        <w:pStyle w:val="Zkladntext"/>
        <w:rPr>
          <w:rFonts w:asciiTheme="majorBidi" w:hAnsiTheme="majorBidi" w:cstheme="majorBidi"/>
        </w:rPr>
      </w:pPr>
      <w:r w:rsidRPr="00D62DB2">
        <w:rPr>
          <w:rFonts w:asciiTheme="majorBidi" w:hAnsiTheme="majorBidi" w:cstheme="majorBidi"/>
          <w:b/>
          <w:bCs/>
        </w:rPr>
        <w:t>Zmennosť vyučovania</w:t>
      </w:r>
      <w:r w:rsidRPr="00D62DB2">
        <w:rPr>
          <w:rFonts w:asciiTheme="majorBidi" w:hAnsiTheme="majorBidi" w:cstheme="majorBidi"/>
        </w:rPr>
        <w:t xml:space="preserve"> vyjadruje podiel žiakov a tried zahrnutých do vyučovania v 2. zmene.</w:t>
      </w:r>
    </w:p>
    <w:p w:rsidR="00C54CED" w:rsidRPr="00D62DB2" w:rsidRDefault="00C54CED">
      <w:pPr>
        <w:pStyle w:val="podnadpis"/>
        <w:rPr>
          <w:rFonts w:asciiTheme="majorBidi" w:hAnsiTheme="majorBidi" w:cstheme="majorBidi"/>
          <w:lang w:val="sk-SK"/>
        </w:rPr>
      </w:pPr>
      <w:r w:rsidRPr="00D62DB2">
        <w:rPr>
          <w:rFonts w:asciiTheme="majorBidi" w:hAnsiTheme="majorBidi" w:cstheme="majorBidi"/>
          <w:lang w:val="sk-SK"/>
        </w:rPr>
        <w:t>Definície</w:t>
      </w:r>
    </w:p>
    <w:p w:rsidR="00C54CED" w:rsidRPr="00D62DB2" w:rsidRDefault="00C54CED">
      <w:pPr>
        <w:pStyle w:val="Zkladntext"/>
        <w:rPr>
          <w:rFonts w:asciiTheme="majorBidi" w:hAnsiTheme="majorBidi" w:cstheme="majorBidi"/>
        </w:rPr>
      </w:pPr>
      <w:r w:rsidRPr="00D62DB2">
        <w:rPr>
          <w:rFonts w:asciiTheme="majorBidi" w:hAnsiTheme="majorBidi" w:cstheme="majorBidi"/>
          <w:b/>
          <w:bCs/>
        </w:rPr>
        <w:t xml:space="preserve">Stredná odborná škola </w:t>
      </w:r>
      <w:r w:rsidRPr="00D62DB2">
        <w:rPr>
          <w:rFonts w:asciiTheme="majorBidi" w:hAnsiTheme="majorBidi" w:cstheme="majorBidi"/>
        </w:rPr>
        <w:t>poskytujúca odborné vzdelávanie na úrovni 253, 353, 344, 354, 454 a 554 podľa klasifikácie ISCED 2011 je stredná škola, ktorá pripravuje žiakov v najmenej dvojročnom a najviac päťročnom vzdelávacom programe príslušného odboru vzdelávania. Vzdelávacie programy strednej odbornej školy sú zamerané predovšetkým na výkon povolaní a odborných činností v národnom hospodárstve, zdravotníctve, verejnej správe, kultúre, umení a v ostatných oblastiach a môžu pripravovať aj na ďalšie štúdium.</w:t>
      </w:r>
    </w:p>
    <w:p w:rsidR="00C54CED" w:rsidRPr="00D62DB2" w:rsidRDefault="00C54CED">
      <w:pPr>
        <w:pStyle w:val="Zkladntext"/>
        <w:rPr>
          <w:rFonts w:asciiTheme="majorBidi" w:hAnsiTheme="majorBidi" w:cstheme="majorBidi"/>
        </w:rPr>
      </w:pPr>
      <w:r w:rsidRPr="00D62DB2">
        <w:rPr>
          <w:rFonts w:asciiTheme="majorBidi" w:hAnsiTheme="majorBidi" w:cstheme="majorBidi"/>
        </w:rPr>
        <w:t>Podľa § 94 ods. 1 zákona č. 245/2008 Z. z. sa výchova a vzdelávanie detí so zdravotným z</w:t>
      </w:r>
      <w:r w:rsidRPr="00D62DB2">
        <w:rPr>
          <w:rFonts w:asciiTheme="majorBidi" w:hAnsiTheme="majorBidi" w:cstheme="majorBidi"/>
          <w:spacing w:val="-2"/>
        </w:rPr>
        <w:t xml:space="preserve">nevýhodnením uskutočňuje spravidla v </w:t>
      </w:r>
      <w:r w:rsidRPr="00D62DB2">
        <w:rPr>
          <w:rFonts w:asciiTheme="majorBidi" w:hAnsiTheme="majorBidi" w:cstheme="majorBidi"/>
          <w:b/>
          <w:bCs/>
          <w:spacing w:val="-2"/>
        </w:rPr>
        <w:t>špe­ciálnych školách</w:t>
      </w:r>
      <w:r w:rsidRPr="00D62DB2">
        <w:rPr>
          <w:rFonts w:asciiTheme="majorBidi" w:hAnsiTheme="majorBidi" w:cstheme="majorBidi"/>
          <w:spacing w:val="-2"/>
        </w:rPr>
        <w:t xml:space="preserve"> alebo v ostatných školách v zriade</w:t>
      </w:r>
      <w:r w:rsidRPr="00D62DB2">
        <w:rPr>
          <w:rFonts w:asciiTheme="majorBidi" w:hAnsiTheme="majorBidi" w:cstheme="majorBidi"/>
        </w:rPr>
        <w:t xml:space="preserve">ných </w:t>
      </w:r>
      <w:r w:rsidRPr="00D62DB2">
        <w:rPr>
          <w:rFonts w:asciiTheme="majorBidi" w:hAnsiTheme="majorBidi" w:cstheme="majorBidi"/>
          <w:b/>
          <w:bCs/>
        </w:rPr>
        <w:t>špeciálnych triedach</w:t>
      </w:r>
      <w:r w:rsidRPr="00D62DB2">
        <w:rPr>
          <w:rFonts w:asciiTheme="majorBidi" w:hAnsiTheme="majorBidi" w:cstheme="majorBidi"/>
        </w:rPr>
        <w:t xml:space="preserve"> spravidla pre deti s rovnakým druhom zdravotného znevýhodnenia. Výchova a vzdelávanie detí so zdravotným znevýhodnením sa môže uskutočňovať aj v triedach alebo výchovných skupinách spolu s ostatnými deťmi alebo žiakmi školy. Ak je to potrebné, takéto dieťa alebo žiak je vzdelávaný podľa individuálneho vzdelávacieho programu.</w:t>
      </w:r>
    </w:p>
    <w:p w:rsidR="00C54CED" w:rsidRPr="00D62DB2" w:rsidRDefault="00C54CED">
      <w:pPr>
        <w:pStyle w:val="Zkladntext"/>
        <w:rPr>
          <w:rFonts w:asciiTheme="majorBidi" w:hAnsiTheme="majorBidi" w:cstheme="majorBidi"/>
        </w:rPr>
      </w:pPr>
      <w:r w:rsidRPr="00D62DB2">
        <w:rPr>
          <w:rFonts w:asciiTheme="majorBidi" w:hAnsiTheme="majorBidi" w:cstheme="majorBidi"/>
          <w:b/>
          <w:bCs/>
        </w:rPr>
        <w:t>Špeciálne výchovné zariadenia</w:t>
      </w:r>
      <w:r w:rsidRPr="00D62DB2">
        <w:rPr>
          <w:rFonts w:asciiTheme="majorBidi" w:hAnsiTheme="majorBidi" w:cstheme="majorBidi"/>
        </w:rPr>
        <w:t xml:space="preserve"> sú zariadenia výchovnej prevencie a zariadenia náhradnej výchovy a plnia úlohy pri ochrane detí pred sociálno-patologickými javmi, v prevencii problémového vývinu detí, v prevencii delikventného vývinu detí a pri výkone ústavnej a ochrannej výchovy. Pre potreby tejto štatistickej ročenky sú v špeciálnych výchovných zariadeniach zahrnuté reedukačný detský domov, reedukačný domov pre mládež, liečebno-výchovné sanatórium, diagnostické centrum pre deti, diagnostické centrum pre mládež a reedukačný domov pre matky s deťmi.</w:t>
      </w:r>
    </w:p>
    <w:p w:rsidR="00C54CED" w:rsidRPr="00D62DB2" w:rsidRDefault="00C54CED">
      <w:pPr>
        <w:pStyle w:val="podnadpis"/>
        <w:rPr>
          <w:rFonts w:asciiTheme="majorBidi" w:hAnsiTheme="majorBidi" w:cstheme="majorBidi"/>
          <w:lang w:val="sk-SK"/>
        </w:rPr>
      </w:pPr>
      <w:r w:rsidRPr="00D62DB2">
        <w:rPr>
          <w:rFonts w:asciiTheme="majorBidi" w:hAnsiTheme="majorBidi" w:cstheme="majorBidi"/>
          <w:lang w:val="sk-SK"/>
        </w:rPr>
        <w:lastRenderedPageBreak/>
        <w:t>Zdroj údajov</w:t>
      </w:r>
    </w:p>
    <w:p w:rsidR="00C54CED" w:rsidRPr="00D62DB2" w:rsidRDefault="00C54CED">
      <w:pPr>
        <w:pStyle w:val="Zkladntext"/>
        <w:rPr>
          <w:rFonts w:asciiTheme="majorBidi" w:hAnsiTheme="majorBidi" w:cstheme="majorBidi"/>
        </w:rPr>
      </w:pPr>
      <w:r w:rsidRPr="00D62DB2">
        <w:rPr>
          <w:rFonts w:asciiTheme="majorBidi" w:hAnsiTheme="majorBidi" w:cstheme="majorBidi"/>
        </w:rPr>
        <w:t>Zdrojom údajov sú predovšetkým štatistické zisťovania, ktoré realizuje Ministerstvo školstva, vedy, výskumu a športu SR prostredníctvom Centra vedecko-technických informácií.</w:t>
      </w:r>
    </w:p>
    <w:p w:rsidR="00C54CED" w:rsidRPr="00D62DB2" w:rsidRDefault="00C54CED">
      <w:pPr>
        <w:pStyle w:val="podnadpis"/>
        <w:spacing w:after="113"/>
        <w:rPr>
          <w:rFonts w:asciiTheme="majorBidi" w:hAnsiTheme="majorBidi" w:cstheme="majorBidi"/>
          <w:lang w:val="sk-SK"/>
        </w:rPr>
      </w:pPr>
      <w:r w:rsidRPr="00D62DB2">
        <w:rPr>
          <w:rFonts w:asciiTheme="majorBidi" w:hAnsiTheme="majorBidi" w:cstheme="majorBidi"/>
          <w:lang w:val="sk-SK"/>
        </w:rPr>
        <w:t>Medzinárodná štandardná klasifikácia vzdelávania ISCED 2011</w:t>
      </w:r>
      <w:r w:rsidRPr="00D62DB2">
        <w:rPr>
          <w:rFonts w:asciiTheme="majorBidi" w:hAnsiTheme="majorBidi" w:cstheme="majorBidi"/>
          <w:b w:val="0"/>
          <w:bCs w:val="0"/>
          <w:vertAlign w:val="superscript"/>
          <w:lang w:val="sk-SK"/>
        </w:rPr>
        <w:t>1)</w:t>
      </w:r>
      <w:r w:rsidRPr="00D62DB2">
        <w:rPr>
          <w:rFonts w:asciiTheme="majorBidi" w:hAnsiTheme="majorBidi" w:cstheme="majorBidi"/>
          <w:lang w:val="sk-SK"/>
        </w:rPr>
        <w:br/>
        <w:t>a systém vzdelávania na Slovensku</w:t>
      </w: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5"/>
        <w:gridCol w:w="686"/>
        <w:gridCol w:w="408"/>
        <w:gridCol w:w="2653"/>
        <w:gridCol w:w="376"/>
        <w:gridCol w:w="3168"/>
      </w:tblGrid>
      <w:tr w:rsidR="00C54CED" w:rsidRPr="00D62DB2">
        <w:trPr>
          <w:trHeight w:val="336"/>
        </w:trPr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</w:tcPr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  <w:b/>
                <w:bCs/>
              </w:rPr>
              <w:t>Obvyklý vek vzdelávania</w:t>
            </w:r>
          </w:p>
        </w:tc>
        <w:tc>
          <w:tcPr>
            <w:tcW w:w="3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</w:tcPr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  <w:b/>
                <w:bCs/>
              </w:rPr>
              <w:t xml:space="preserve">Vzdelávacie programy a dosiahnuté vzdelanie </w:t>
            </w:r>
            <w:r w:rsidRPr="00D62DB2">
              <w:rPr>
                <w:rFonts w:asciiTheme="majorBidi" w:hAnsiTheme="majorBidi" w:cstheme="majorBidi"/>
                <w:b/>
                <w:bCs/>
              </w:rPr>
              <w:br/>
              <w:t>podľa ISCED 2011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</w:tcPr>
          <w:p w:rsidR="00C54CED" w:rsidRPr="00D62DB2" w:rsidRDefault="00C54CED">
            <w:pPr>
              <w:pStyle w:val="tabletext"/>
              <w:jc w:val="center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  <w:b/>
                <w:bCs/>
              </w:rPr>
              <w:t>Kód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</w:tcPr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  <w:b/>
                <w:bCs/>
                <w:lang w:bidi="ar-YE"/>
              </w:rPr>
              <w:t>Školský</w:t>
            </w:r>
            <w:r w:rsidRPr="00D62DB2">
              <w:rPr>
                <w:rFonts w:asciiTheme="majorBidi" w:hAnsiTheme="majorBidi" w:cstheme="majorBidi"/>
                <w:b/>
                <w:bCs/>
                <w:rtl/>
                <w:lang w:bidi="ar-YE"/>
              </w:rPr>
              <w:t xml:space="preserve"> </w:t>
            </w:r>
            <w:r w:rsidRPr="00D62DB2">
              <w:rPr>
                <w:rFonts w:asciiTheme="majorBidi" w:hAnsiTheme="majorBidi" w:cstheme="majorBidi"/>
                <w:b/>
                <w:bCs/>
                <w:lang w:bidi="ar-YE"/>
              </w:rPr>
              <w:t>systém</w:t>
            </w:r>
            <w:r w:rsidRPr="00D62DB2">
              <w:rPr>
                <w:rFonts w:asciiTheme="majorBidi" w:hAnsiTheme="majorBidi" w:cstheme="majorBidi"/>
                <w:b/>
                <w:bCs/>
                <w:rtl/>
                <w:lang w:bidi="ar-YE"/>
              </w:rPr>
              <w:t xml:space="preserve"> </w:t>
            </w:r>
            <w:r w:rsidRPr="00D62DB2">
              <w:rPr>
                <w:rFonts w:asciiTheme="majorBidi" w:hAnsiTheme="majorBidi" w:cstheme="majorBidi"/>
                <w:b/>
                <w:bCs/>
                <w:lang w:bidi="ar-YE"/>
              </w:rPr>
              <w:t>v</w:t>
            </w:r>
            <w:r w:rsidRPr="00D62DB2">
              <w:rPr>
                <w:rFonts w:asciiTheme="majorBidi" w:hAnsiTheme="majorBidi" w:cstheme="majorBidi"/>
                <w:b/>
                <w:bCs/>
                <w:rtl/>
                <w:lang w:bidi="ar-YE"/>
              </w:rPr>
              <w:t> </w:t>
            </w:r>
            <w:r w:rsidRPr="00D62DB2">
              <w:rPr>
                <w:rFonts w:asciiTheme="majorBidi" w:hAnsiTheme="majorBidi" w:cstheme="majorBidi"/>
                <w:b/>
                <w:bCs/>
                <w:lang w:bidi="ar-YE"/>
              </w:rPr>
              <w:t>Slovenskej republike</w:t>
            </w:r>
          </w:p>
        </w:tc>
      </w:tr>
      <w:tr w:rsidR="00C54CED" w:rsidRPr="00D62DB2">
        <w:trPr>
          <w:trHeight w:val="591"/>
        </w:trPr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</w:tcPr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Menej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 xml:space="preserve"> 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ako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 xml:space="preserve"> </w:t>
            </w:r>
            <w:r w:rsidRPr="00D62DB2">
              <w:rPr>
                <w:rFonts w:asciiTheme="majorBidi" w:hAnsiTheme="majorBidi" w:cstheme="majorBidi"/>
                <w:lang w:val="en-US"/>
              </w:rPr>
              <w:br/>
              <w:t xml:space="preserve">3 – 6 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rokov</w:t>
            </w:r>
            <w:proofErr w:type="spellEnd"/>
          </w:p>
        </w:tc>
        <w:tc>
          <w:tcPr>
            <w:tcW w:w="3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</w:tcPr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  <w:b/>
                <w:bCs/>
              </w:rPr>
            </w:pPr>
            <w:r w:rsidRPr="00D62DB2">
              <w:rPr>
                <w:rFonts w:asciiTheme="majorBidi" w:hAnsiTheme="majorBidi" w:cstheme="majorBidi"/>
                <w:b/>
                <w:bCs/>
              </w:rPr>
              <w:t>PREDPRIMÁRNE</w:t>
            </w:r>
          </w:p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predškolské bez vzdelania, nedokončený 1. stupeň základného vzdelávania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</w:tcPr>
          <w:p w:rsidR="00C54CED" w:rsidRPr="00D62DB2" w:rsidRDefault="00C54CED">
            <w:pPr>
              <w:pStyle w:val="tabletext"/>
              <w:jc w:val="center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020</w:t>
            </w:r>
          </w:p>
          <w:p w:rsidR="00C54CED" w:rsidRPr="00D62DB2" w:rsidRDefault="00C54CED">
            <w:pPr>
              <w:pStyle w:val="tabletext"/>
              <w:jc w:val="center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030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</w:tcPr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Materské školy a špeciálne materské školy, 0-té ročníky na základných školách, prípravné triedy v základných školách, prípravné triedy v špeciálnych školách</w:t>
            </w:r>
          </w:p>
        </w:tc>
      </w:tr>
      <w:tr w:rsidR="00C54CED" w:rsidRPr="00D62DB2">
        <w:trPr>
          <w:trHeight w:val="1138"/>
        </w:trPr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  <w:vAlign w:val="center"/>
          </w:tcPr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6 – 15 rokov</w:t>
            </w:r>
          </w:p>
        </w:tc>
        <w:tc>
          <w:tcPr>
            <w:tcW w:w="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  <w:textDirection w:val="btLr"/>
            <w:vAlign w:val="center"/>
          </w:tcPr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Povinná školská dochádzka</w:t>
            </w:r>
            <w:r w:rsidRPr="00D62DB2">
              <w:rPr>
                <w:rFonts w:asciiTheme="majorBidi" w:hAnsiTheme="majorBidi" w:cstheme="majorBidi"/>
                <w:vertAlign w:val="superscript"/>
              </w:rPr>
              <w:t>1)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</w:tcPr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  <w:b/>
                <w:bCs/>
              </w:rPr>
            </w:pPr>
            <w:r w:rsidRPr="00D62DB2">
              <w:rPr>
                <w:rFonts w:asciiTheme="majorBidi" w:hAnsiTheme="majorBidi" w:cstheme="majorBidi"/>
                <w:b/>
                <w:bCs/>
              </w:rPr>
              <w:t>ZÁKLADNÉ</w:t>
            </w:r>
          </w:p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Primárne</w:t>
            </w:r>
          </w:p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1. stupeň základného vzdelávania</w:t>
            </w:r>
          </w:p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Nižšie stredné</w:t>
            </w:r>
          </w:p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2. stupeň základného vzdelávania</w:t>
            </w:r>
          </w:p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</w:tcPr>
          <w:p w:rsidR="00C54CED" w:rsidRPr="00D62DB2" w:rsidRDefault="00C54CED">
            <w:pPr>
              <w:pStyle w:val="tabletext"/>
              <w:jc w:val="center"/>
              <w:rPr>
                <w:rFonts w:asciiTheme="majorBidi" w:hAnsiTheme="majorBidi" w:cstheme="majorBidi"/>
              </w:rPr>
            </w:pPr>
          </w:p>
          <w:p w:rsidR="00313B63" w:rsidRPr="00D62DB2" w:rsidRDefault="00C54CED">
            <w:pPr>
              <w:pStyle w:val="tabletext"/>
              <w:jc w:val="center"/>
              <w:rPr>
                <w:rFonts w:asciiTheme="majorBidi" w:hAnsiTheme="majorBidi" w:cstheme="majorBidi"/>
                <w:lang w:val="en-US"/>
              </w:rPr>
            </w:pPr>
            <w:r w:rsidRPr="00D62DB2">
              <w:rPr>
                <w:rFonts w:asciiTheme="majorBidi" w:hAnsiTheme="majorBidi" w:cstheme="majorBidi"/>
                <w:lang w:val="en-US"/>
              </w:rPr>
              <w:t>100</w:t>
            </w:r>
          </w:p>
          <w:p w:rsidR="00C54CED" w:rsidRPr="00D62DB2" w:rsidRDefault="00C54CED">
            <w:pPr>
              <w:pStyle w:val="tabletext"/>
              <w:jc w:val="center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244</w:t>
            </w:r>
          </w:p>
          <w:p w:rsidR="00C54CED" w:rsidRPr="00D62DB2" w:rsidRDefault="00C54CED">
            <w:pPr>
              <w:pStyle w:val="tabletex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</w:tcPr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</w:p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1. stupeň základných škôl, 1. stupeň špeciálnych základných škôl – variant C</w:t>
            </w:r>
          </w:p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2. stupeň základných škôl, 2. stupeň špeciálnych základných škôl – variant A, 1. až 4. ročník 8-ročných stredných škôl</w:t>
            </w:r>
          </w:p>
        </w:tc>
      </w:tr>
      <w:tr w:rsidR="00C54CED" w:rsidRPr="00D62DB2">
        <w:trPr>
          <w:trHeight w:val="422"/>
        </w:trPr>
        <w:tc>
          <w:tcPr>
            <w:tcW w:w="11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  <w:vAlign w:val="center"/>
          </w:tcPr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  <w:lang w:val="en-US"/>
              </w:rPr>
              <w:t xml:space="preserve">15 – 18/19 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rokov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 xml:space="preserve"> 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alebo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 xml:space="preserve"> 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iné</w:t>
            </w:r>
            <w:proofErr w:type="spellEnd"/>
          </w:p>
        </w:tc>
        <w:tc>
          <w:tcPr>
            <w:tcW w:w="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CED" w:rsidRPr="00D62DB2" w:rsidRDefault="00C54CED">
            <w:pPr>
              <w:pStyle w:val="Bezodstavcovhostylu"/>
              <w:spacing w:line="240" w:lineRule="auto"/>
              <w:textAlignment w:val="auto"/>
              <w:rPr>
                <w:rFonts w:asciiTheme="majorBidi" w:hAnsiTheme="majorBidi" w:cstheme="majorBidi"/>
                <w:color w:val="auto"/>
                <w:lang w:val="sk-SK"/>
              </w:rPr>
            </w:pP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</w:tcPr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  <w:b/>
                <w:bCs/>
              </w:rPr>
            </w:pPr>
            <w:r w:rsidRPr="00D62DB2">
              <w:rPr>
                <w:rFonts w:asciiTheme="majorBidi" w:hAnsiTheme="majorBidi" w:cstheme="majorBidi"/>
                <w:b/>
                <w:bCs/>
              </w:rPr>
              <w:t xml:space="preserve">STREDNÉ </w:t>
            </w:r>
          </w:p>
          <w:p w:rsidR="00313B63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 xml:space="preserve">Nižšie stredné odborné </w:t>
            </w:r>
          </w:p>
          <w:p w:rsidR="00313B63" w:rsidRPr="00D62DB2" w:rsidRDefault="00313B63">
            <w:pPr>
              <w:pStyle w:val="tabletext"/>
              <w:rPr>
                <w:rFonts w:asciiTheme="majorBidi" w:hAnsiTheme="majorBidi" w:cstheme="majorBidi"/>
              </w:rPr>
            </w:pPr>
          </w:p>
          <w:p w:rsidR="00313B63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Stredné odborné s výučným listom</w:t>
            </w:r>
          </w:p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  <w:lang w:val="en-US"/>
              </w:rPr>
            </w:pP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Stredné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 xml:space="preserve"> 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odborné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 xml:space="preserve"> bez maturity a 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výučného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 xml:space="preserve"> 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listu</w:t>
            </w:r>
            <w:proofErr w:type="spellEnd"/>
          </w:p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  <w:b/>
                <w:bCs/>
                <w:vertAlign w:val="superscript"/>
                <w:lang w:val="en-US"/>
              </w:rPr>
            </w:pPr>
            <w:r w:rsidRPr="00D62DB2">
              <w:rPr>
                <w:rFonts w:asciiTheme="majorBidi" w:hAnsiTheme="majorBidi" w:cstheme="majorBidi"/>
                <w:b/>
                <w:bCs/>
                <w:lang w:bidi="ar-YE"/>
              </w:rPr>
              <w:t>ÚPLNÉ</w:t>
            </w:r>
            <w:r w:rsidRPr="00D62DB2">
              <w:rPr>
                <w:rFonts w:asciiTheme="majorBidi" w:hAnsiTheme="majorBidi" w:cstheme="majorBidi"/>
                <w:b/>
                <w:bCs/>
                <w:rtl/>
                <w:lang w:bidi="ar-YE"/>
              </w:rPr>
              <w:t xml:space="preserve"> </w:t>
            </w:r>
            <w:r w:rsidRPr="00D62DB2">
              <w:rPr>
                <w:rFonts w:asciiTheme="majorBidi" w:hAnsiTheme="majorBidi" w:cstheme="majorBidi"/>
                <w:b/>
                <w:bCs/>
                <w:lang w:bidi="ar-YE"/>
              </w:rPr>
              <w:t>STREDNÉ</w:t>
            </w:r>
            <w:r w:rsidRPr="00D62DB2">
              <w:rPr>
                <w:rFonts w:asciiTheme="majorBidi" w:hAnsiTheme="majorBidi" w:cstheme="majorBidi"/>
                <w:vertAlign w:val="superscript"/>
                <w:lang w:val="en-US"/>
              </w:rPr>
              <w:t>2)</w:t>
            </w:r>
          </w:p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  <w:lang w:val="en-US"/>
              </w:rPr>
            </w:pPr>
            <w:r w:rsidRPr="00D62DB2">
              <w:rPr>
                <w:rFonts w:asciiTheme="majorBidi" w:hAnsiTheme="majorBidi" w:cstheme="majorBidi"/>
                <w:lang w:bidi="ar-YE"/>
              </w:rPr>
              <w:t>Ú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plné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 xml:space="preserve"> 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stredné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 xml:space="preserve"> 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všeobecné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 xml:space="preserve"> s 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maturitou</w:t>
            </w:r>
            <w:proofErr w:type="spellEnd"/>
          </w:p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  <w:lang w:val="en-US"/>
              </w:rPr>
            </w:pPr>
            <w:r w:rsidRPr="00D62DB2">
              <w:rPr>
                <w:rFonts w:asciiTheme="majorBidi" w:hAnsiTheme="majorBidi" w:cstheme="majorBidi"/>
                <w:lang w:bidi="ar-YE"/>
              </w:rPr>
              <w:t>Ú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plné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 xml:space="preserve"> 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stredné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 xml:space="preserve"> 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odborné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 xml:space="preserve"> s 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maturitou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 xml:space="preserve"> a 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výučným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 xml:space="preserve"> 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listom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 xml:space="preserve"> </w:t>
            </w:r>
          </w:p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  <w:lang w:bidi="ar-YE"/>
              </w:rPr>
              <w:t>Ú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plné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 xml:space="preserve"> 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stredné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 xml:space="preserve"> 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odborné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 xml:space="preserve"> s 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maturitou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 xml:space="preserve"> bez 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výučného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 xml:space="preserve"> 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listu</w:t>
            </w:r>
            <w:proofErr w:type="spellEnd"/>
          </w:p>
        </w:tc>
        <w:tc>
          <w:tcPr>
            <w:tcW w:w="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</w:tcPr>
          <w:p w:rsidR="00C54CED" w:rsidRPr="00D62DB2" w:rsidRDefault="00C54CED">
            <w:pPr>
              <w:pStyle w:val="tabletext"/>
              <w:jc w:val="center"/>
              <w:rPr>
                <w:rFonts w:asciiTheme="majorBidi" w:hAnsiTheme="majorBidi" w:cstheme="majorBidi"/>
              </w:rPr>
            </w:pPr>
          </w:p>
          <w:p w:rsidR="00C54CED" w:rsidRPr="00D62DB2" w:rsidRDefault="00C54CED">
            <w:pPr>
              <w:pStyle w:val="tabletext"/>
              <w:jc w:val="center"/>
              <w:rPr>
                <w:rFonts w:asciiTheme="majorBidi" w:hAnsiTheme="majorBidi" w:cstheme="majorBidi"/>
                <w:lang w:val="en-US"/>
              </w:rPr>
            </w:pPr>
            <w:r w:rsidRPr="00D62DB2">
              <w:rPr>
                <w:rFonts w:asciiTheme="majorBidi" w:hAnsiTheme="majorBidi" w:cstheme="majorBidi"/>
                <w:lang w:val="en-US"/>
              </w:rPr>
              <w:t>243</w:t>
            </w:r>
          </w:p>
          <w:p w:rsidR="00313B63" w:rsidRPr="00D62DB2" w:rsidRDefault="00C54CED">
            <w:pPr>
              <w:pStyle w:val="tabletext"/>
              <w:jc w:val="center"/>
              <w:rPr>
                <w:rFonts w:asciiTheme="majorBidi" w:hAnsiTheme="majorBidi" w:cstheme="majorBidi"/>
                <w:lang w:val="en-US"/>
              </w:rPr>
            </w:pPr>
            <w:r w:rsidRPr="00D62DB2">
              <w:rPr>
                <w:rFonts w:asciiTheme="majorBidi" w:hAnsiTheme="majorBidi" w:cstheme="majorBidi"/>
                <w:lang w:val="en-US"/>
              </w:rPr>
              <w:t>252</w:t>
            </w:r>
          </w:p>
          <w:p w:rsidR="00313B63" w:rsidRPr="00D62DB2" w:rsidRDefault="00C54CED">
            <w:pPr>
              <w:pStyle w:val="tabletext"/>
              <w:jc w:val="center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253</w:t>
            </w:r>
          </w:p>
          <w:p w:rsidR="00313B63" w:rsidRPr="00D62DB2" w:rsidRDefault="00C54CED">
            <w:pPr>
              <w:pStyle w:val="tabletext"/>
              <w:jc w:val="center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352</w:t>
            </w:r>
          </w:p>
          <w:p w:rsidR="00313B63" w:rsidRPr="00D62DB2" w:rsidRDefault="00C54CED">
            <w:pPr>
              <w:pStyle w:val="tabletext"/>
              <w:jc w:val="center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353</w:t>
            </w:r>
          </w:p>
          <w:p w:rsidR="00313B63" w:rsidRPr="00D62DB2" w:rsidRDefault="00C54CED">
            <w:pPr>
              <w:pStyle w:val="tabletext"/>
              <w:jc w:val="center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353</w:t>
            </w:r>
          </w:p>
          <w:p w:rsidR="00C54CED" w:rsidRPr="00D62DB2" w:rsidRDefault="00C54CED">
            <w:pPr>
              <w:pStyle w:val="tabletext"/>
              <w:jc w:val="center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344</w:t>
            </w:r>
          </w:p>
          <w:p w:rsidR="00313B63" w:rsidRPr="00D62DB2" w:rsidRDefault="00C54CED">
            <w:pPr>
              <w:pStyle w:val="tabletext"/>
              <w:jc w:val="center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354</w:t>
            </w:r>
          </w:p>
          <w:p w:rsidR="00313B63" w:rsidRPr="00D62DB2" w:rsidRDefault="00C54CED">
            <w:pPr>
              <w:pStyle w:val="tabletext"/>
              <w:jc w:val="center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354</w:t>
            </w:r>
          </w:p>
          <w:p w:rsidR="00C54CED" w:rsidRPr="00D62DB2" w:rsidRDefault="00C54CED">
            <w:pPr>
              <w:pStyle w:val="tabletext"/>
              <w:jc w:val="center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454</w:t>
            </w: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</w:tcPr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</w:p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Praktické školy</w:t>
            </w:r>
          </w:p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 xml:space="preserve">Stredné odborné školy (učebné odbory pre žiakov s mentálnym postihom) </w:t>
            </w:r>
          </w:p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 xml:space="preserve">Stredné odborné školy (2-ročné vzdelávacie programy – odbory so zvlášť upravenými učebnými plánmi) </w:t>
            </w:r>
          </w:p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 xml:space="preserve">Stredné odborné školy (učebné odbory pre žiakov s mentálnym postihom) </w:t>
            </w:r>
          </w:p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Stredné odborné školy (nematuritné vzdelávacie programy poskytujúce výučný list)</w:t>
            </w:r>
          </w:p>
          <w:p w:rsidR="00313B63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Stredné odborné školy (nematuritné vzdelávacie programy neposkytujúce výučný list)</w:t>
            </w:r>
          </w:p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Gymnáziá</w:t>
            </w:r>
          </w:p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Stredné odborné školy (vzdelávacie programy s maturitou poskytujúce aj výučný list)</w:t>
            </w:r>
          </w:p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Stredné odborné školy (vzdelávacie programy s maturitou)</w:t>
            </w:r>
          </w:p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Stredné odborné školy (vzdelávacie programy s maturitou pre absolventov učebných odborov v nadstavbovom štúdiu)</w:t>
            </w:r>
          </w:p>
        </w:tc>
      </w:tr>
      <w:tr w:rsidR="00C54CED" w:rsidRPr="00D62DB2">
        <w:trPr>
          <w:trHeight w:val="3648"/>
        </w:trPr>
        <w:tc>
          <w:tcPr>
            <w:tcW w:w="11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CED" w:rsidRPr="00D62DB2" w:rsidRDefault="00C54CED">
            <w:pPr>
              <w:pStyle w:val="Bezodstavcovhostylu"/>
              <w:spacing w:line="240" w:lineRule="auto"/>
              <w:textAlignment w:val="auto"/>
              <w:rPr>
                <w:rFonts w:asciiTheme="majorBidi" w:hAnsiTheme="majorBidi" w:cstheme="majorBidi"/>
                <w:color w:val="auto"/>
                <w:lang w:val="sk-SK"/>
              </w:rPr>
            </w:pPr>
          </w:p>
        </w:tc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</w:tcPr>
          <w:p w:rsidR="00C54CED" w:rsidRPr="00D62DB2" w:rsidRDefault="00C54CED">
            <w:pPr>
              <w:pStyle w:val="Bezodstavcovhostylu"/>
              <w:spacing w:line="240" w:lineRule="auto"/>
              <w:textAlignment w:val="auto"/>
              <w:rPr>
                <w:rFonts w:asciiTheme="majorBidi" w:hAnsiTheme="majorBidi" w:cstheme="majorBidi"/>
                <w:color w:val="auto"/>
                <w:lang w:val="sk-SK"/>
              </w:rPr>
            </w:pPr>
          </w:p>
        </w:tc>
        <w:tc>
          <w:tcPr>
            <w:tcW w:w="2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CED" w:rsidRPr="00D62DB2" w:rsidRDefault="00C54CED">
            <w:pPr>
              <w:pStyle w:val="Bezodstavcovhostylu"/>
              <w:spacing w:line="240" w:lineRule="auto"/>
              <w:textAlignment w:val="auto"/>
              <w:rPr>
                <w:rFonts w:asciiTheme="majorBidi" w:hAnsiTheme="majorBidi" w:cstheme="majorBidi"/>
                <w:color w:val="auto"/>
                <w:lang w:val="sk-SK"/>
              </w:rPr>
            </w:pPr>
          </w:p>
        </w:tc>
        <w:tc>
          <w:tcPr>
            <w:tcW w:w="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CED" w:rsidRPr="00D62DB2" w:rsidRDefault="00C54CED">
            <w:pPr>
              <w:pStyle w:val="Bezodstavcovhostylu"/>
              <w:spacing w:line="240" w:lineRule="auto"/>
              <w:textAlignment w:val="auto"/>
              <w:rPr>
                <w:rFonts w:asciiTheme="majorBidi" w:hAnsiTheme="majorBidi" w:cstheme="majorBidi"/>
                <w:color w:val="auto"/>
                <w:lang w:val="sk-SK"/>
              </w:rPr>
            </w:pP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CED" w:rsidRPr="00D62DB2" w:rsidRDefault="00C54CED">
            <w:pPr>
              <w:pStyle w:val="Bezodstavcovhostylu"/>
              <w:spacing w:line="240" w:lineRule="auto"/>
              <w:textAlignment w:val="auto"/>
              <w:rPr>
                <w:rFonts w:asciiTheme="majorBidi" w:hAnsiTheme="majorBidi" w:cstheme="majorBidi"/>
                <w:color w:val="auto"/>
                <w:lang w:val="sk-SK"/>
              </w:rPr>
            </w:pPr>
          </w:p>
        </w:tc>
      </w:tr>
      <w:tr w:rsidR="00C54CED" w:rsidRPr="00D62DB2">
        <w:trPr>
          <w:trHeight w:val="517"/>
        </w:trPr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  <w:vAlign w:val="center"/>
          </w:tcPr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18/19 + 2 roky</w:t>
            </w:r>
          </w:p>
        </w:tc>
        <w:tc>
          <w:tcPr>
            <w:tcW w:w="3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</w:tcPr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  <w:b/>
                <w:bCs/>
              </w:rPr>
              <w:t>POSTSEKUNDÁRNE NETERCIÁRNE</w:t>
            </w:r>
            <w:r w:rsidRPr="00D62DB2">
              <w:rPr>
                <w:rFonts w:asciiTheme="majorBidi" w:hAnsiTheme="majorBidi" w:cstheme="majorBidi"/>
              </w:rPr>
              <w:br/>
              <w:t>Pomaturitné kvalifikačné, pomaturitné inovačné a pomaturitné zdokonaľovacie štúdium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</w:tcPr>
          <w:p w:rsidR="00C54CED" w:rsidRPr="00D62DB2" w:rsidRDefault="00C54CED">
            <w:pPr>
              <w:pStyle w:val="tabletext"/>
              <w:jc w:val="center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454</w:t>
            </w:r>
          </w:p>
          <w:p w:rsidR="00C54CED" w:rsidRPr="00D62DB2" w:rsidRDefault="00C54CED">
            <w:pPr>
              <w:pStyle w:val="tabletex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</w:tcPr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Stredn</w:t>
            </w:r>
            <w:r w:rsidRPr="00D62DB2">
              <w:rPr>
                <w:rFonts w:asciiTheme="majorBidi" w:hAnsiTheme="majorBidi" w:cstheme="majorBidi"/>
                <w:lang w:bidi="ar-YE"/>
              </w:rPr>
              <w:t>é</w:t>
            </w:r>
            <w:r w:rsidRPr="00D62DB2">
              <w:rPr>
                <w:rFonts w:asciiTheme="majorBidi" w:hAnsiTheme="majorBidi" w:cstheme="majorBidi"/>
              </w:rPr>
              <w:t xml:space="preserve"> odborné školy, obchodn</w:t>
            </w:r>
            <w:r w:rsidRPr="00D62DB2">
              <w:rPr>
                <w:rFonts w:asciiTheme="majorBidi" w:hAnsiTheme="majorBidi" w:cstheme="majorBidi"/>
                <w:lang w:bidi="ar-YE"/>
              </w:rPr>
              <w:t>é</w:t>
            </w:r>
            <w:r w:rsidRPr="00D62DB2">
              <w:rPr>
                <w:rFonts w:asciiTheme="majorBidi" w:hAnsiTheme="majorBidi" w:cstheme="majorBidi"/>
              </w:rPr>
              <w:t xml:space="preserve"> akadémie, stredné umeleck</w:t>
            </w:r>
            <w:r w:rsidRPr="00D62DB2">
              <w:rPr>
                <w:rFonts w:asciiTheme="majorBidi" w:hAnsiTheme="majorBidi" w:cstheme="majorBidi"/>
                <w:lang w:bidi="ar-YE"/>
              </w:rPr>
              <w:t>é</w:t>
            </w:r>
            <w:r w:rsidRPr="00D62DB2">
              <w:rPr>
                <w:rFonts w:asciiTheme="majorBidi" w:hAnsiTheme="majorBidi" w:cstheme="majorBidi"/>
              </w:rPr>
              <w:t xml:space="preserve"> školy, konzervatóriá,</w:t>
            </w:r>
            <w:r w:rsidRPr="00D62D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D62DB2">
              <w:rPr>
                <w:rFonts w:asciiTheme="majorBidi" w:hAnsiTheme="majorBidi" w:cstheme="majorBidi"/>
              </w:rPr>
              <w:t>atď.</w:t>
            </w:r>
          </w:p>
        </w:tc>
      </w:tr>
      <w:tr w:rsidR="00C54CED" w:rsidRPr="00D62DB2">
        <w:trPr>
          <w:trHeight w:val="473"/>
        </w:trPr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  <w:vAlign w:val="center"/>
          </w:tcPr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  <w:lang w:val="en-US"/>
              </w:rPr>
              <w:t>18/19 + 3 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roky</w:t>
            </w:r>
            <w:proofErr w:type="spellEnd"/>
          </w:p>
        </w:tc>
        <w:tc>
          <w:tcPr>
            <w:tcW w:w="3061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</w:tcPr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  <w:b/>
                <w:bCs/>
              </w:rPr>
            </w:pPr>
            <w:r w:rsidRPr="00D62DB2">
              <w:rPr>
                <w:rFonts w:asciiTheme="majorBidi" w:hAnsiTheme="majorBidi" w:cstheme="majorBidi"/>
                <w:b/>
                <w:bCs/>
              </w:rPr>
              <w:t>TERCIÁRNE</w:t>
            </w:r>
          </w:p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  <w:spacing w:val="-6"/>
              </w:rPr>
              <w:t xml:space="preserve">Vyššie odborné (pomaturitné špecializačné) – absolventi sú diplomovaní špecialisti s titulom </w:t>
            </w:r>
            <w:proofErr w:type="spellStart"/>
            <w:r w:rsidRPr="00D62DB2">
              <w:rPr>
                <w:rFonts w:asciiTheme="majorBidi" w:hAnsiTheme="majorBidi" w:cstheme="majorBidi"/>
                <w:spacing w:val="-6"/>
              </w:rPr>
              <w:t>DiS</w:t>
            </w:r>
            <w:proofErr w:type="spellEnd"/>
            <w:r w:rsidRPr="00D62DB2">
              <w:rPr>
                <w:rFonts w:asciiTheme="majorBidi" w:hAnsiTheme="majorBidi" w:cstheme="majorBidi"/>
                <w:spacing w:val="-6"/>
              </w:rPr>
              <w:t xml:space="preserve"> (alebo jeho ekvivalent)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</w:tcPr>
          <w:p w:rsidR="00C54CED" w:rsidRPr="00D62DB2" w:rsidRDefault="00C54CED">
            <w:pPr>
              <w:pStyle w:val="tabletext"/>
              <w:jc w:val="center"/>
              <w:rPr>
                <w:rFonts w:asciiTheme="majorBidi" w:hAnsiTheme="majorBidi" w:cstheme="majorBidi"/>
              </w:rPr>
            </w:pPr>
          </w:p>
          <w:p w:rsidR="00C54CED" w:rsidRPr="00D62DB2" w:rsidRDefault="00C54CED">
            <w:pPr>
              <w:pStyle w:val="tabletext"/>
              <w:jc w:val="center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  <w:lang w:val="en-US"/>
              </w:rPr>
              <w:t>554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</w:tcPr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</w:p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Stredn</w:t>
            </w:r>
            <w:r w:rsidRPr="00D62DB2">
              <w:rPr>
                <w:rFonts w:asciiTheme="majorBidi" w:hAnsiTheme="majorBidi" w:cstheme="majorBidi"/>
                <w:lang w:bidi="ar-YE"/>
              </w:rPr>
              <w:t>é</w:t>
            </w:r>
            <w:r w:rsidRPr="00D62DB2">
              <w:rPr>
                <w:rFonts w:asciiTheme="majorBidi" w:hAnsiTheme="majorBidi" w:cstheme="majorBidi"/>
              </w:rPr>
              <w:t xml:space="preserve"> odborn</w:t>
            </w:r>
            <w:r w:rsidRPr="00D62DB2">
              <w:rPr>
                <w:rFonts w:asciiTheme="majorBidi" w:hAnsiTheme="majorBidi" w:cstheme="majorBidi"/>
                <w:lang w:bidi="ar-YE"/>
              </w:rPr>
              <w:t>é</w:t>
            </w:r>
            <w:r w:rsidRPr="00D62DB2">
              <w:rPr>
                <w:rFonts w:asciiTheme="majorBidi" w:hAnsiTheme="majorBidi" w:cstheme="majorBidi"/>
              </w:rPr>
              <w:t xml:space="preserve"> školy, konzervatóri</w:t>
            </w:r>
            <w:r w:rsidRPr="00D62DB2">
              <w:rPr>
                <w:rFonts w:asciiTheme="majorBidi" w:hAnsiTheme="majorBidi" w:cstheme="majorBidi"/>
                <w:lang w:bidi="ar-YE"/>
              </w:rPr>
              <w:t>á</w:t>
            </w:r>
            <w:r w:rsidRPr="00D62DB2">
              <w:rPr>
                <w:rFonts w:asciiTheme="majorBidi" w:hAnsiTheme="majorBidi" w:cstheme="majorBidi"/>
                <w:rtl/>
                <w:lang w:bidi="ar-YE"/>
              </w:rPr>
              <w:t xml:space="preserve">, </w:t>
            </w:r>
            <w:r w:rsidRPr="00D62DB2">
              <w:rPr>
                <w:rFonts w:asciiTheme="majorBidi" w:hAnsiTheme="majorBidi" w:cstheme="majorBidi"/>
              </w:rPr>
              <w:t>tanečn</w:t>
            </w:r>
            <w:r w:rsidRPr="00D62DB2">
              <w:rPr>
                <w:rFonts w:asciiTheme="majorBidi" w:hAnsiTheme="majorBidi" w:cstheme="majorBidi"/>
                <w:lang w:bidi="ar-YE"/>
              </w:rPr>
              <w:t>é</w:t>
            </w:r>
            <w:r w:rsidRPr="00D62DB2">
              <w:rPr>
                <w:rFonts w:asciiTheme="majorBidi" w:hAnsiTheme="majorBidi" w:cstheme="majorBidi"/>
                <w:rtl/>
                <w:lang w:bidi="ar-YE"/>
              </w:rPr>
              <w:t xml:space="preserve"> </w:t>
            </w:r>
            <w:r w:rsidRPr="00D62DB2">
              <w:rPr>
                <w:rFonts w:asciiTheme="majorBidi" w:hAnsiTheme="majorBidi" w:cstheme="majorBidi"/>
                <w:lang w:bidi="ar-YE"/>
              </w:rPr>
              <w:t>konzervatóriá</w:t>
            </w:r>
            <w:r w:rsidRPr="00D62DB2">
              <w:rPr>
                <w:rFonts w:asciiTheme="majorBidi" w:hAnsiTheme="majorBidi" w:cstheme="majorBidi"/>
                <w:rtl/>
                <w:lang w:bidi="ar-YE"/>
              </w:rPr>
              <w:t xml:space="preserve">, </w:t>
            </w:r>
            <w:r w:rsidRPr="00D62DB2">
              <w:rPr>
                <w:rFonts w:asciiTheme="majorBidi" w:hAnsiTheme="majorBidi" w:cstheme="majorBidi"/>
                <w:lang w:bidi="ar-YE"/>
              </w:rPr>
              <w:t>vyššie</w:t>
            </w:r>
            <w:r w:rsidRPr="00D62DB2">
              <w:rPr>
                <w:rFonts w:asciiTheme="majorBidi" w:hAnsiTheme="majorBidi" w:cstheme="majorBidi"/>
              </w:rPr>
              <w:t xml:space="preserve"> stredné odborné školy</w:t>
            </w:r>
          </w:p>
        </w:tc>
      </w:tr>
      <w:tr w:rsidR="00C54CED" w:rsidRPr="00D62DB2">
        <w:trPr>
          <w:trHeight w:val="591"/>
        </w:trPr>
        <w:tc>
          <w:tcPr>
            <w:tcW w:w="415" w:type="dxa"/>
            <w:vMerge w:val="restart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  <w:textDirection w:val="btLr"/>
            <w:vAlign w:val="center"/>
          </w:tcPr>
          <w:p w:rsidR="00C54CED" w:rsidRPr="00D62DB2" w:rsidRDefault="00C54CED">
            <w:pPr>
              <w:pStyle w:val="tabletext"/>
              <w:jc w:val="center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  <w:lang w:val="en-US"/>
              </w:rPr>
              <w:t xml:space="preserve">18/19 + 4 – 6 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rokov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 xml:space="preserve"> 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alebo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 xml:space="preserve"> 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iné</w:t>
            </w:r>
            <w:proofErr w:type="spellEnd"/>
          </w:p>
        </w:tc>
        <w:tc>
          <w:tcPr>
            <w:tcW w:w="68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0" w:type="dxa"/>
            </w:tcMar>
            <w:vAlign w:val="center"/>
          </w:tcPr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  <w:lang w:val="en-US"/>
              </w:rPr>
              <w:t>18/19 +</w:t>
            </w:r>
            <w:r w:rsidRPr="00D62DB2">
              <w:rPr>
                <w:rFonts w:asciiTheme="majorBidi" w:hAnsiTheme="majorBidi" w:cstheme="majorBidi"/>
                <w:lang w:val="en-US"/>
              </w:rPr>
              <w:br/>
              <w:t xml:space="preserve">3 – 4 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roky</w:t>
            </w:r>
            <w:proofErr w:type="spellEnd"/>
          </w:p>
        </w:tc>
        <w:tc>
          <w:tcPr>
            <w:tcW w:w="3061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</w:tcPr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  <w:caps/>
              </w:rPr>
              <w:t xml:space="preserve">1. </w:t>
            </w:r>
            <w:r w:rsidRPr="00D62DB2">
              <w:rPr>
                <w:rFonts w:asciiTheme="majorBidi" w:hAnsiTheme="majorBidi" w:cstheme="majorBidi"/>
              </w:rPr>
              <w:t>stupeň univerzitného štúdia</w:t>
            </w:r>
            <w:r w:rsidRPr="00D62DB2">
              <w:rPr>
                <w:rFonts w:asciiTheme="majorBidi" w:hAnsiTheme="majorBidi" w:cstheme="majorBidi"/>
                <w:caps/>
              </w:rPr>
              <w:t xml:space="preserve"> – </w:t>
            </w:r>
            <w:r w:rsidRPr="00D62DB2">
              <w:rPr>
                <w:rFonts w:asciiTheme="majorBidi" w:hAnsiTheme="majorBidi" w:cstheme="majorBidi"/>
              </w:rPr>
              <w:t>bakalárske štúdium</w:t>
            </w:r>
            <w:r w:rsidRPr="00D62DB2">
              <w:rPr>
                <w:rFonts w:asciiTheme="majorBidi" w:hAnsiTheme="majorBidi" w:cstheme="majorBidi"/>
                <w:caps/>
              </w:rPr>
              <w:t xml:space="preserve"> – </w:t>
            </w:r>
            <w:r w:rsidRPr="00D62DB2">
              <w:rPr>
                <w:rFonts w:asciiTheme="majorBidi" w:hAnsiTheme="majorBidi" w:cstheme="majorBidi"/>
              </w:rPr>
              <w:t xml:space="preserve">absolventom je udelený akademický titul Bc. </w:t>
            </w:r>
            <w:r w:rsidRPr="00D62DB2">
              <w:rPr>
                <w:rFonts w:asciiTheme="majorBidi" w:hAnsiTheme="majorBidi" w:cstheme="majorBidi"/>
                <w:lang w:val="en-US"/>
              </w:rPr>
              <w:t>(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alebo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 xml:space="preserve"> 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jeho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 xml:space="preserve"> 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ekvivalent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>).</w:t>
            </w:r>
          </w:p>
        </w:tc>
        <w:tc>
          <w:tcPr>
            <w:tcW w:w="37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</w:tcPr>
          <w:p w:rsidR="00C54CED" w:rsidRPr="00D62DB2" w:rsidRDefault="00C54CED">
            <w:pPr>
              <w:pStyle w:val="tabletext"/>
              <w:jc w:val="center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655</w:t>
            </w:r>
          </w:p>
          <w:p w:rsidR="00C54CED" w:rsidRPr="00D62DB2" w:rsidRDefault="00C54CED">
            <w:pPr>
              <w:pStyle w:val="tabletext"/>
              <w:jc w:val="center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665</w:t>
            </w:r>
          </w:p>
        </w:tc>
        <w:tc>
          <w:tcPr>
            <w:tcW w:w="316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</w:tcPr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Univerzity, vysoké školy</w:t>
            </w:r>
          </w:p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Akadémia Policajného zboru</w:t>
            </w:r>
          </w:p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 xml:space="preserve">Vojenské vysoké </w:t>
            </w:r>
            <w:r w:rsidRPr="00D62DB2">
              <w:rPr>
                <w:rFonts w:asciiTheme="majorBidi" w:hAnsiTheme="majorBidi" w:cstheme="majorBidi"/>
                <w:lang w:bidi="ar-YE"/>
              </w:rPr>
              <w:t>školy (bakalárske</w:t>
            </w:r>
            <w:r w:rsidRPr="00D62DB2">
              <w:rPr>
                <w:rFonts w:asciiTheme="majorBidi" w:hAnsiTheme="majorBidi" w:cstheme="majorBidi"/>
                <w:rtl/>
                <w:lang w:bidi="ar-YE"/>
              </w:rPr>
              <w:t xml:space="preserve"> </w:t>
            </w:r>
            <w:r w:rsidRPr="00D62DB2">
              <w:rPr>
                <w:rFonts w:asciiTheme="majorBidi" w:hAnsiTheme="majorBidi" w:cstheme="majorBidi"/>
                <w:lang w:bidi="ar-YE"/>
              </w:rPr>
              <w:t>študijné</w:t>
            </w:r>
            <w:r w:rsidRPr="00D62DB2">
              <w:rPr>
                <w:rFonts w:asciiTheme="majorBidi" w:hAnsiTheme="majorBidi" w:cstheme="majorBidi"/>
                <w:rtl/>
                <w:lang w:bidi="ar-YE"/>
              </w:rPr>
              <w:t xml:space="preserve"> </w:t>
            </w:r>
            <w:r w:rsidRPr="00D62DB2">
              <w:rPr>
                <w:rFonts w:asciiTheme="majorBidi" w:hAnsiTheme="majorBidi" w:cstheme="majorBidi"/>
                <w:lang w:bidi="ar-YE"/>
              </w:rPr>
              <w:t>programy</w:t>
            </w:r>
            <w:r w:rsidRPr="00D62DB2">
              <w:rPr>
                <w:rFonts w:asciiTheme="majorBidi" w:hAnsiTheme="majorBidi" w:cstheme="majorBidi"/>
                <w:rtl/>
                <w:lang w:bidi="ar-YE"/>
              </w:rPr>
              <w:t>)</w:t>
            </w:r>
          </w:p>
        </w:tc>
      </w:tr>
      <w:tr w:rsidR="00C54CED" w:rsidRPr="00D62DB2">
        <w:trPr>
          <w:trHeight w:val="771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CED" w:rsidRPr="00D62DB2" w:rsidRDefault="00C54CED">
            <w:pPr>
              <w:pStyle w:val="Bezodstavcovhostylu"/>
              <w:spacing w:line="240" w:lineRule="auto"/>
              <w:textAlignment w:val="auto"/>
              <w:rPr>
                <w:rFonts w:asciiTheme="majorBidi" w:hAnsiTheme="majorBidi" w:cstheme="majorBidi"/>
                <w:color w:val="auto"/>
                <w:lang w:val="sk-SK"/>
              </w:rPr>
            </w:pPr>
          </w:p>
        </w:tc>
        <w:tc>
          <w:tcPr>
            <w:tcW w:w="68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  <w:vAlign w:val="center"/>
          </w:tcPr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  <w:lang w:val="en-US"/>
              </w:rPr>
              <w:t>21/22 + 2 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roky</w:t>
            </w:r>
            <w:proofErr w:type="spellEnd"/>
          </w:p>
        </w:tc>
        <w:tc>
          <w:tcPr>
            <w:tcW w:w="3061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</w:tcPr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 xml:space="preserve">2. stupeň univerzitného </w:t>
            </w:r>
            <w:r w:rsidRPr="00D62DB2">
              <w:rPr>
                <w:rFonts w:asciiTheme="majorBidi" w:hAnsiTheme="majorBidi" w:cstheme="majorBidi"/>
                <w:lang w:bidi="ar-YE"/>
              </w:rPr>
              <w:t>š</w:t>
            </w:r>
            <w:r w:rsidRPr="00D62DB2">
              <w:rPr>
                <w:rFonts w:asciiTheme="majorBidi" w:hAnsiTheme="majorBidi" w:cstheme="majorBidi"/>
              </w:rPr>
              <w:t xml:space="preserve">túdia – magisterské, inžinierske, doktorské štúdium – absolventom je udelený akademický titul Mgr., Ing., Dr. </w:t>
            </w:r>
            <w:r w:rsidRPr="00D62DB2">
              <w:rPr>
                <w:rFonts w:asciiTheme="majorBidi" w:hAnsiTheme="majorBidi" w:cstheme="majorBidi"/>
                <w:lang w:val="en-US"/>
              </w:rPr>
              <w:t>(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alebo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 xml:space="preserve"> 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ich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 xml:space="preserve"> 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ekvivalenty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>)</w:t>
            </w:r>
          </w:p>
        </w:tc>
        <w:tc>
          <w:tcPr>
            <w:tcW w:w="3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</w:tcPr>
          <w:p w:rsidR="00C54CED" w:rsidRPr="00D62DB2" w:rsidRDefault="00C54CED">
            <w:pPr>
              <w:pStyle w:val="tabletext"/>
              <w:jc w:val="center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766</w:t>
            </w:r>
          </w:p>
          <w:p w:rsidR="00C54CED" w:rsidRPr="00D62DB2" w:rsidRDefault="00C54CED">
            <w:pPr>
              <w:pStyle w:val="tabletext"/>
              <w:jc w:val="center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767</w:t>
            </w:r>
          </w:p>
          <w:p w:rsidR="00C54CED" w:rsidRPr="00D62DB2" w:rsidRDefault="00C54CED">
            <w:pPr>
              <w:pStyle w:val="tabletext"/>
              <w:jc w:val="center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768</w:t>
            </w:r>
          </w:p>
        </w:tc>
        <w:tc>
          <w:tcPr>
            <w:tcW w:w="316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</w:tcPr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Univerzity, vysoké školy</w:t>
            </w:r>
          </w:p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Akadémia Policajného zboru</w:t>
            </w:r>
          </w:p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 xml:space="preserve">Vojenské vysoké </w:t>
            </w:r>
            <w:r w:rsidRPr="00D62DB2">
              <w:rPr>
                <w:rFonts w:asciiTheme="majorBidi" w:hAnsiTheme="majorBidi" w:cstheme="majorBidi"/>
                <w:lang w:bidi="ar-YE"/>
              </w:rPr>
              <w:t>školy (magisterské</w:t>
            </w:r>
            <w:r w:rsidRPr="00D62DB2">
              <w:rPr>
                <w:rFonts w:asciiTheme="majorBidi" w:hAnsiTheme="majorBidi" w:cstheme="majorBidi"/>
                <w:rtl/>
                <w:lang w:bidi="ar-YE"/>
              </w:rPr>
              <w:t xml:space="preserve">, </w:t>
            </w:r>
            <w:r w:rsidRPr="00D62DB2">
              <w:rPr>
                <w:rFonts w:asciiTheme="majorBidi" w:hAnsiTheme="majorBidi" w:cstheme="majorBidi"/>
                <w:lang w:bidi="ar-YE"/>
              </w:rPr>
              <w:t>inžinierske a</w:t>
            </w:r>
            <w:r w:rsidRPr="00D62DB2">
              <w:rPr>
                <w:rFonts w:asciiTheme="majorBidi" w:hAnsiTheme="majorBidi" w:cstheme="majorBidi"/>
                <w:rtl/>
                <w:lang w:bidi="ar-YE"/>
              </w:rPr>
              <w:t> </w:t>
            </w:r>
            <w:r w:rsidRPr="00D62DB2">
              <w:rPr>
                <w:rFonts w:asciiTheme="majorBidi" w:hAnsiTheme="majorBidi" w:cstheme="majorBidi"/>
                <w:lang w:bidi="ar-YE"/>
              </w:rPr>
              <w:t>doktorské</w:t>
            </w:r>
            <w:r w:rsidRPr="00D62DB2">
              <w:rPr>
                <w:rFonts w:asciiTheme="majorBidi" w:hAnsiTheme="majorBidi" w:cstheme="majorBidi"/>
                <w:rtl/>
                <w:lang w:bidi="ar-YE"/>
              </w:rPr>
              <w:t xml:space="preserve"> </w:t>
            </w:r>
            <w:r w:rsidRPr="00D62DB2">
              <w:rPr>
                <w:rFonts w:asciiTheme="majorBidi" w:hAnsiTheme="majorBidi" w:cstheme="majorBidi"/>
                <w:lang w:bidi="ar-YE"/>
              </w:rPr>
              <w:t>študijné</w:t>
            </w:r>
            <w:r w:rsidRPr="00D62DB2">
              <w:rPr>
                <w:rFonts w:asciiTheme="majorBidi" w:hAnsiTheme="majorBidi" w:cstheme="majorBidi"/>
                <w:rtl/>
                <w:lang w:bidi="ar-YE"/>
              </w:rPr>
              <w:t xml:space="preserve"> </w:t>
            </w:r>
            <w:r w:rsidRPr="00D62DB2">
              <w:rPr>
                <w:rFonts w:asciiTheme="majorBidi" w:hAnsiTheme="majorBidi" w:cstheme="majorBidi"/>
                <w:lang w:bidi="ar-YE"/>
              </w:rPr>
              <w:t>programy</w:t>
            </w:r>
            <w:r w:rsidRPr="00D62DB2">
              <w:rPr>
                <w:rFonts w:asciiTheme="majorBidi" w:hAnsiTheme="majorBidi" w:cstheme="majorBidi"/>
                <w:rtl/>
                <w:lang w:bidi="ar-YE"/>
              </w:rPr>
              <w:t>)</w:t>
            </w:r>
          </w:p>
        </w:tc>
      </w:tr>
      <w:tr w:rsidR="00C54CED" w:rsidRPr="00D62DB2">
        <w:trPr>
          <w:trHeight w:val="771"/>
        </w:trPr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  <w:vAlign w:val="center"/>
          </w:tcPr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  <w:lang w:val="en-US"/>
              </w:rPr>
              <w:t>24/25 + 3 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roky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 xml:space="preserve"> a 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viac</w:t>
            </w:r>
            <w:proofErr w:type="spellEnd"/>
          </w:p>
        </w:tc>
        <w:tc>
          <w:tcPr>
            <w:tcW w:w="3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</w:tcPr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3. stupeň univerzitného štúdia – doktorandské štúdium</w:t>
            </w:r>
            <w:r w:rsidRPr="00D62DB2">
              <w:rPr>
                <w:rFonts w:asciiTheme="majorBidi" w:hAnsiTheme="majorBidi" w:cstheme="majorBidi"/>
                <w:caps/>
              </w:rPr>
              <w:t xml:space="preserve"> –</w:t>
            </w:r>
            <w:r w:rsidRPr="00D62DB2">
              <w:rPr>
                <w:rFonts w:asciiTheme="majorBidi" w:hAnsiTheme="majorBidi" w:cstheme="majorBidi"/>
              </w:rPr>
              <w:t xml:space="preserve"> absolventom je udelený vedecký titul PhD., </w:t>
            </w:r>
            <w:proofErr w:type="spellStart"/>
            <w:r w:rsidRPr="00D62DB2">
              <w:rPr>
                <w:rFonts w:asciiTheme="majorBidi" w:hAnsiTheme="majorBidi" w:cstheme="majorBidi"/>
              </w:rPr>
              <w:t>ThD</w:t>
            </w:r>
            <w:proofErr w:type="spellEnd"/>
            <w:r w:rsidRPr="00D62DB2">
              <w:rPr>
                <w:rFonts w:asciiTheme="majorBidi" w:hAnsiTheme="majorBidi" w:cstheme="majorBidi"/>
              </w:rPr>
              <w:t xml:space="preserve">. </w:t>
            </w:r>
            <w:r w:rsidRPr="00D62DB2">
              <w:rPr>
                <w:rFonts w:asciiTheme="majorBidi" w:hAnsiTheme="majorBidi" w:cstheme="majorBidi"/>
                <w:lang w:val="en-US"/>
              </w:rPr>
              <w:t>(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alebo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 xml:space="preserve"> 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ich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 xml:space="preserve"> </w:t>
            </w:r>
            <w:proofErr w:type="spellStart"/>
            <w:r w:rsidRPr="00D62DB2">
              <w:rPr>
                <w:rFonts w:asciiTheme="majorBidi" w:hAnsiTheme="majorBidi" w:cstheme="majorBidi"/>
                <w:lang w:val="en-US"/>
              </w:rPr>
              <w:t>ekvivalent</w:t>
            </w:r>
            <w:proofErr w:type="spellEnd"/>
            <w:r w:rsidRPr="00D62DB2">
              <w:rPr>
                <w:rFonts w:asciiTheme="majorBidi" w:hAnsiTheme="majorBidi" w:cstheme="majorBidi"/>
                <w:lang w:val="en-US"/>
              </w:rPr>
              <w:t>)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</w:tcPr>
          <w:p w:rsidR="00C54CED" w:rsidRPr="00D62DB2" w:rsidRDefault="00C54CED">
            <w:pPr>
              <w:pStyle w:val="tabletext"/>
              <w:jc w:val="center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864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91" w:type="dxa"/>
              <w:right w:w="57" w:type="dxa"/>
            </w:tcMar>
          </w:tcPr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Univerzity, vysoké školy</w:t>
            </w:r>
          </w:p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>Akadémia Policajného zboru</w:t>
            </w:r>
          </w:p>
          <w:p w:rsidR="00C54CED" w:rsidRPr="00D62DB2" w:rsidRDefault="00C54CED">
            <w:pPr>
              <w:pStyle w:val="tabletext"/>
              <w:rPr>
                <w:rFonts w:asciiTheme="majorBidi" w:hAnsiTheme="majorBidi" w:cstheme="majorBidi"/>
              </w:rPr>
            </w:pPr>
            <w:r w:rsidRPr="00D62DB2">
              <w:rPr>
                <w:rFonts w:asciiTheme="majorBidi" w:hAnsiTheme="majorBidi" w:cstheme="majorBidi"/>
              </w:rPr>
              <w:t xml:space="preserve">Vojenské vysoké </w:t>
            </w:r>
            <w:r w:rsidRPr="00D62DB2">
              <w:rPr>
                <w:rFonts w:asciiTheme="majorBidi" w:hAnsiTheme="majorBidi" w:cstheme="majorBidi"/>
                <w:lang w:bidi="ar-YE"/>
              </w:rPr>
              <w:t>školy (doktorandské</w:t>
            </w:r>
            <w:r w:rsidRPr="00D62DB2">
              <w:rPr>
                <w:rFonts w:asciiTheme="majorBidi" w:hAnsiTheme="majorBidi" w:cstheme="majorBidi"/>
                <w:rtl/>
                <w:lang w:bidi="ar-YE"/>
              </w:rPr>
              <w:t xml:space="preserve"> </w:t>
            </w:r>
            <w:r w:rsidRPr="00D62DB2">
              <w:rPr>
                <w:rFonts w:asciiTheme="majorBidi" w:hAnsiTheme="majorBidi" w:cstheme="majorBidi"/>
                <w:lang w:bidi="ar-YE"/>
              </w:rPr>
              <w:t>a</w:t>
            </w:r>
            <w:r w:rsidRPr="00D62DB2">
              <w:rPr>
                <w:rFonts w:asciiTheme="majorBidi" w:hAnsiTheme="majorBidi" w:cstheme="majorBidi"/>
                <w:rtl/>
                <w:lang w:bidi="ar-YE"/>
              </w:rPr>
              <w:t> </w:t>
            </w:r>
            <w:r w:rsidRPr="00D62DB2">
              <w:rPr>
                <w:rFonts w:asciiTheme="majorBidi" w:hAnsiTheme="majorBidi" w:cstheme="majorBidi"/>
                <w:lang w:bidi="ar-YE"/>
              </w:rPr>
              <w:t>postgraduálne</w:t>
            </w:r>
            <w:r w:rsidRPr="00D62DB2">
              <w:rPr>
                <w:rFonts w:asciiTheme="majorBidi" w:hAnsiTheme="majorBidi" w:cstheme="majorBidi"/>
                <w:rtl/>
                <w:lang w:bidi="ar-YE"/>
              </w:rPr>
              <w:t xml:space="preserve"> </w:t>
            </w:r>
            <w:r w:rsidRPr="00D62DB2">
              <w:rPr>
                <w:rFonts w:asciiTheme="majorBidi" w:hAnsiTheme="majorBidi" w:cstheme="majorBidi"/>
                <w:lang w:bidi="ar-YE"/>
              </w:rPr>
              <w:t>štúdium, vedecká</w:t>
            </w:r>
            <w:r w:rsidRPr="00D62DB2">
              <w:rPr>
                <w:rFonts w:asciiTheme="majorBidi" w:hAnsiTheme="majorBidi" w:cstheme="majorBidi"/>
                <w:rtl/>
                <w:lang w:bidi="ar-YE"/>
              </w:rPr>
              <w:t xml:space="preserve"> </w:t>
            </w:r>
            <w:r w:rsidRPr="00D62DB2">
              <w:rPr>
                <w:rFonts w:asciiTheme="majorBidi" w:hAnsiTheme="majorBidi" w:cstheme="majorBidi"/>
                <w:lang w:bidi="ar-YE"/>
              </w:rPr>
              <w:t>výchova</w:t>
            </w:r>
            <w:r w:rsidRPr="00D62DB2">
              <w:rPr>
                <w:rFonts w:asciiTheme="majorBidi" w:hAnsiTheme="majorBidi" w:cstheme="majorBidi"/>
                <w:rtl/>
                <w:lang w:bidi="ar-YE"/>
              </w:rPr>
              <w:t>)</w:t>
            </w:r>
          </w:p>
        </w:tc>
      </w:tr>
    </w:tbl>
    <w:p w:rsidR="00C54CED" w:rsidRPr="00D62DB2" w:rsidRDefault="00C54CED">
      <w:pPr>
        <w:pStyle w:val="Zkladntext"/>
        <w:rPr>
          <w:rFonts w:asciiTheme="majorBidi" w:hAnsiTheme="majorBidi" w:cstheme="majorBidi"/>
        </w:rPr>
      </w:pPr>
    </w:p>
    <w:p w:rsidR="00C54CED" w:rsidRPr="00D62DB2" w:rsidRDefault="00C54CED">
      <w:pPr>
        <w:pStyle w:val="tabletext"/>
        <w:spacing w:before="113"/>
        <w:ind w:left="113" w:hanging="113"/>
        <w:rPr>
          <w:rFonts w:asciiTheme="majorBidi" w:hAnsiTheme="majorBidi" w:cstheme="majorBidi"/>
          <w:sz w:val="12"/>
          <w:szCs w:val="12"/>
        </w:rPr>
      </w:pPr>
      <w:r w:rsidRPr="00D62DB2">
        <w:rPr>
          <w:rFonts w:asciiTheme="majorBidi" w:hAnsiTheme="majorBidi" w:cstheme="majorBidi"/>
          <w:sz w:val="12"/>
          <w:szCs w:val="12"/>
          <w:vertAlign w:val="superscript"/>
        </w:rPr>
        <w:t>1)</w:t>
      </w:r>
      <w:r w:rsidRPr="00D62DB2">
        <w:rPr>
          <w:rFonts w:asciiTheme="majorBidi" w:hAnsiTheme="majorBidi" w:cstheme="majorBidi"/>
          <w:sz w:val="12"/>
          <w:szCs w:val="12"/>
        </w:rPr>
        <w:t xml:space="preserve"> </w:t>
      </w:r>
      <w:r w:rsidRPr="00D62DB2">
        <w:rPr>
          <w:rFonts w:asciiTheme="majorBidi" w:hAnsiTheme="majorBidi" w:cstheme="majorBidi"/>
          <w:sz w:val="12"/>
          <w:szCs w:val="12"/>
        </w:rPr>
        <w:tab/>
        <w:t>povinná školská dochádzka je do veku 16 rokov</w:t>
      </w:r>
    </w:p>
    <w:p w:rsidR="00C54CED" w:rsidRPr="00D62DB2" w:rsidRDefault="00C54CED">
      <w:pPr>
        <w:pStyle w:val="tabletext"/>
        <w:ind w:left="113" w:hanging="113"/>
        <w:rPr>
          <w:rFonts w:asciiTheme="majorBidi" w:hAnsiTheme="majorBidi" w:cstheme="majorBidi"/>
          <w:sz w:val="12"/>
          <w:szCs w:val="12"/>
        </w:rPr>
      </w:pPr>
      <w:r w:rsidRPr="00D62DB2">
        <w:rPr>
          <w:rFonts w:asciiTheme="majorBidi" w:hAnsiTheme="majorBidi" w:cstheme="majorBidi"/>
          <w:sz w:val="12"/>
          <w:szCs w:val="12"/>
          <w:vertAlign w:val="superscript"/>
        </w:rPr>
        <w:t>2)</w:t>
      </w:r>
      <w:r w:rsidRPr="00D62DB2">
        <w:rPr>
          <w:rFonts w:asciiTheme="majorBidi" w:hAnsiTheme="majorBidi" w:cstheme="majorBidi"/>
          <w:sz w:val="12"/>
          <w:szCs w:val="12"/>
        </w:rPr>
        <w:tab/>
        <w:t>absolventi štúdia ukončeného maturitou majú priamy prístup k terciárnemu vzdelávaniu</w:t>
      </w:r>
    </w:p>
    <w:sectPr w:rsidR="00C54CED" w:rsidRPr="00D62DB2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imbus Roman D O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B63"/>
    <w:rsid w:val="00016B57"/>
    <w:rsid w:val="000658CE"/>
    <w:rsid w:val="00313B63"/>
    <w:rsid w:val="00945BA2"/>
    <w:rsid w:val="00C54CED"/>
    <w:rsid w:val="00D6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4642A9C-A38D-403E-BC8A-657F84330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nadpis">
    <w:name w:val="nadpis"/>
    <w:basedOn w:val="Bezodstavcovhostylu"/>
    <w:uiPriority w:val="99"/>
    <w:pPr>
      <w:tabs>
        <w:tab w:val="left" w:pos="340"/>
      </w:tabs>
      <w:suppressAutoHyphens/>
      <w:spacing w:after="440"/>
      <w:textAlignment w:val="top"/>
    </w:pPr>
    <w:rPr>
      <w:rFonts w:ascii="Nimbus Roman D OT" w:hAnsi="Nimbus Roman D OT" w:cs="Nimbus Roman D OT"/>
      <w:b/>
      <w:bCs/>
      <w:caps/>
      <w:lang w:val="en-US"/>
    </w:rPr>
  </w:style>
  <w:style w:type="paragraph" w:customStyle="1" w:styleId="podnadpis">
    <w:name w:val="podnadpis"/>
    <w:basedOn w:val="Bezodstavcovhostylu"/>
    <w:uiPriority w:val="99"/>
    <w:pPr>
      <w:keepNext/>
      <w:suppressAutoHyphens/>
      <w:spacing w:before="220" w:after="220" w:line="220" w:lineRule="atLeast"/>
      <w:textAlignment w:val="top"/>
    </w:pPr>
    <w:rPr>
      <w:rFonts w:ascii="Nimbus Roman D OT" w:hAnsi="Nimbus Roman D OT" w:cs="Nimbus Roman D OT"/>
      <w:b/>
      <w:bCs/>
      <w:sz w:val="20"/>
      <w:szCs w:val="20"/>
      <w:lang w:val="en-US"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</w:rPr>
  </w:style>
  <w:style w:type="paragraph" w:customStyle="1" w:styleId="tabletext">
    <w:name w:val="table text"/>
    <w:basedOn w:val="Zkladntext"/>
    <w:uiPriority w:val="99"/>
    <w:pPr>
      <w:suppressAutoHyphens/>
      <w:spacing w:line="180" w:lineRule="atLeast"/>
      <w:ind w:firstLine="0"/>
      <w:jc w:val="left"/>
    </w:pPr>
    <w:rPr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896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2</cp:revision>
  <dcterms:created xsi:type="dcterms:W3CDTF">2021-03-26T08:21:00Z</dcterms:created>
  <dcterms:modified xsi:type="dcterms:W3CDTF">2021-03-26T08:21:00Z</dcterms:modified>
</cp:coreProperties>
</file>