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DF" w:rsidRPr="00AC355D" w:rsidRDefault="00A107DF">
      <w:pPr>
        <w:pStyle w:val="nadpis"/>
        <w:rPr>
          <w:rFonts w:asciiTheme="majorBidi" w:hAnsiTheme="majorBidi" w:cstheme="majorBidi"/>
          <w:lang w:val="sk-SK"/>
        </w:rPr>
      </w:pPr>
      <w:bookmarkStart w:id="0" w:name="_GoBack"/>
      <w:r w:rsidRPr="00AC355D">
        <w:rPr>
          <w:rFonts w:asciiTheme="majorBidi" w:hAnsiTheme="majorBidi" w:cstheme="majorBidi"/>
          <w:lang w:val="sk-SK"/>
        </w:rPr>
        <w:t>31. MEDZINÁRODNÉ PREHĽADY</w:t>
      </w:r>
    </w:p>
    <w:p w:rsidR="00A107DF" w:rsidRPr="00AC355D" w:rsidRDefault="00A107DF">
      <w:pPr>
        <w:pStyle w:val="podnadpis"/>
        <w:rPr>
          <w:rFonts w:asciiTheme="majorBidi" w:hAnsiTheme="majorBidi" w:cstheme="majorBidi"/>
          <w:lang w:val="sk-SK"/>
        </w:rPr>
      </w:pPr>
      <w:r w:rsidRPr="00AC355D">
        <w:rPr>
          <w:rFonts w:asciiTheme="majorBidi" w:hAnsiTheme="majorBidi" w:cstheme="majorBidi"/>
          <w:lang w:val="sk-SK"/>
        </w:rPr>
        <w:t>Metodické vysvetlivky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Od roku 2004 Štatistický úrad Slovenskej republiky poskytuje svojim používateľom v rámci medzinárodných porovnaní vybrané ukazovatele, ktoré sú vypočítané na základe porovnateľnej metodiky. Patria sem hlavne štrukturálne ukazovatele, ktoré zostavuje Eurostat z údajov zasiel</w:t>
      </w:r>
      <w:r w:rsidRPr="00AC355D">
        <w:rPr>
          <w:rFonts w:asciiTheme="majorBidi" w:hAnsiTheme="majorBidi" w:cstheme="majorBidi"/>
        </w:rPr>
        <w:t>a</w:t>
      </w:r>
      <w:r w:rsidRPr="00AC355D">
        <w:rPr>
          <w:rFonts w:asciiTheme="majorBidi" w:hAnsiTheme="majorBidi" w:cstheme="majorBidi"/>
        </w:rPr>
        <w:t xml:space="preserve">ných z národných štatistík. </w:t>
      </w:r>
    </w:p>
    <w:p w:rsidR="00A107DF" w:rsidRPr="00AC355D" w:rsidRDefault="00A107DF">
      <w:pPr>
        <w:pStyle w:val="podnadpis"/>
        <w:rPr>
          <w:rFonts w:asciiTheme="majorBidi" w:hAnsiTheme="majorBidi" w:cstheme="majorBidi"/>
          <w:lang w:val="sk-SK"/>
        </w:rPr>
      </w:pPr>
      <w:r w:rsidRPr="00AC355D">
        <w:rPr>
          <w:rFonts w:asciiTheme="majorBidi" w:hAnsiTheme="majorBidi" w:cstheme="majorBidi"/>
          <w:lang w:val="sk-SK"/>
        </w:rPr>
        <w:t>Definície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Stredná dĺžka života </w:t>
      </w:r>
      <w:r w:rsidRPr="00AC355D">
        <w:rPr>
          <w:rFonts w:asciiTheme="majorBidi" w:hAnsiTheme="majorBidi" w:cstheme="majorBidi"/>
        </w:rPr>
        <w:t>v určitom veku</w:t>
      </w:r>
      <w:r w:rsidRPr="00AC355D">
        <w:rPr>
          <w:rFonts w:asciiTheme="majorBidi" w:hAnsiTheme="majorBidi" w:cstheme="majorBidi"/>
          <w:b/>
          <w:bCs/>
        </w:rPr>
        <w:t xml:space="preserve"> </w:t>
      </w:r>
      <w:r w:rsidRPr="00AC355D">
        <w:rPr>
          <w:rFonts w:asciiTheme="majorBidi" w:hAnsiTheme="majorBidi" w:cstheme="majorBidi"/>
        </w:rPr>
        <w:t>je počet rokov, ktoré v priemere ešte prežije osoba v pr</w:t>
      </w:r>
      <w:r w:rsidRPr="00AC355D">
        <w:rPr>
          <w:rFonts w:asciiTheme="majorBidi" w:hAnsiTheme="majorBidi" w:cstheme="majorBidi"/>
        </w:rPr>
        <w:t>í</w:t>
      </w:r>
      <w:r w:rsidRPr="00AC355D">
        <w:rPr>
          <w:rFonts w:asciiTheme="majorBidi" w:hAnsiTheme="majorBidi" w:cstheme="majorBidi"/>
        </w:rPr>
        <w:t>slušnom veku za predpokladu, že sa úmrtnostné pomery nezmenia.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Dosiahnutá úroveň vzdelania </w:t>
      </w:r>
      <w:r w:rsidRPr="00AC355D">
        <w:rPr>
          <w:rFonts w:asciiTheme="majorBidi" w:hAnsiTheme="majorBidi" w:cstheme="majorBidi"/>
        </w:rPr>
        <w:t>vyjadruje podiel ľudí vo veku 25 až 64 rokov s dokončeným m</w:t>
      </w:r>
      <w:r w:rsidRPr="00AC355D">
        <w:rPr>
          <w:rFonts w:asciiTheme="majorBidi" w:hAnsiTheme="majorBidi" w:cstheme="majorBidi"/>
        </w:rPr>
        <w:t>i</w:t>
      </w:r>
      <w:r w:rsidRPr="00AC355D">
        <w:rPr>
          <w:rFonts w:asciiTheme="majorBidi" w:hAnsiTheme="majorBidi" w:cstheme="majorBidi"/>
        </w:rPr>
        <w:t>nimálne stredoškolským vzdelaním na celkovom počte osôb v tomto veku.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Miera ekonomickej aktivity </w:t>
      </w:r>
      <w:r w:rsidRPr="00AC355D">
        <w:rPr>
          <w:rFonts w:asciiTheme="majorBidi" w:hAnsiTheme="majorBidi" w:cstheme="majorBidi"/>
        </w:rPr>
        <w:t>vyjadruje podiel ekonomicky aktívneho obyvateľstva (pracujúci a nezamestnaní) vo veku 15 až 74 rokov z celkového počtu obyvateľstva tej istej vekovej skupiny.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Miera zamestnanosti</w:t>
      </w:r>
      <w:r w:rsidRPr="00AC355D">
        <w:rPr>
          <w:rFonts w:asciiTheme="majorBidi" w:hAnsiTheme="majorBidi" w:cstheme="majorBidi"/>
        </w:rPr>
        <w:t xml:space="preserve"> vyjadruje podiel zamestnaných osôb vo veku 20 až 64 rokov z celkového počtu obyvateľstva tej istej vekovej skupiny.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Miera zamestnanosti starších pracujúcich </w:t>
      </w:r>
      <w:r w:rsidRPr="00AC355D">
        <w:rPr>
          <w:rFonts w:asciiTheme="majorBidi" w:hAnsiTheme="majorBidi" w:cstheme="majorBidi"/>
        </w:rPr>
        <w:t>vyjadruje podiel zamestnaného obyvateľstva vo veku 55 ‒ 64 rokov z celkového počtu obyvateľstva rovnakej vekovej skupiny.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Miera nezamestnanosti</w:t>
      </w:r>
      <w:r w:rsidRPr="00AC355D">
        <w:rPr>
          <w:rFonts w:asciiTheme="majorBidi" w:hAnsiTheme="majorBidi" w:cstheme="majorBidi"/>
        </w:rPr>
        <w:t xml:space="preserve"> je uvádzaná podľa výberového zisťovania pracovných síl (metodika Medzinárodnej organizácie práce, ILO) ako podiel nezamestnaných vo veku 15 až 74 rokov z celkového počtu ekonomicky aktívneho obyvateľstva.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Miera dlhodobej nezamestnanosti </w:t>
      </w:r>
      <w:r w:rsidRPr="00AC355D">
        <w:rPr>
          <w:rFonts w:asciiTheme="majorBidi" w:hAnsiTheme="majorBidi" w:cstheme="majorBidi"/>
        </w:rPr>
        <w:t>je podiel nezamestnaných v dĺžke 12 a viac mesiacov z celkového počtu ekonomicky aktívneho obyvateľstva.</w:t>
      </w:r>
    </w:p>
    <w:p w:rsidR="00E50AA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Hodnotový index</w:t>
      </w:r>
      <w:r w:rsidRPr="00AC355D">
        <w:rPr>
          <w:rFonts w:asciiTheme="majorBidi" w:hAnsiTheme="majorBidi" w:cstheme="majorBidi"/>
          <w:b/>
          <w:bCs/>
        </w:rPr>
        <w:t xml:space="preserve"> hrubý domáci produkt na obyvateľa v parite kúpnej sily (PKS) </w:t>
      </w:r>
      <w:r w:rsidRPr="00AC355D">
        <w:rPr>
          <w:rFonts w:asciiTheme="majorBidi" w:hAnsiTheme="majorBidi" w:cstheme="majorBidi"/>
        </w:rPr>
        <w:t>je vyjadrený k priemeru Európskej únie, ktorý sa rovná 100 (EÚ-27 (2020) = 100). Ak je hodnota vyššia ako 100, výška HDP na obyvateľa je vyššia ako priemer Európskej únie a naopak. Údaje vyjadrené v PKS eliminujú cenové rozdiely medzi krajinami a umožňujú porovnateľnosť HDP.</w:t>
      </w:r>
    </w:p>
    <w:p w:rsidR="00E50AA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 xml:space="preserve">Výpočet ročnej </w:t>
      </w:r>
      <w:r w:rsidRPr="00AC355D">
        <w:rPr>
          <w:rFonts w:asciiTheme="majorBidi" w:hAnsiTheme="majorBidi" w:cstheme="majorBidi"/>
          <w:b/>
          <w:bCs/>
        </w:rPr>
        <w:t>miery rastu objemu HDP</w:t>
      </w:r>
      <w:r w:rsidRPr="00AC355D">
        <w:rPr>
          <w:rFonts w:asciiTheme="majorBidi" w:hAnsiTheme="majorBidi" w:cstheme="majorBidi"/>
        </w:rPr>
        <w:t xml:space="preserve"> umožňuje porovnanie dynamiky vývoja hospodárstva nezávisle od času a rôznej veľkosti hospodárstva krajiny. 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Pri meraní rastu HDP v objemových jednotkách sa HDP v bežných cenách prepočíta na ceny predchádzajúceho roka a takto prepočítané objemové zmeny sa použijú na výpočet stálych cien reťazením objemových indexov. Na základe toho cenové pohyby (inflácia) neovplyvňujú mieru rastu HDP.</w:t>
      </w:r>
    </w:p>
    <w:p w:rsidR="00E50AA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  <w:spacing w:val="-2"/>
        </w:rPr>
        <w:t>Produktivita práce na zamestnanú osobu</w:t>
      </w:r>
      <w:r w:rsidRPr="00AC355D">
        <w:rPr>
          <w:rFonts w:asciiTheme="majorBidi" w:hAnsiTheme="majorBidi" w:cstheme="majorBidi"/>
          <w:spacing w:val="-2"/>
        </w:rPr>
        <w:t xml:space="preserve"> </w:t>
      </w:r>
      <w:r w:rsidRPr="00AC355D">
        <w:rPr>
          <w:rFonts w:asciiTheme="majorBidi" w:hAnsiTheme="majorBidi" w:cstheme="majorBidi"/>
        </w:rPr>
        <w:t>predstavuje objem HDP prepočítaný na zamestnanú osobu. Produktivita hospodárstva krajiny je vyjadrená vo vzťahu k priemeru Európskej únie (EÚ-27 (2020) =100). Ak je index vyšší ako 100, produktivita práce na zamestnanú osobu v krajine je vyššia ako priemer EÚ a naopak. Údaje vyjadrené v PPS eliminujú rozdiely v cen</w:t>
      </w:r>
      <w:r w:rsidRPr="00AC355D">
        <w:rPr>
          <w:rFonts w:asciiTheme="majorBidi" w:hAnsiTheme="majorBidi" w:cstheme="majorBidi"/>
        </w:rPr>
        <w:t>o</w:t>
      </w:r>
      <w:r w:rsidRPr="00AC355D">
        <w:rPr>
          <w:rFonts w:asciiTheme="majorBidi" w:hAnsiTheme="majorBidi" w:cstheme="majorBidi"/>
        </w:rPr>
        <w:t>vých hladinách krajín. Nerozlišuje sa zamestnanosť na plný a čiastočný úväzok.</w:t>
      </w:r>
    </w:p>
    <w:p w:rsidR="00E50AA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Hrubé domáce výdavky na vedu a výskum</w:t>
      </w:r>
      <w:r w:rsidRPr="00AC355D">
        <w:rPr>
          <w:rFonts w:asciiTheme="majorBidi" w:hAnsiTheme="majorBidi" w:cstheme="majorBidi"/>
        </w:rPr>
        <w:t xml:space="preserve"> sú výdavky financované podnikateľským sektorom, sektorom vysokých škôl, vládnym sektorom a súkromnými neziskovými organizáciami.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Výdavky na sociálnu ochranu</w:t>
      </w:r>
      <w:r w:rsidRPr="00AC355D">
        <w:rPr>
          <w:rFonts w:asciiTheme="majorBidi" w:hAnsiTheme="majorBidi" w:cstheme="majorBidi"/>
        </w:rPr>
        <w:t xml:space="preserve"> predstavujú finančné alebo naturálne transfery domácnostiam alebo jednotlivcom zo systému sociálneho poistenia, s cieľom uľahčiť záťaž vyplývajúcu z vopred určených rizík.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lastRenderedPageBreak/>
        <w:t>Podiel obnoviteľnej energie z hrubej konečnej spotreby energie</w:t>
      </w:r>
      <w:r w:rsidRPr="00AC355D">
        <w:rPr>
          <w:rFonts w:asciiTheme="majorBidi" w:hAnsiTheme="majorBidi" w:cstheme="majorBidi"/>
        </w:rPr>
        <w:t xml:space="preserve"> ukazuje, aké rozsiahle je využ</w:t>
      </w:r>
      <w:r w:rsidRPr="00AC355D">
        <w:rPr>
          <w:rFonts w:asciiTheme="majorBidi" w:hAnsiTheme="majorBidi" w:cstheme="majorBidi"/>
        </w:rPr>
        <w:t>í</w:t>
      </w:r>
      <w:r w:rsidRPr="00AC355D">
        <w:rPr>
          <w:rFonts w:asciiTheme="majorBidi" w:hAnsiTheme="majorBidi" w:cstheme="majorBidi"/>
        </w:rPr>
        <w:t>vanie obnoviteľnej energie, a implicitne mieru, do akej obnoviteľné palivá nahradili fosílne a/alebo jadrové palivá, a tým prispeli k dekarbonizácii hospodárstva EÚ. Ukazuje tiež, aký je pokrok na úrovni EÚ v súvislosti s cieľom stratégie Európa 2020 pre obnoviteľné zdroje energie, ktorým je zvýšenie podielu obnoviteľnej energie na hrubej konečnej spotrebe energie na 20 % do roku 2020.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 xml:space="preserve">Celkové </w:t>
      </w:r>
      <w:r w:rsidRPr="00AC355D">
        <w:rPr>
          <w:rFonts w:asciiTheme="majorBidi" w:hAnsiTheme="majorBidi" w:cstheme="majorBidi"/>
          <w:b/>
          <w:bCs/>
        </w:rPr>
        <w:t>emisie skleníkových plynov</w:t>
      </w:r>
      <w:r w:rsidRPr="00AC355D">
        <w:rPr>
          <w:rFonts w:asciiTheme="majorBidi" w:hAnsiTheme="majorBidi" w:cstheme="majorBidi"/>
        </w:rPr>
        <w:t xml:space="preserve"> sú prepočítané na súhrnnú hodnotu pomocou ekvivalentov CO</w:t>
      </w:r>
      <w:r w:rsidRPr="00AC355D">
        <w:rPr>
          <w:rFonts w:asciiTheme="majorBidi" w:hAnsiTheme="majorBidi" w:cstheme="majorBidi"/>
          <w:vertAlign w:val="subscript"/>
        </w:rPr>
        <w:t xml:space="preserve">2 </w:t>
      </w:r>
      <w:r w:rsidRPr="00AC355D">
        <w:rPr>
          <w:rFonts w:asciiTheme="majorBidi" w:hAnsiTheme="majorBidi" w:cstheme="majorBidi"/>
        </w:rPr>
        <w:t>a vyjadrené v tonách na jedného obyvateľa.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Index priemyselnej produkcie</w:t>
      </w:r>
      <w:r w:rsidRPr="00AC355D">
        <w:rPr>
          <w:rFonts w:asciiTheme="majorBidi" w:hAnsiTheme="majorBidi" w:cstheme="majorBidi"/>
        </w:rPr>
        <w:t xml:space="preserve"> vyjadruje zmenu objemu produkcie v naturálnom vyjadrení. Nie je očistený od vplyvu počtu pracovných dní.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>Relatívne cenové hladiny</w:t>
      </w:r>
      <w:r w:rsidRPr="00AC355D">
        <w:rPr>
          <w:rFonts w:asciiTheme="majorBidi" w:hAnsiTheme="majorBidi" w:cstheme="majorBidi"/>
        </w:rPr>
        <w:t xml:space="preserve"> sú pomerom medzi paritou kúpnej sily a mierou obchodnej výmeny pre každú krajinu. Podiel sa vzťahuje k priemeru EÚ (EÚ-27 (2020) = 100). Ak je index relatí</w:t>
      </w:r>
      <w:r w:rsidRPr="00AC355D">
        <w:rPr>
          <w:rFonts w:asciiTheme="majorBidi" w:hAnsiTheme="majorBidi" w:cstheme="majorBidi"/>
        </w:rPr>
        <w:t>v</w:t>
      </w:r>
      <w:r w:rsidRPr="00AC355D">
        <w:rPr>
          <w:rFonts w:asciiTheme="majorBidi" w:hAnsiTheme="majorBidi" w:cstheme="majorBidi"/>
        </w:rPr>
        <w:t>nych cenových hladín za krajinu väčší (menší) ako 100, príslušná krajina je relatívne „drahá“ („lacná“) v porovnaní s priemerom EÚ.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  <w:b/>
          <w:bCs/>
        </w:rPr>
        <w:t xml:space="preserve">Index rodovej rovnosti (IRR) </w:t>
      </w:r>
      <w:r w:rsidRPr="00AC355D">
        <w:rPr>
          <w:rFonts w:asciiTheme="majorBidi" w:hAnsiTheme="majorBidi" w:cstheme="majorBidi"/>
        </w:rPr>
        <w:t>je</w:t>
      </w:r>
      <w:r w:rsidRPr="00AC355D">
        <w:rPr>
          <w:rFonts w:asciiTheme="majorBidi" w:hAnsiTheme="majorBidi" w:cstheme="majorBidi"/>
          <w:b/>
          <w:bCs/>
        </w:rPr>
        <w:t xml:space="preserve"> </w:t>
      </w:r>
      <w:r w:rsidRPr="00AC355D">
        <w:rPr>
          <w:rFonts w:asciiTheme="majorBidi" w:hAnsiTheme="majorBidi" w:cstheme="majorBidi"/>
        </w:rPr>
        <w:t>unikátny nástroj na meranie, ktorý sumarizuje zložitosť rodovej rovnosti na základe modelu multidimenzionálneho konceptu kompiláciou jednotlivých indikát</w:t>
      </w:r>
      <w:r w:rsidRPr="00AC355D">
        <w:rPr>
          <w:rFonts w:asciiTheme="majorBidi" w:hAnsiTheme="majorBidi" w:cstheme="majorBidi"/>
        </w:rPr>
        <w:t>o</w:t>
      </w:r>
      <w:r w:rsidRPr="00AC355D">
        <w:rPr>
          <w:rFonts w:asciiTheme="majorBidi" w:hAnsiTheme="majorBidi" w:cstheme="majorBidi"/>
        </w:rPr>
        <w:t>rov.</w:t>
      </w:r>
      <w:r w:rsidRPr="00AC355D">
        <w:rPr>
          <w:rFonts w:asciiTheme="majorBidi" w:hAnsiTheme="majorBidi" w:cstheme="majorBidi"/>
          <w:b/>
          <w:bCs/>
        </w:rPr>
        <w:t xml:space="preserve"> </w:t>
      </w:r>
      <w:r w:rsidRPr="00AC355D">
        <w:rPr>
          <w:rFonts w:asciiTheme="majorBidi" w:hAnsiTheme="majorBidi" w:cstheme="majorBidi"/>
        </w:rPr>
        <w:t>Skladá sa zo šiestich hlavných domén (práca, peniaze, znalosti, využívanie času, podiel na moci a rozhodovaní a zdravie) a dvoch satelitných domén (prelínajúce sa nerovnosti a násilie). Index rodovej rovnosti meria, ako ďaleko (alebo blízko) je Európska únia a jej členské štáty od dosiahnutia úplnej rovnosti žien a mužov v danom roku. Hodnota IRR=100 by znamenala, že neexistujú rozdiely v spoločenskom postavení mužov a žien.</w:t>
      </w:r>
    </w:p>
    <w:p w:rsidR="00A107DF" w:rsidRPr="00AC355D" w:rsidRDefault="00A107DF">
      <w:pPr>
        <w:pStyle w:val="podnadpis"/>
        <w:rPr>
          <w:rFonts w:asciiTheme="majorBidi" w:hAnsiTheme="majorBidi" w:cstheme="majorBidi"/>
          <w:lang w:val="sk-SK"/>
        </w:rPr>
      </w:pPr>
      <w:r w:rsidRPr="00AC355D">
        <w:rPr>
          <w:rFonts w:asciiTheme="majorBidi" w:hAnsiTheme="majorBidi" w:cstheme="majorBidi"/>
          <w:lang w:val="sk-SK"/>
        </w:rPr>
        <w:t>Zdroj údajov</w:t>
      </w:r>
    </w:p>
    <w:p w:rsidR="00A107DF" w:rsidRPr="00AC355D" w:rsidRDefault="00A107DF">
      <w:pPr>
        <w:pStyle w:val="Zkladntext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Údaje sú prevzaté z nižšie uvedených zdrojov. Zdroj údajov je vždy uvedený pod príslušnými tabuľkami.</w:t>
      </w:r>
    </w:p>
    <w:p w:rsidR="00A107DF" w:rsidRPr="00AC355D" w:rsidRDefault="00A107DF">
      <w:pPr>
        <w:pStyle w:val="abcd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1.</w:t>
      </w:r>
      <w:r w:rsidRPr="00AC355D">
        <w:rPr>
          <w:rFonts w:asciiTheme="majorBidi" w:hAnsiTheme="majorBidi" w:cstheme="majorBidi"/>
        </w:rPr>
        <w:tab/>
        <w:t>United Nations Demographic Yearbook, 2018, Statistisches Jahrbuch, Deutschland und I</w:t>
      </w:r>
      <w:r w:rsidRPr="00AC355D">
        <w:rPr>
          <w:rFonts w:asciiTheme="majorBidi" w:hAnsiTheme="majorBidi" w:cstheme="majorBidi"/>
        </w:rPr>
        <w:t>n</w:t>
      </w:r>
      <w:r w:rsidRPr="00AC355D">
        <w:rPr>
          <w:rFonts w:asciiTheme="majorBidi" w:hAnsiTheme="majorBidi" w:cstheme="majorBidi"/>
        </w:rPr>
        <w:t>ternationales, 2019</w:t>
      </w:r>
    </w:p>
    <w:p w:rsidR="00A107DF" w:rsidRPr="00AC355D" w:rsidRDefault="00A107DF">
      <w:pPr>
        <w:pStyle w:val="abcd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2.</w:t>
      </w:r>
      <w:r w:rsidRPr="00AC355D">
        <w:rPr>
          <w:rFonts w:asciiTheme="majorBidi" w:hAnsiTheme="majorBidi" w:cstheme="majorBidi"/>
        </w:rPr>
        <w:tab/>
        <w:t>Pracovná databáza Eurostatu, stav k 15. 7. 2020</w:t>
      </w:r>
    </w:p>
    <w:p w:rsidR="00A107DF" w:rsidRPr="00AC355D" w:rsidRDefault="00A107DF">
      <w:pPr>
        <w:pStyle w:val="abcd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3.</w:t>
      </w:r>
      <w:r w:rsidRPr="00AC355D">
        <w:rPr>
          <w:rFonts w:asciiTheme="majorBidi" w:hAnsiTheme="majorBidi" w:cstheme="majorBidi"/>
        </w:rPr>
        <w:tab/>
        <w:t>Pracovná databáza Faostatu, stav k 15. 7. 2020</w:t>
      </w:r>
    </w:p>
    <w:p w:rsidR="00A107DF" w:rsidRPr="00AC355D" w:rsidRDefault="00A107DF">
      <w:pPr>
        <w:pStyle w:val="abcd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4.</w:t>
      </w:r>
      <w:r w:rsidRPr="00AC355D">
        <w:rPr>
          <w:rFonts w:asciiTheme="majorBidi" w:hAnsiTheme="majorBidi" w:cstheme="majorBidi"/>
        </w:rPr>
        <w:tab/>
      </w:r>
      <w:r w:rsidRPr="00AC355D">
        <w:rPr>
          <w:rFonts w:asciiTheme="majorBidi" w:hAnsiTheme="majorBidi" w:cstheme="majorBidi"/>
          <w:spacing w:val="-2"/>
        </w:rPr>
        <w:t>Monthly Bulletin of Statistics Online – U. N.,</w:t>
      </w:r>
      <w:r w:rsidRPr="00AC355D">
        <w:rPr>
          <w:rFonts w:asciiTheme="majorBidi" w:hAnsiTheme="majorBidi" w:cstheme="majorBidi"/>
        </w:rPr>
        <w:t xml:space="preserve"> stav k 15. 7. 2020</w:t>
      </w:r>
    </w:p>
    <w:p w:rsidR="00A107DF" w:rsidRPr="00AC355D" w:rsidRDefault="00A107DF">
      <w:pPr>
        <w:pStyle w:val="abcd"/>
        <w:rPr>
          <w:rFonts w:asciiTheme="majorBidi" w:hAnsiTheme="majorBidi" w:cstheme="majorBidi"/>
        </w:rPr>
      </w:pPr>
      <w:r w:rsidRPr="00AC355D">
        <w:rPr>
          <w:rFonts w:asciiTheme="majorBidi" w:hAnsiTheme="majorBidi" w:cstheme="majorBidi"/>
        </w:rPr>
        <w:t>5.</w:t>
      </w:r>
      <w:r w:rsidRPr="00AC355D">
        <w:rPr>
          <w:rFonts w:asciiTheme="majorBidi" w:hAnsiTheme="majorBidi" w:cstheme="majorBidi"/>
        </w:rPr>
        <w:tab/>
        <w:t xml:space="preserve">EIGE: </w:t>
      </w:r>
      <w:hyperlink r:id="rId4" w:history="1">
        <w:r w:rsidRPr="00AC355D">
          <w:rPr>
            <w:rFonts w:asciiTheme="majorBidi" w:hAnsiTheme="majorBidi" w:cstheme="majorBidi"/>
          </w:rPr>
          <w:t>Gender</w:t>
        </w:r>
      </w:hyperlink>
      <w:r w:rsidRPr="00AC355D">
        <w:rPr>
          <w:rFonts w:asciiTheme="majorBidi" w:hAnsiTheme="majorBidi" w:cstheme="majorBidi"/>
        </w:rPr>
        <w:t xml:space="preserve"> Equality Index 2019. Work-life balance </w:t>
      </w:r>
      <w:bookmarkEnd w:id="0"/>
    </w:p>
    <w:sectPr w:rsidR="00A107DF" w:rsidRPr="00AC355D">
      <w:pgSz w:w="9354" w:h="13209"/>
      <w:pgMar w:top="1134" w:right="850" w:bottom="1020" w:left="79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imbus Roman D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AF"/>
    <w:rsid w:val="00A107DF"/>
    <w:rsid w:val="00AC355D"/>
    <w:rsid w:val="00E5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25284D-A8F3-4EE4-9BBA-B84736DF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ezodstavcovhostylu">
    <w:name w:val="[Bez odstavcového stylu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nadpis">
    <w:name w:val="nadpis"/>
    <w:basedOn w:val="Bezodstavcovhostylu"/>
    <w:uiPriority w:val="99"/>
    <w:pPr>
      <w:tabs>
        <w:tab w:val="left" w:pos="340"/>
      </w:tabs>
      <w:suppressAutoHyphens/>
      <w:spacing w:after="440"/>
      <w:textAlignment w:val="top"/>
    </w:pPr>
    <w:rPr>
      <w:rFonts w:ascii="Nimbus Roman D OT" w:hAnsi="Nimbus Roman D OT" w:cs="Nimbus Roman D OT"/>
      <w:b/>
      <w:bCs/>
      <w:caps/>
      <w:lang w:val="en-US"/>
    </w:rPr>
  </w:style>
  <w:style w:type="paragraph" w:customStyle="1" w:styleId="podnadpis">
    <w:name w:val="podnadpis"/>
    <w:basedOn w:val="Bezodstavcovhostylu"/>
    <w:uiPriority w:val="99"/>
    <w:pPr>
      <w:keepNext/>
      <w:suppressAutoHyphens/>
      <w:spacing w:before="220" w:after="220" w:line="220" w:lineRule="atLeast"/>
      <w:textAlignment w:val="top"/>
    </w:pPr>
    <w:rPr>
      <w:rFonts w:ascii="Nimbus Roman D OT" w:hAnsi="Nimbus Roman D OT" w:cs="Nimbus Roman D OT"/>
      <w:b/>
      <w:bCs/>
      <w:sz w:val="20"/>
      <w:szCs w:val="20"/>
      <w:lang w:val="en-US"/>
    </w:rPr>
  </w:style>
  <w:style w:type="paragraph" w:styleId="Zkladntext">
    <w:name w:val="Body Text"/>
    <w:basedOn w:val="Bezodstavcovhostylu"/>
    <w:link w:val="ZkladntextChar"/>
    <w:uiPriority w:val="99"/>
    <w:pPr>
      <w:spacing w:line="220" w:lineRule="atLeast"/>
      <w:ind w:firstLine="200"/>
      <w:jc w:val="both"/>
      <w:textAlignment w:val="baseline"/>
    </w:pPr>
    <w:rPr>
      <w:rFonts w:ascii="Nimbus Roman D OT" w:hAnsi="Nimbus Roman D OT" w:cs="Nimbus Roman D OT"/>
      <w:sz w:val="20"/>
      <w:szCs w:val="20"/>
      <w:lang w:val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</w:rPr>
  </w:style>
  <w:style w:type="paragraph" w:customStyle="1" w:styleId="abcd">
    <w:name w:val="abcd"/>
    <w:basedOn w:val="Zkladntext"/>
    <w:uiPriority w:val="99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dr.undp.org/en/composite/GDI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Cerulíková Anna Ing.</dc:creator>
  <cp:keywords/>
  <dc:description/>
  <cp:lastModifiedBy>Cerulíková Anna Ing.</cp:lastModifiedBy>
  <cp:revision>2</cp:revision>
  <dcterms:created xsi:type="dcterms:W3CDTF">2021-02-02T12:59:00Z</dcterms:created>
  <dcterms:modified xsi:type="dcterms:W3CDTF">2021-02-02T12:59:00Z</dcterms:modified>
</cp:coreProperties>
</file>