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rawings/drawing2.xml" ContentType="application/vnd.openxmlformats-officedocument.drawingml.chartshapes+xml"/>
  <Override PartName="/word/charts/chart6.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3.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drawings/drawing4.xml" ContentType="application/vnd.openxmlformats-officedocument.drawingml.chartshapes+xml"/>
  <Override PartName="/word/charts/chart9.xml" ContentType="application/vnd.openxmlformats-officedocument.drawingml.chart+xml"/>
  <Override PartName="/word/drawings/drawing5.xml" ContentType="application/vnd.openxmlformats-officedocument.drawingml.chartshapes+xml"/>
  <Override PartName="/word/charts/chart10.xml" ContentType="application/vnd.openxmlformats-officedocument.drawingml.chart+xml"/>
  <Override PartName="/word/drawings/drawing6.xml" ContentType="application/vnd.openxmlformats-officedocument.drawingml.chartshapes+xml"/>
  <Override PartName="/word/charts/chart11.xml" ContentType="application/vnd.openxmlformats-officedocument.drawingml.chart+xml"/>
  <Override PartName="/word/drawings/drawing7.xml" ContentType="application/vnd.openxmlformats-officedocument.drawingml.chartshapes+xml"/>
  <Override PartName="/word/charts/chart12.xml" ContentType="application/vnd.openxmlformats-officedocument.drawingml.chart+xml"/>
  <Override PartName="/word/drawings/drawing8.xml" ContentType="application/vnd.openxmlformats-officedocument.drawingml.chartshapes+xml"/>
  <Override PartName="/word/charts/chart13.xml" ContentType="application/vnd.openxmlformats-officedocument.drawingml.chart+xml"/>
  <Override PartName="/word/drawings/drawing9.xml" ContentType="application/vnd.openxmlformats-officedocument.drawingml.chartshapes+xml"/>
  <Override PartName="/word/charts/chart14.xml" ContentType="application/vnd.openxmlformats-officedocument.drawingml.chart+xml"/>
  <Override PartName="/word/drawings/drawing10.xml" ContentType="application/vnd.openxmlformats-officedocument.drawingml.chartshapes+xml"/>
  <Override PartName="/word/charts/chart15.xml" ContentType="application/vnd.openxmlformats-officedocument.drawingml.chart+xml"/>
  <Override PartName="/word/drawings/drawing11.xml" ContentType="application/vnd.openxmlformats-officedocument.drawingml.chartshapes+xml"/>
  <Override PartName="/word/charts/chart16.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17.xml" ContentType="application/vnd.openxmlformats-officedocument.drawingml.chart+xml"/>
  <Override PartName="/word/charts/style3.xml" ContentType="application/vnd.ms-office.chartstyle+xml"/>
  <Override PartName="/word/charts/colors3.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456" w:rsidRPr="00B91E89" w:rsidRDefault="00684E2D" w:rsidP="006A034C">
      <w:pPr>
        <w:rPr>
          <w:rFonts w:ascii="Arial Narrow" w:hAnsi="Arial Narrow" w:cs="Arial"/>
          <w:b/>
        </w:rPr>
      </w:pPr>
      <w:r>
        <w:softHyphen/>
      </w:r>
      <w:r>
        <w:softHyphen/>
      </w:r>
      <w:r>
        <w:softHyphen/>
      </w:r>
      <w:bookmarkStart w:id="0" w:name="OBSAH"/>
      <w:r w:rsidR="00BC0456" w:rsidRPr="00B91E89">
        <w:rPr>
          <w:rFonts w:ascii="Arial Narrow" w:hAnsi="Arial Narrow" w:cs="Arial"/>
          <w:b/>
        </w:rPr>
        <w:t>OBSAH</w:t>
      </w:r>
      <w:bookmarkEnd w:id="0"/>
    </w:p>
    <w:p w:rsidR="00BC0456" w:rsidRPr="00095237" w:rsidRDefault="00BC0456">
      <w:pPr>
        <w:rPr>
          <w:rFonts w:ascii="Arial" w:hAnsi="Arial" w:cs="Arial"/>
          <w:b/>
          <w:bCs/>
        </w:rPr>
      </w:pPr>
    </w:p>
    <w:p w:rsidR="003732F4" w:rsidRPr="00C50BEB" w:rsidRDefault="00872024" w:rsidP="00B41DFB">
      <w:pPr>
        <w:pStyle w:val="Default"/>
        <w:ind w:right="-428"/>
        <w:rPr>
          <w:rFonts w:ascii="Arial Narrow" w:hAnsi="Arial Narrow"/>
          <w:sz w:val="22"/>
          <w:szCs w:val="22"/>
        </w:rPr>
      </w:pPr>
      <w:r w:rsidRPr="00C01441">
        <w:t xml:space="preserve">  </w:t>
      </w:r>
      <w:r w:rsidR="00DB0F40" w:rsidRPr="00C50BEB">
        <w:rPr>
          <w:rFonts w:ascii="Arial Narrow" w:hAnsi="Arial Narrow"/>
          <w:i/>
          <w:iCs/>
          <w:sz w:val="22"/>
          <w:szCs w:val="22"/>
          <w:lang w:val="en-GB"/>
        </w:rPr>
        <w:tab/>
      </w:r>
      <w:r w:rsidR="00DB0F40" w:rsidRPr="00C50BEB">
        <w:rPr>
          <w:rFonts w:ascii="Arial Narrow" w:hAnsi="Arial Narrow"/>
          <w:i/>
          <w:iCs/>
          <w:sz w:val="22"/>
          <w:szCs w:val="22"/>
          <w:lang w:val="en-GB"/>
        </w:rPr>
        <w:tab/>
      </w:r>
      <w:r w:rsidR="00DB0F40" w:rsidRPr="00C50BEB">
        <w:rPr>
          <w:rFonts w:ascii="Arial Narrow" w:hAnsi="Arial Narrow"/>
          <w:i/>
          <w:iCs/>
          <w:sz w:val="22"/>
          <w:szCs w:val="22"/>
          <w:lang w:val="en-GB"/>
        </w:rPr>
        <w:tab/>
      </w:r>
      <w:r w:rsidR="00DB0F40" w:rsidRPr="00C50BEB">
        <w:rPr>
          <w:rFonts w:ascii="Arial Narrow" w:hAnsi="Arial Narrow"/>
          <w:i/>
          <w:iCs/>
          <w:sz w:val="22"/>
          <w:szCs w:val="22"/>
          <w:lang w:val="en-GB"/>
        </w:rPr>
        <w:tab/>
      </w:r>
      <w:r w:rsidR="00DB0F40" w:rsidRPr="00C50BEB">
        <w:rPr>
          <w:rFonts w:ascii="Arial Narrow" w:hAnsi="Arial Narrow"/>
          <w:i/>
          <w:iCs/>
          <w:sz w:val="22"/>
          <w:szCs w:val="22"/>
          <w:lang w:val="en-GB"/>
        </w:rPr>
        <w:tab/>
      </w:r>
      <w:r w:rsidR="00DB0F40" w:rsidRPr="00C50BEB">
        <w:rPr>
          <w:rFonts w:ascii="Arial Narrow" w:hAnsi="Arial Narrow"/>
          <w:i/>
          <w:iCs/>
          <w:sz w:val="22"/>
          <w:szCs w:val="22"/>
          <w:lang w:val="en-GB"/>
        </w:rPr>
        <w:tab/>
      </w:r>
      <w:r w:rsidR="00DB0F40" w:rsidRPr="00C50BEB">
        <w:rPr>
          <w:rFonts w:ascii="Arial Narrow" w:hAnsi="Arial Narrow"/>
          <w:i/>
          <w:iCs/>
          <w:sz w:val="22"/>
          <w:szCs w:val="22"/>
          <w:lang w:val="en-GB"/>
        </w:rPr>
        <w:tab/>
      </w:r>
      <w:r w:rsidR="00DB0F40" w:rsidRPr="00C50BEB">
        <w:rPr>
          <w:rFonts w:ascii="Arial Narrow" w:hAnsi="Arial Narrow"/>
          <w:i/>
          <w:iCs/>
          <w:sz w:val="22"/>
          <w:szCs w:val="22"/>
          <w:lang w:val="en-GB"/>
        </w:rPr>
        <w:tab/>
        <w:t xml:space="preserve"> </w:t>
      </w:r>
      <w:r w:rsidR="00AD794C" w:rsidRPr="00C50BEB">
        <w:rPr>
          <w:rFonts w:ascii="Arial Narrow" w:hAnsi="Arial Narrow"/>
          <w:i/>
          <w:iCs/>
          <w:sz w:val="22"/>
          <w:szCs w:val="22"/>
          <w:lang w:val="en-GB"/>
        </w:rPr>
        <w:tab/>
      </w:r>
      <w:r w:rsidR="00AD794C" w:rsidRPr="00C50BEB">
        <w:rPr>
          <w:rFonts w:ascii="Arial Narrow" w:hAnsi="Arial Narrow"/>
          <w:i/>
          <w:iCs/>
          <w:sz w:val="22"/>
          <w:szCs w:val="22"/>
          <w:lang w:val="en-GB"/>
        </w:rPr>
        <w:tab/>
      </w:r>
      <w:r w:rsidR="00AD794C" w:rsidRPr="00C50BEB">
        <w:rPr>
          <w:rFonts w:ascii="Arial Narrow" w:hAnsi="Arial Narrow"/>
          <w:i/>
          <w:iCs/>
          <w:sz w:val="22"/>
          <w:szCs w:val="22"/>
          <w:lang w:val="en-GB"/>
        </w:rPr>
        <w:tab/>
      </w:r>
      <w:r w:rsidR="00B41DFB" w:rsidRPr="00C50BEB">
        <w:rPr>
          <w:rFonts w:ascii="Arial Narrow" w:hAnsi="Arial Narrow"/>
          <w:iCs/>
          <w:sz w:val="22"/>
          <w:szCs w:val="22"/>
        </w:rPr>
        <w:t xml:space="preserve">   </w:t>
      </w:r>
      <w:r w:rsidR="00AD794C" w:rsidRPr="00C50BEB">
        <w:rPr>
          <w:rFonts w:ascii="Arial Narrow" w:hAnsi="Arial Narrow"/>
          <w:iCs/>
          <w:sz w:val="22"/>
          <w:szCs w:val="22"/>
        </w:rPr>
        <w:t xml:space="preserve"> </w:t>
      </w:r>
      <w:r w:rsidR="00DB0F40" w:rsidRPr="00C50BEB">
        <w:rPr>
          <w:rFonts w:ascii="Arial Narrow" w:hAnsi="Arial Narrow"/>
          <w:iCs/>
          <w:sz w:val="22"/>
          <w:szCs w:val="22"/>
        </w:rPr>
        <w:t xml:space="preserve">  </w:t>
      </w:r>
      <w:r w:rsidR="00B41DFB" w:rsidRPr="00C50BEB">
        <w:rPr>
          <w:rFonts w:ascii="Arial Narrow" w:hAnsi="Arial Narrow"/>
          <w:iCs/>
          <w:sz w:val="22"/>
          <w:szCs w:val="22"/>
        </w:rPr>
        <w:t xml:space="preserve">         </w:t>
      </w:r>
      <w:r w:rsidR="00175ADE" w:rsidRPr="00C50BEB">
        <w:rPr>
          <w:rFonts w:ascii="Arial Narrow" w:hAnsi="Arial Narrow"/>
          <w:iCs/>
          <w:sz w:val="22"/>
          <w:szCs w:val="22"/>
        </w:rPr>
        <w:t xml:space="preserve">      </w:t>
      </w:r>
      <w:r w:rsidR="00DB0F40" w:rsidRPr="00C50BEB">
        <w:rPr>
          <w:rFonts w:ascii="Arial Narrow" w:hAnsi="Arial Narrow"/>
          <w:iCs/>
          <w:sz w:val="22"/>
          <w:szCs w:val="22"/>
        </w:rPr>
        <w:t>strana</w:t>
      </w:r>
      <w:r w:rsidR="00B41DFB" w:rsidRPr="00C50BEB">
        <w:rPr>
          <w:rFonts w:ascii="Arial Narrow" w:hAnsi="Arial Narrow"/>
          <w:i/>
          <w:iCs/>
          <w:sz w:val="22"/>
          <w:szCs w:val="22"/>
        </w:rPr>
        <w:t xml:space="preserve"> </w:t>
      </w:r>
    </w:p>
    <w:tbl>
      <w:tblPr>
        <w:tblW w:w="9252" w:type="dxa"/>
        <w:tblInd w:w="57" w:type="dxa"/>
        <w:tblCellMar>
          <w:left w:w="28" w:type="dxa"/>
        </w:tblCellMar>
        <w:tblLook w:val="04A0" w:firstRow="1" w:lastRow="0" w:firstColumn="1" w:lastColumn="0" w:noHBand="0" w:noVBand="1"/>
      </w:tblPr>
      <w:tblGrid>
        <w:gridCol w:w="39"/>
        <w:gridCol w:w="419"/>
        <w:gridCol w:w="366"/>
        <w:gridCol w:w="18"/>
        <w:gridCol w:w="7253"/>
        <w:gridCol w:w="665"/>
        <w:gridCol w:w="458"/>
        <w:gridCol w:w="34"/>
      </w:tblGrid>
      <w:tr w:rsidR="00EC301C" w:rsidRPr="00C50BEB" w:rsidTr="009F6A67">
        <w:trPr>
          <w:gridBefore w:val="1"/>
          <w:wBefore w:w="39" w:type="dxa"/>
        </w:trPr>
        <w:tc>
          <w:tcPr>
            <w:tcW w:w="803" w:type="dxa"/>
            <w:gridSpan w:val="3"/>
            <w:shd w:val="clear" w:color="auto" w:fill="auto"/>
          </w:tcPr>
          <w:p w:rsidR="00EC301C" w:rsidRPr="00C50BEB" w:rsidRDefault="00EC301C" w:rsidP="00504C5E">
            <w:pPr>
              <w:spacing w:before="240"/>
              <w:rPr>
                <w:rFonts w:ascii="Arial Narrow" w:hAnsi="Arial Narrow" w:cs="Arial"/>
                <w:b/>
                <w:sz w:val="22"/>
                <w:szCs w:val="22"/>
              </w:rPr>
            </w:pPr>
          </w:p>
        </w:tc>
        <w:tc>
          <w:tcPr>
            <w:tcW w:w="7253" w:type="dxa"/>
            <w:shd w:val="clear" w:color="auto" w:fill="auto"/>
          </w:tcPr>
          <w:p w:rsidR="00EC301C" w:rsidRPr="00C50BEB" w:rsidRDefault="00DF5C83" w:rsidP="00504C5E">
            <w:pPr>
              <w:spacing w:before="240"/>
              <w:rPr>
                <w:rFonts w:ascii="Arial Narrow" w:hAnsi="Arial Narrow" w:cs="Arial"/>
                <w:sz w:val="22"/>
                <w:szCs w:val="22"/>
              </w:rPr>
            </w:pPr>
            <w:r w:rsidRPr="00C50BEB">
              <w:rPr>
                <w:rFonts w:ascii="Arial Narrow" w:hAnsi="Arial Narrow" w:cs="Arial"/>
                <w:sz w:val="22"/>
                <w:szCs w:val="22"/>
              </w:rPr>
              <w:t>Úvod</w:t>
            </w:r>
          </w:p>
        </w:tc>
        <w:tc>
          <w:tcPr>
            <w:tcW w:w="1157" w:type="dxa"/>
            <w:gridSpan w:val="3"/>
            <w:shd w:val="clear" w:color="auto" w:fill="auto"/>
          </w:tcPr>
          <w:p w:rsidR="00EC301C" w:rsidRPr="00C50BEB" w:rsidRDefault="007F40A7" w:rsidP="00504C5E">
            <w:pPr>
              <w:spacing w:before="240"/>
              <w:ind w:left="-108"/>
              <w:jc w:val="right"/>
              <w:rPr>
                <w:rFonts w:ascii="Arial Narrow" w:hAnsi="Arial Narrow" w:cs="Arial"/>
                <w:sz w:val="22"/>
                <w:szCs w:val="22"/>
              </w:rPr>
            </w:pPr>
            <w:r w:rsidRPr="00C50BEB">
              <w:rPr>
                <w:rFonts w:ascii="Arial Narrow" w:hAnsi="Arial Narrow" w:cs="Arial"/>
                <w:sz w:val="22"/>
                <w:szCs w:val="22"/>
              </w:rPr>
              <w:t>1</w:t>
            </w:r>
          </w:p>
        </w:tc>
      </w:tr>
      <w:tr w:rsidR="00DF5C83" w:rsidRPr="00C50BEB" w:rsidTr="009F6A67">
        <w:trPr>
          <w:gridBefore w:val="1"/>
          <w:wBefore w:w="39" w:type="dxa"/>
        </w:trPr>
        <w:tc>
          <w:tcPr>
            <w:tcW w:w="803" w:type="dxa"/>
            <w:gridSpan w:val="3"/>
            <w:shd w:val="clear" w:color="auto" w:fill="auto"/>
          </w:tcPr>
          <w:p w:rsidR="00DF5C83" w:rsidRPr="00C50BEB" w:rsidRDefault="00DF5C83">
            <w:pPr>
              <w:rPr>
                <w:rFonts w:ascii="Arial Narrow" w:hAnsi="Arial Narrow" w:cs="Arial"/>
                <w:b/>
                <w:sz w:val="22"/>
                <w:szCs w:val="22"/>
              </w:rPr>
            </w:pPr>
          </w:p>
        </w:tc>
        <w:tc>
          <w:tcPr>
            <w:tcW w:w="7253" w:type="dxa"/>
            <w:shd w:val="clear" w:color="auto" w:fill="auto"/>
          </w:tcPr>
          <w:p w:rsidR="00DF5C83" w:rsidRPr="00C50BEB" w:rsidRDefault="00DF5C83" w:rsidP="00AD45EE">
            <w:pPr>
              <w:rPr>
                <w:rFonts w:ascii="Arial Narrow" w:hAnsi="Arial Narrow" w:cs="Arial"/>
                <w:sz w:val="22"/>
                <w:szCs w:val="22"/>
                <w:highlight w:val="yellow"/>
              </w:rPr>
            </w:pPr>
          </w:p>
        </w:tc>
        <w:tc>
          <w:tcPr>
            <w:tcW w:w="1157" w:type="dxa"/>
            <w:gridSpan w:val="3"/>
            <w:shd w:val="clear" w:color="auto" w:fill="auto"/>
          </w:tcPr>
          <w:p w:rsidR="00DF5C83" w:rsidRPr="00C50BEB" w:rsidRDefault="00DF5C83" w:rsidP="00DE3DA4">
            <w:pPr>
              <w:ind w:left="-108"/>
              <w:jc w:val="center"/>
              <w:rPr>
                <w:rFonts w:ascii="Arial Narrow" w:hAnsi="Arial Narrow" w:cs="Arial"/>
                <w:sz w:val="22"/>
                <w:szCs w:val="22"/>
                <w:highlight w:val="yellow"/>
              </w:rPr>
            </w:pPr>
          </w:p>
        </w:tc>
      </w:tr>
      <w:tr w:rsidR="00C126BF" w:rsidRPr="00C50BEB" w:rsidTr="009F6A67">
        <w:trPr>
          <w:gridBefore w:val="1"/>
          <w:wBefore w:w="39" w:type="dxa"/>
        </w:trPr>
        <w:tc>
          <w:tcPr>
            <w:tcW w:w="803" w:type="dxa"/>
            <w:gridSpan w:val="3"/>
            <w:shd w:val="clear" w:color="auto" w:fill="auto"/>
          </w:tcPr>
          <w:p w:rsidR="00C126BF" w:rsidRPr="00C50BEB" w:rsidRDefault="00FC3492" w:rsidP="00C50BEB">
            <w:pPr>
              <w:jc w:val="center"/>
              <w:rPr>
                <w:rFonts w:ascii="Arial Narrow" w:hAnsi="Arial Narrow" w:cs="Arial"/>
                <w:sz w:val="22"/>
                <w:szCs w:val="22"/>
              </w:rPr>
            </w:pPr>
            <w:r w:rsidRPr="00C50BEB">
              <w:rPr>
                <w:rFonts w:ascii="Arial Narrow" w:hAnsi="Arial Narrow" w:cs="Arial"/>
                <w:i/>
                <w:sz w:val="22"/>
                <w:szCs w:val="22"/>
              </w:rPr>
              <w:t xml:space="preserve"> </w:t>
            </w:r>
            <w:r w:rsidR="009F6A67" w:rsidRPr="00C50BEB">
              <w:rPr>
                <w:rFonts w:ascii="Arial Narrow" w:hAnsi="Arial Narrow" w:cs="Arial"/>
                <w:i/>
                <w:sz w:val="22"/>
                <w:szCs w:val="22"/>
              </w:rPr>
              <w:t xml:space="preserve">    </w:t>
            </w:r>
            <w:r w:rsidRPr="00C50BEB">
              <w:rPr>
                <w:rFonts w:ascii="Arial Narrow" w:hAnsi="Arial Narrow" w:cs="Arial"/>
                <w:i/>
                <w:sz w:val="22"/>
                <w:szCs w:val="22"/>
              </w:rPr>
              <w:t xml:space="preserve">  </w:t>
            </w:r>
            <w:r w:rsidR="008D176D" w:rsidRPr="00C50BEB">
              <w:rPr>
                <w:rFonts w:ascii="Arial Narrow" w:hAnsi="Arial Narrow" w:cs="Arial"/>
                <w:i/>
                <w:sz w:val="22"/>
                <w:szCs w:val="22"/>
              </w:rPr>
              <w:t xml:space="preserve">  </w:t>
            </w:r>
            <w:r w:rsidR="00E66039" w:rsidRPr="00C50BEB">
              <w:rPr>
                <w:rFonts w:ascii="Arial Narrow" w:hAnsi="Arial Narrow" w:cs="Arial"/>
                <w:i/>
                <w:sz w:val="22"/>
                <w:szCs w:val="22"/>
              </w:rPr>
              <w:t xml:space="preserve"> </w:t>
            </w:r>
            <w:r w:rsidR="00644F76" w:rsidRPr="00C50BEB">
              <w:rPr>
                <w:rFonts w:ascii="Arial Narrow" w:hAnsi="Arial Narrow" w:cs="Arial"/>
                <w:sz w:val="22"/>
                <w:szCs w:val="22"/>
              </w:rPr>
              <w:t>1.</w:t>
            </w:r>
          </w:p>
        </w:tc>
        <w:tc>
          <w:tcPr>
            <w:tcW w:w="7253" w:type="dxa"/>
            <w:shd w:val="clear" w:color="auto" w:fill="auto"/>
          </w:tcPr>
          <w:p w:rsidR="00C126BF" w:rsidRPr="00C50BEB" w:rsidRDefault="00A5495C" w:rsidP="00D60AF1">
            <w:pPr>
              <w:ind w:right="-108"/>
              <w:rPr>
                <w:rFonts w:ascii="Arial Narrow" w:hAnsi="Arial Narrow" w:cs="Arial"/>
                <w:sz w:val="22"/>
                <w:szCs w:val="22"/>
              </w:rPr>
            </w:pPr>
            <w:r w:rsidRPr="00C50BEB">
              <w:rPr>
                <w:rFonts w:ascii="Arial Narrow" w:hAnsi="Arial Narrow" w:cs="Arial"/>
                <w:sz w:val="22"/>
                <w:szCs w:val="22"/>
              </w:rPr>
              <w:t xml:space="preserve">Príjmy a výdavky na sociálnu ochranu </w:t>
            </w:r>
          </w:p>
        </w:tc>
        <w:tc>
          <w:tcPr>
            <w:tcW w:w="1157" w:type="dxa"/>
            <w:gridSpan w:val="3"/>
            <w:shd w:val="clear" w:color="auto" w:fill="auto"/>
          </w:tcPr>
          <w:p w:rsidR="00C126BF" w:rsidRPr="00C50BEB" w:rsidRDefault="00916A49" w:rsidP="00DF5C83">
            <w:pPr>
              <w:ind w:left="-108" w:hanging="22"/>
              <w:jc w:val="right"/>
              <w:rPr>
                <w:rFonts w:ascii="Arial Narrow" w:hAnsi="Arial Narrow" w:cs="Arial"/>
                <w:sz w:val="22"/>
                <w:szCs w:val="22"/>
              </w:rPr>
            </w:pPr>
            <w:r>
              <w:rPr>
                <w:rFonts w:ascii="Arial Narrow" w:hAnsi="Arial Narrow" w:cs="Arial"/>
                <w:sz w:val="22"/>
                <w:szCs w:val="22"/>
              </w:rPr>
              <w:t>3</w:t>
            </w:r>
          </w:p>
        </w:tc>
      </w:tr>
      <w:tr w:rsidR="001F592D" w:rsidRPr="00C50BEB" w:rsidTr="009F6A67">
        <w:trPr>
          <w:gridBefore w:val="1"/>
          <w:wBefore w:w="39" w:type="dxa"/>
        </w:trPr>
        <w:tc>
          <w:tcPr>
            <w:tcW w:w="803" w:type="dxa"/>
            <w:gridSpan w:val="3"/>
            <w:shd w:val="clear" w:color="auto" w:fill="auto"/>
          </w:tcPr>
          <w:p w:rsidR="001F592D" w:rsidRPr="00C50BEB" w:rsidRDefault="001F592D" w:rsidP="00DE3DA4">
            <w:pPr>
              <w:rPr>
                <w:rFonts w:ascii="Arial Narrow" w:hAnsi="Arial Narrow" w:cs="Arial"/>
                <w:i/>
                <w:sz w:val="22"/>
                <w:szCs w:val="22"/>
              </w:rPr>
            </w:pPr>
          </w:p>
          <w:p w:rsidR="00D90207" w:rsidRPr="00C50BEB" w:rsidRDefault="00D90207" w:rsidP="00DE3DA4">
            <w:pPr>
              <w:rPr>
                <w:rFonts w:ascii="Arial Narrow" w:hAnsi="Arial Narrow" w:cs="Arial"/>
                <w:i/>
                <w:sz w:val="22"/>
                <w:szCs w:val="22"/>
              </w:rPr>
            </w:pPr>
          </w:p>
          <w:p w:rsidR="00D90207" w:rsidRPr="00C50BEB" w:rsidRDefault="00D90207" w:rsidP="00DE3DA4">
            <w:pPr>
              <w:rPr>
                <w:rFonts w:ascii="Arial Narrow" w:hAnsi="Arial Narrow" w:cs="Arial"/>
                <w:i/>
                <w:sz w:val="22"/>
                <w:szCs w:val="22"/>
              </w:rPr>
            </w:pPr>
          </w:p>
          <w:p w:rsidR="00D90207" w:rsidRPr="00C50BEB" w:rsidRDefault="00D90207" w:rsidP="00DE3DA4">
            <w:pPr>
              <w:rPr>
                <w:rFonts w:ascii="Arial Narrow" w:hAnsi="Arial Narrow" w:cs="Arial"/>
                <w:i/>
                <w:sz w:val="22"/>
                <w:szCs w:val="22"/>
              </w:rPr>
            </w:pPr>
          </w:p>
          <w:p w:rsidR="00D90207" w:rsidRPr="00C50BEB" w:rsidRDefault="00D90207" w:rsidP="00DE3DA4">
            <w:pPr>
              <w:rPr>
                <w:rFonts w:ascii="Arial Narrow" w:hAnsi="Arial Narrow" w:cs="Arial"/>
                <w:i/>
                <w:sz w:val="22"/>
                <w:szCs w:val="22"/>
              </w:rPr>
            </w:pPr>
          </w:p>
          <w:p w:rsidR="00D90207" w:rsidRPr="00C50BEB" w:rsidRDefault="00D90207" w:rsidP="00DE3DA4">
            <w:pPr>
              <w:rPr>
                <w:rFonts w:ascii="Arial Narrow" w:hAnsi="Arial Narrow" w:cs="Arial"/>
                <w:i/>
                <w:sz w:val="22"/>
                <w:szCs w:val="22"/>
              </w:rPr>
            </w:pPr>
          </w:p>
          <w:p w:rsidR="00D90207" w:rsidRPr="00C50BEB" w:rsidRDefault="00D90207" w:rsidP="00DE3DA4">
            <w:pPr>
              <w:rPr>
                <w:rFonts w:ascii="Arial Narrow" w:hAnsi="Arial Narrow" w:cs="Arial"/>
                <w:i/>
                <w:sz w:val="22"/>
                <w:szCs w:val="22"/>
              </w:rPr>
            </w:pPr>
          </w:p>
          <w:p w:rsidR="00D90207" w:rsidRPr="00C50BEB" w:rsidRDefault="00D90207" w:rsidP="00DE3DA4">
            <w:pPr>
              <w:rPr>
                <w:rFonts w:ascii="Arial Narrow" w:hAnsi="Arial Narrow" w:cs="Arial"/>
                <w:i/>
                <w:sz w:val="22"/>
                <w:szCs w:val="22"/>
              </w:rPr>
            </w:pPr>
          </w:p>
          <w:p w:rsidR="00D90207" w:rsidRPr="00C50BEB" w:rsidRDefault="00D90207" w:rsidP="00DE3DA4">
            <w:pPr>
              <w:rPr>
                <w:rFonts w:ascii="Arial Narrow" w:hAnsi="Arial Narrow" w:cs="Arial"/>
                <w:i/>
                <w:sz w:val="22"/>
                <w:szCs w:val="22"/>
              </w:rPr>
            </w:pPr>
          </w:p>
          <w:p w:rsidR="00D90207" w:rsidRPr="00C50BEB" w:rsidRDefault="00D90207" w:rsidP="00D90207">
            <w:pPr>
              <w:jc w:val="right"/>
              <w:rPr>
                <w:rFonts w:ascii="Arial Narrow" w:hAnsi="Arial Narrow" w:cs="Arial"/>
                <w:sz w:val="22"/>
                <w:szCs w:val="22"/>
              </w:rPr>
            </w:pPr>
            <w:r w:rsidRPr="00C50BEB">
              <w:rPr>
                <w:rFonts w:ascii="Arial Narrow" w:hAnsi="Arial Narrow" w:cs="Arial"/>
                <w:sz w:val="22"/>
                <w:szCs w:val="22"/>
              </w:rPr>
              <w:t>2.</w:t>
            </w:r>
          </w:p>
          <w:p w:rsidR="00D90207" w:rsidRPr="00C50BEB" w:rsidRDefault="00D90207" w:rsidP="00D90207">
            <w:pPr>
              <w:jc w:val="right"/>
              <w:rPr>
                <w:rFonts w:ascii="Arial Narrow" w:hAnsi="Arial Narrow" w:cs="Arial"/>
                <w:sz w:val="22"/>
                <w:szCs w:val="22"/>
              </w:rPr>
            </w:pPr>
            <w:r w:rsidRPr="00C50BEB">
              <w:rPr>
                <w:rFonts w:ascii="Arial Narrow" w:hAnsi="Arial Narrow" w:cs="Arial"/>
                <w:sz w:val="22"/>
                <w:szCs w:val="22"/>
              </w:rPr>
              <w:t>3.</w:t>
            </w:r>
          </w:p>
          <w:p w:rsidR="00D90207" w:rsidRPr="00C50BEB" w:rsidRDefault="00D90207" w:rsidP="00D90207">
            <w:pPr>
              <w:jc w:val="right"/>
              <w:rPr>
                <w:rFonts w:ascii="Arial Narrow" w:hAnsi="Arial Narrow" w:cs="Arial"/>
                <w:sz w:val="22"/>
                <w:szCs w:val="22"/>
              </w:rPr>
            </w:pPr>
            <w:r w:rsidRPr="00C50BEB">
              <w:rPr>
                <w:rFonts w:ascii="Arial Narrow" w:hAnsi="Arial Narrow" w:cs="Arial"/>
                <w:sz w:val="22"/>
                <w:szCs w:val="22"/>
              </w:rPr>
              <w:t>4.</w:t>
            </w:r>
          </w:p>
          <w:p w:rsidR="00D90207" w:rsidRPr="00C50BEB" w:rsidRDefault="00D90207" w:rsidP="00D90207">
            <w:pPr>
              <w:jc w:val="right"/>
              <w:rPr>
                <w:rFonts w:ascii="Arial Narrow" w:hAnsi="Arial Narrow" w:cs="Arial"/>
                <w:sz w:val="22"/>
                <w:szCs w:val="22"/>
              </w:rPr>
            </w:pPr>
            <w:r w:rsidRPr="00C50BEB">
              <w:rPr>
                <w:rFonts w:ascii="Arial Narrow" w:hAnsi="Arial Narrow" w:cs="Arial"/>
                <w:sz w:val="22"/>
                <w:szCs w:val="22"/>
              </w:rPr>
              <w:t>5.</w:t>
            </w:r>
          </w:p>
          <w:p w:rsidR="00D90207" w:rsidRPr="00C50BEB" w:rsidRDefault="00D90207" w:rsidP="00D90207">
            <w:pPr>
              <w:jc w:val="right"/>
              <w:rPr>
                <w:rFonts w:ascii="Arial Narrow" w:hAnsi="Arial Narrow" w:cs="Arial"/>
                <w:i/>
                <w:sz w:val="22"/>
                <w:szCs w:val="22"/>
              </w:rPr>
            </w:pPr>
          </w:p>
        </w:tc>
        <w:tc>
          <w:tcPr>
            <w:tcW w:w="7253" w:type="dxa"/>
            <w:shd w:val="clear" w:color="auto" w:fill="auto"/>
          </w:tcPr>
          <w:p w:rsidR="001F592D" w:rsidRPr="00C50BEB" w:rsidRDefault="00434A41" w:rsidP="00434A41">
            <w:pPr>
              <w:pStyle w:val="Odsekzoznamu"/>
              <w:numPr>
                <w:ilvl w:val="1"/>
                <w:numId w:val="10"/>
              </w:numPr>
              <w:ind w:right="-108"/>
              <w:rPr>
                <w:rFonts w:ascii="Arial Narrow" w:hAnsi="Arial Narrow" w:cs="Arial"/>
                <w:sz w:val="22"/>
                <w:szCs w:val="22"/>
              </w:rPr>
            </w:pPr>
            <w:r w:rsidRPr="00C50BEB">
              <w:rPr>
                <w:rFonts w:ascii="Arial Narrow" w:hAnsi="Arial Narrow" w:cs="Arial"/>
                <w:sz w:val="22"/>
                <w:szCs w:val="22"/>
              </w:rPr>
              <w:t>Príjmy na sociálnu ochranu v SR</w:t>
            </w:r>
          </w:p>
          <w:p w:rsidR="00434A41" w:rsidRPr="00C50BEB" w:rsidRDefault="00434A41" w:rsidP="00434A41">
            <w:pPr>
              <w:pStyle w:val="Odsekzoznamu"/>
              <w:numPr>
                <w:ilvl w:val="1"/>
                <w:numId w:val="10"/>
              </w:numPr>
              <w:ind w:right="-108"/>
              <w:rPr>
                <w:rFonts w:ascii="Arial Narrow" w:hAnsi="Arial Narrow" w:cs="Arial"/>
                <w:sz w:val="22"/>
                <w:szCs w:val="22"/>
              </w:rPr>
            </w:pPr>
            <w:r w:rsidRPr="00C50BEB">
              <w:rPr>
                <w:rFonts w:ascii="Arial Narrow" w:hAnsi="Arial Narrow" w:cs="Arial"/>
                <w:sz w:val="22"/>
                <w:szCs w:val="22"/>
              </w:rPr>
              <w:t>Výdavky na sociálnu ochranu v SR</w:t>
            </w:r>
          </w:p>
          <w:p w:rsidR="00320F86" w:rsidRPr="00C50BEB" w:rsidRDefault="00320F86" w:rsidP="00D05917">
            <w:pPr>
              <w:pStyle w:val="Odsekzoznamu"/>
              <w:numPr>
                <w:ilvl w:val="2"/>
                <w:numId w:val="10"/>
              </w:numPr>
              <w:ind w:right="-108"/>
              <w:rPr>
                <w:rFonts w:ascii="Arial Narrow" w:hAnsi="Arial Narrow" w:cs="Arial"/>
                <w:sz w:val="22"/>
                <w:szCs w:val="22"/>
              </w:rPr>
            </w:pPr>
            <w:r w:rsidRPr="00C50BEB">
              <w:rPr>
                <w:rFonts w:ascii="Arial Narrow" w:hAnsi="Arial Narrow" w:cs="Arial"/>
                <w:sz w:val="22"/>
                <w:szCs w:val="22"/>
              </w:rPr>
              <w:t>Výdavky na účel choroba/zdravotná starostlivosť v SR</w:t>
            </w:r>
          </w:p>
          <w:p w:rsidR="00320F86" w:rsidRPr="00C50BEB" w:rsidRDefault="009738B0" w:rsidP="00EC29F0">
            <w:pPr>
              <w:pStyle w:val="Odsekzoznamu"/>
              <w:numPr>
                <w:ilvl w:val="2"/>
                <w:numId w:val="10"/>
              </w:numPr>
              <w:ind w:right="-108"/>
              <w:rPr>
                <w:rFonts w:ascii="Arial Narrow" w:hAnsi="Arial Narrow" w:cs="Arial"/>
                <w:sz w:val="22"/>
                <w:szCs w:val="22"/>
              </w:rPr>
            </w:pPr>
            <w:r w:rsidRPr="00C50BEB">
              <w:rPr>
                <w:rFonts w:ascii="Arial Narrow" w:hAnsi="Arial Narrow" w:cs="Arial"/>
                <w:sz w:val="22"/>
                <w:szCs w:val="22"/>
              </w:rPr>
              <w:t>Výdavky na účel zdravotné postihnutie (invalidita) v SR</w:t>
            </w:r>
          </w:p>
          <w:p w:rsidR="009738B0" w:rsidRPr="00C50BEB" w:rsidRDefault="007F2A79" w:rsidP="00EC29F0">
            <w:pPr>
              <w:pStyle w:val="Odsekzoznamu"/>
              <w:numPr>
                <w:ilvl w:val="2"/>
                <w:numId w:val="10"/>
              </w:numPr>
              <w:ind w:right="-108"/>
              <w:rPr>
                <w:rFonts w:ascii="Arial Narrow" w:hAnsi="Arial Narrow" w:cs="Arial"/>
                <w:sz w:val="22"/>
                <w:szCs w:val="22"/>
              </w:rPr>
            </w:pPr>
            <w:r w:rsidRPr="00C50BEB">
              <w:rPr>
                <w:rFonts w:ascii="Arial Narrow" w:hAnsi="Arial Narrow" w:cs="Arial"/>
                <w:sz w:val="22"/>
                <w:szCs w:val="22"/>
              </w:rPr>
              <w:t>Výdavky na účel staroba v SR</w:t>
            </w:r>
          </w:p>
          <w:p w:rsidR="007F2A79" w:rsidRPr="00C50BEB" w:rsidRDefault="003E05ED" w:rsidP="00C40302">
            <w:pPr>
              <w:pStyle w:val="Odsekzoznamu"/>
              <w:numPr>
                <w:ilvl w:val="2"/>
                <w:numId w:val="10"/>
              </w:numPr>
              <w:ind w:right="-108"/>
              <w:rPr>
                <w:rFonts w:ascii="Arial Narrow" w:hAnsi="Arial Narrow" w:cs="Arial"/>
                <w:sz w:val="22"/>
                <w:szCs w:val="22"/>
              </w:rPr>
            </w:pPr>
            <w:r w:rsidRPr="00C50BEB">
              <w:rPr>
                <w:rFonts w:ascii="Arial Narrow" w:hAnsi="Arial Narrow" w:cs="Arial"/>
                <w:sz w:val="22"/>
                <w:szCs w:val="22"/>
              </w:rPr>
              <w:t>Výdavky na účel pozostalí v SR</w:t>
            </w:r>
          </w:p>
          <w:p w:rsidR="003E05ED" w:rsidRPr="00C50BEB" w:rsidRDefault="00A30946" w:rsidP="00C40302">
            <w:pPr>
              <w:pStyle w:val="Odsekzoznamu"/>
              <w:numPr>
                <w:ilvl w:val="2"/>
                <w:numId w:val="10"/>
              </w:numPr>
              <w:ind w:right="-108"/>
              <w:rPr>
                <w:rFonts w:ascii="Arial Narrow" w:hAnsi="Arial Narrow" w:cs="Arial"/>
                <w:sz w:val="22"/>
                <w:szCs w:val="22"/>
              </w:rPr>
            </w:pPr>
            <w:r w:rsidRPr="00C50BEB">
              <w:rPr>
                <w:rFonts w:ascii="Arial Narrow" w:hAnsi="Arial Narrow" w:cs="Arial"/>
                <w:sz w:val="22"/>
                <w:szCs w:val="22"/>
              </w:rPr>
              <w:t>Výdavky na účel rodina/deti v SR</w:t>
            </w:r>
          </w:p>
          <w:p w:rsidR="00A30946" w:rsidRPr="00C50BEB" w:rsidRDefault="00C97EC5" w:rsidP="00C40302">
            <w:pPr>
              <w:pStyle w:val="Odsekzoznamu"/>
              <w:numPr>
                <w:ilvl w:val="2"/>
                <w:numId w:val="10"/>
              </w:numPr>
              <w:ind w:right="-108"/>
              <w:rPr>
                <w:rFonts w:ascii="Arial Narrow" w:hAnsi="Arial Narrow" w:cs="Arial"/>
                <w:sz w:val="22"/>
                <w:szCs w:val="22"/>
              </w:rPr>
            </w:pPr>
            <w:r w:rsidRPr="00C50BEB">
              <w:rPr>
                <w:rFonts w:ascii="Arial Narrow" w:hAnsi="Arial Narrow" w:cs="Arial"/>
                <w:sz w:val="22"/>
                <w:szCs w:val="22"/>
              </w:rPr>
              <w:t>Výdavky na účel nezamestnanosť v SR</w:t>
            </w:r>
          </w:p>
          <w:p w:rsidR="00320F86" w:rsidRPr="00C50BEB" w:rsidRDefault="00AD601C" w:rsidP="00C40302">
            <w:pPr>
              <w:pStyle w:val="Odsekzoznamu"/>
              <w:numPr>
                <w:ilvl w:val="2"/>
                <w:numId w:val="10"/>
              </w:numPr>
              <w:ind w:right="-108"/>
              <w:rPr>
                <w:rFonts w:ascii="Arial Narrow" w:hAnsi="Arial Narrow" w:cs="Arial"/>
                <w:sz w:val="22"/>
                <w:szCs w:val="22"/>
              </w:rPr>
            </w:pPr>
            <w:r w:rsidRPr="00C50BEB">
              <w:rPr>
                <w:rFonts w:ascii="Arial Narrow" w:hAnsi="Arial Narrow" w:cs="Arial"/>
                <w:sz w:val="22"/>
                <w:szCs w:val="22"/>
              </w:rPr>
              <w:t>Výdavky na účely bývanie a sociálne vylúčenie v</w:t>
            </w:r>
            <w:r w:rsidR="003F51C1" w:rsidRPr="00C50BEB">
              <w:rPr>
                <w:rFonts w:ascii="Arial Narrow" w:hAnsi="Arial Narrow" w:cs="Arial"/>
                <w:sz w:val="22"/>
                <w:szCs w:val="22"/>
              </w:rPr>
              <w:t> </w:t>
            </w:r>
            <w:r w:rsidRPr="00C50BEB">
              <w:rPr>
                <w:rFonts w:ascii="Arial Narrow" w:hAnsi="Arial Narrow" w:cs="Arial"/>
                <w:sz w:val="22"/>
                <w:szCs w:val="22"/>
              </w:rPr>
              <w:t>SR</w:t>
            </w:r>
          </w:p>
          <w:p w:rsidR="003F51C1" w:rsidRPr="00C50BEB" w:rsidRDefault="003F51C1" w:rsidP="003F51C1">
            <w:pPr>
              <w:ind w:right="-108"/>
              <w:rPr>
                <w:rFonts w:ascii="Arial Narrow" w:hAnsi="Arial Narrow" w:cs="Arial"/>
                <w:sz w:val="22"/>
                <w:szCs w:val="22"/>
              </w:rPr>
            </w:pPr>
            <w:r w:rsidRPr="00C50BEB">
              <w:rPr>
                <w:rFonts w:ascii="Arial Narrow" w:hAnsi="Arial Narrow" w:cs="Arial"/>
                <w:sz w:val="22"/>
                <w:szCs w:val="22"/>
              </w:rPr>
              <w:t>Výdavky na dôchodky v SR</w:t>
            </w:r>
          </w:p>
          <w:p w:rsidR="003F51C1" w:rsidRPr="00C50BEB" w:rsidRDefault="003F51C1" w:rsidP="00D90207">
            <w:pPr>
              <w:ind w:right="-108"/>
              <w:rPr>
                <w:rFonts w:ascii="Arial Narrow" w:hAnsi="Arial Narrow" w:cs="Arial"/>
                <w:sz w:val="22"/>
                <w:szCs w:val="22"/>
              </w:rPr>
            </w:pPr>
            <w:r w:rsidRPr="00C50BEB">
              <w:rPr>
                <w:rFonts w:ascii="Arial Narrow" w:hAnsi="Arial Narrow" w:cs="Arial"/>
                <w:sz w:val="22"/>
                <w:szCs w:val="22"/>
              </w:rPr>
              <w:t>Počet poberateľov dôchodkov s elimináciou duplicity v</w:t>
            </w:r>
            <w:r w:rsidR="000D0529" w:rsidRPr="00C50BEB">
              <w:rPr>
                <w:rFonts w:ascii="Arial Narrow" w:hAnsi="Arial Narrow" w:cs="Arial"/>
                <w:sz w:val="22"/>
                <w:szCs w:val="22"/>
              </w:rPr>
              <w:t> </w:t>
            </w:r>
            <w:r w:rsidRPr="00C50BEB">
              <w:rPr>
                <w:rFonts w:ascii="Arial Narrow" w:hAnsi="Arial Narrow" w:cs="Arial"/>
                <w:sz w:val="22"/>
                <w:szCs w:val="22"/>
              </w:rPr>
              <w:t>SR</w:t>
            </w:r>
          </w:p>
          <w:p w:rsidR="004D7952" w:rsidRPr="00C50BEB" w:rsidRDefault="004D7952" w:rsidP="007F315F">
            <w:pPr>
              <w:ind w:right="-108"/>
              <w:rPr>
                <w:rFonts w:ascii="Arial Narrow" w:hAnsi="Arial Narrow" w:cs="Arial"/>
                <w:sz w:val="22"/>
                <w:szCs w:val="22"/>
              </w:rPr>
            </w:pPr>
            <w:r w:rsidRPr="00C50BEB">
              <w:rPr>
                <w:rFonts w:ascii="Arial Narrow" w:hAnsi="Arial Narrow" w:cs="Arial"/>
                <w:sz w:val="22"/>
                <w:szCs w:val="22"/>
              </w:rPr>
              <w:t>Zdroje údajov a informácií</w:t>
            </w:r>
          </w:p>
          <w:p w:rsidR="004D7952" w:rsidRPr="00C50BEB" w:rsidRDefault="004D7952" w:rsidP="007F315F">
            <w:pPr>
              <w:ind w:right="-108"/>
              <w:rPr>
                <w:rFonts w:ascii="Arial Narrow" w:hAnsi="Arial Narrow" w:cs="Arial"/>
                <w:sz w:val="22"/>
                <w:szCs w:val="22"/>
              </w:rPr>
            </w:pPr>
            <w:r w:rsidRPr="00C50BEB">
              <w:rPr>
                <w:rFonts w:ascii="Arial Narrow" w:hAnsi="Arial Narrow" w:cs="Arial"/>
                <w:sz w:val="22"/>
                <w:szCs w:val="22"/>
              </w:rPr>
              <w:t>Literatúra</w:t>
            </w:r>
          </w:p>
        </w:tc>
        <w:tc>
          <w:tcPr>
            <w:tcW w:w="1157" w:type="dxa"/>
            <w:gridSpan w:val="3"/>
            <w:shd w:val="clear" w:color="auto" w:fill="auto"/>
          </w:tcPr>
          <w:p w:rsidR="00434A41" w:rsidRPr="00C50BEB" w:rsidRDefault="00916A49" w:rsidP="00434A41">
            <w:pPr>
              <w:ind w:left="-108" w:hanging="22"/>
              <w:jc w:val="right"/>
              <w:rPr>
                <w:rFonts w:ascii="Arial Narrow" w:hAnsi="Arial Narrow" w:cs="Arial"/>
                <w:sz w:val="22"/>
                <w:szCs w:val="22"/>
              </w:rPr>
            </w:pPr>
            <w:r>
              <w:rPr>
                <w:rFonts w:ascii="Arial Narrow" w:hAnsi="Arial Narrow" w:cs="Arial"/>
                <w:sz w:val="22"/>
                <w:szCs w:val="22"/>
              </w:rPr>
              <w:t>4</w:t>
            </w:r>
          </w:p>
          <w:p w:rsidR="00434A41" w:rsidRPr="00C50BEB" w:rsidRDefault="00916A49" w:rsidP="00434A41">
            <w:pPr>
              <w:ind w:left="-108" w:hanging="22"/>
              <w:jc w:val="right"/>
              <w:rPr>
                <w:rFonts w:ascii="Arial Narrow" w:hAnsi="Arial Narrow" w:cs="Arial"/>
                <w:sz w:val="22"/>
                <w:szCs w:val="22"/>
              </w:rPr>
            </w:pPr>
            <w:r>
              <w:rPr>
                <w:rFonts w:ascii="Arial Narrow" w:hAnsi="Arial Narrow" w:cs="Arial"/>
                <w:sz w:val="22"/>
                <w:szCs w:val="22"/>
              </w:rPr>
              <w:t>6</w:t>
            </w:r>
          </w:p>
          <w:p w:rsidR="00434A41" w:rsidRPr="00C50BEB" w:rsidRDefault="00916A49" w:rsidP="00434A41">
            <w:pPr>
              <w:ind w:left="-108" w:hanging="22"/>
              <w:jc w:val="right"/>
              <w:rPr>
                <w:rFonts w:ascii="Arial Narrow" w:hAnsi="Arial Narrow" w:cs="Arial"/>
                <w:sz w:val="22"/>
                <w:szCs w:val="22"/>
              </w:rPr>
            </w:pPr>
            <w:r>
              <w:rPr>
                <w:rFonts w:ascii="Arial Narrow" w:hAnsi="Arial Narrow" w:cs="Arial"/>
                <w:sz w:val="22"/>
                <w:szCs w:val="22"/>
              </w:rPr>
              <w:t>9</w:t>
            </w:r>
          </w:p>
          <w:p w:rsidR="00320F86" w:rsidRPr="00C50BEB" w:rsidRDefault="00D53CE6" w:rsidP="00434A41">
            <w:pPr>
              <w:ind w:left="-108" w:hanging="22"/>
              <w:jc w:val="right"/>
              <w:rPr>
                <w:rFonts w:ascii="Arial Narrow" w:hAnsi="Arial Narrow" w:cs="Arial"/>
                <w:sz w:val="22"/>
                <w:szCs w:val="22"/>
              </w:rPr>
            </w:pPr>
            <w:r w:rsidRPr="00C50BEB">
              <w:rPr>
                <w:rFonts w:ascii="Arial Narrow" w:hAnsi="Arial Narrow" w:cs="Arial"/>
                <w:sz w:val="22"/>
                <w:szCs w:val="22"/>
              </w:rPr>
              <w:t>1</w:t>
            </w:r>
            <w:r w:rsidR="00916A49">
              <w:rPr>
                <w:rFonts w:ascii="Arial Narrow" w:hAnsi="Arial Narrow" w:cs="Arial"/>
                <w:sz w:val="22"/>
                <w:szCs w:val="22"/>
              </w:rPr>
              <w:t>1</w:t>
            </w:r>
          </w:p>
          <w:p w:rsidR="009738B0" w:rsidRPr="00C50BEB" w:rsidRDefault="00D53CE6" w:rsidP="00434A41">
            <w:pPr>
              <w:ind w:left="-108" w:hanging="22"/>
              <w:jc w:val="right"/>
              <w:rPr>
                <w:rFonts w:ascii="Arial Narrow" w:hAnsi="Arial Narrow" w:cs="Arial"/>
                <w:sz w:val="22"/>
                <w:szCs w:val="22"/>
              </w:rPr>
            </w:pPr>
            <w:r w:rsidRPr="00C50BEB">
              <w:rPr>
                <w:rFonts w:ascii="Arial Narrow" w:hAnsi="Arial Narrow" w:cs="Arial"/>
                <w:sz w:val="22"/>
                <w:szCs w:val="22"/>
              </w:rPr>
              <w:t>1</w:t>
            </w:r>
            <w:r w:rsidR="00916A49">
              <w:rPr>
                <w:rFonts w:ascii="Arial Narrow" w:hAnsi="Arial Narrow" w:cs="Arial"/>
                <w:sz w:val="22"/>
                <w:szCs w:val="22"/>
              </w:rPr>
              <w:t>3</w:t>
            </w:r>
          </w:p>
          <w:p w:rsidR="003E05ED" w:rsidRPr="00C50BEB" w:rsidRDefault="00D53CE6" w:rsidP="00434A41">
            <w:pPr>
              <w:ind w:left="-108" w:hanging="22"/>
              <w:jc w:val="right"/>
              <w:rPr>
                <w:rFonts w:ascii="Arial Narrow" w:hAnsi="Arial Narrow" w:cs="Arial"/>
                <w:sz w:val="22"/>
                <w:szCs w:val="22"/>
              </w:rPr>
            </w:pPr>
            <w:r w:rsidRPr="00C50BEB">
              <w:rPr>
                <w:rFonts w:ascii="Arial Narrow" w:hAnsi="Arial Narrow" w:cs="Arial"/>
                <w:sz w:val="22"/>
                <w:szCs w:val="22"/>
              </w:rPr>
              <w:t>1</w:t>
            </w:r>
            <w:r w:rsidR="00916A49">
              <w:rPr>
                <w:rFonts w:ascii="Arial Narrow" w:hAnsi="Arial Narrow" w:cs="Arial"/>
                <w:sz w:val="22"/>
                <w:szCs w:val="22"/>
              </w:rPr>
              <w:t>5</w:t>
            </w:r>
          </w:p>
          <w:p w:rsidR="00A30946" w:rsidRPr="00C50BEB" w:rsidRDefault="00D53CE6" w:rsidP="00434A41">
            <w:pPr>
              <w:ind w:left="-108" w:hanging="22"/>
              <w:jc w:val="right"/>
              <w:rPr>
                <w:rFonts w:ascii="Arial Narrow" w:hAnsi="Arial Narrow" w:cs="Arial"/>
                <w:sz w:val="22"/>
                <w:szCs w:val="22"/>
              </w:rPr>
            </w:pPr>
            <w:r w:rsidRPr="00C50BEB">
              <w:rPr>
                <w:rFonts w:ascii="Arial Narrow" w:hAnsi="Arial Narrow" w:cs="Arial"/>
                <w:sz w:val="22"/>
                <w:szCs w:val="22"/>
              </w:rPr>
              <w:t>16</w:t>
            </w:r>
          </w:p>
          <w:p w:rsidR="00C97EC5" w:rsidRPr="00C50BEB" w:rsidRDefault="00D53CE6" w:rsidP="00434A41">
            <w:pPr>
              <w:ind w:left="-108" w:hanging="22"/>
              <w:jc w:val="right"/>
              <w:rPr>
                <w:rFonts w:ascii="Arial Narrow" w:hAnsi="Arial Narrow" w:cs="Arial"/>
                <w:sz w:val="22"/>
                <w:szCs w:val="22"/>
              </w:rPr>
            </w:pPr>
            <w:r w:rsidRPr="00C50BEB">
              <w:rPr>
                <w:rFonts w:ascii="Arial Narrow" w:hAnsi="Arial Narrow" w:cs="Arial"/>
                <w:sz w:val="22"/>
                <w:szCs w:val="22"/>
              </w:rPr>
              <w:t>18</w:t>
            </w:r>
          </w:p>
          <w:p w:rsidR="00AD601C" w:rsidRPr="00C50BEB" w:rsidRDefault="00D53CE6" w:rsidP="00434A41">
            <w:pPr>
              <w:ind w:left="-108" w:hanging="22"/>
              <w:jc w:val="right"/>
              <w:rPr>
                <w:rFonts w:ascii="Arial Narrow" w:hAnsi="Arial Narrow" w:cs="Arial"/>
                <w:sz w:val="22"/>
                <w:szCs w:val="22"/>
              </w:rPr>
            </w:pPr>
            <w:r w:rsidRPr="00C50BEB">
              <w:rPr>
                <w:rFonts w:ascii="Arial Narrow" w:hAnsi="Arial Narrow" w:cs="Arial"/>
                <w:sz w:val="22"/>
                <w:szCs w:val="22"/>
              </w:rPr>
              <w:t>20</w:t>
            </w:r>
          </w:p>
          <w:p w:rsidR="00A30946" w:rsidRPr="00C50BEB" w:rsidRDefault="00D53CE6" w:rsidP="00434A41">
            <w:pPr>
              <w:ind w:left="-108" w:hanging="22"/>
              <w:jc w:val="right"/>
              <w:rPr>
                <w:rFonts w:ascii="Arial Narrow" w:hAnsi="Arial Narrow" w:cs="Arial"/>
                <w:sz w:val="22"/>
                <w:szCs w:val="22"/>
              </w:rPr>
            </w:pPr>
            <w:r w:rsidRPr="00C50BEB">
              <w:rPr>
                <w:rFonts w:ascii="Arial Narrow" w:hAnsi="Arial Narrow" w:cs="Arial"/>
                <w:sz w:val="22"/>
                <w:szCs w:val="22"/>
              </w:rPr>
              <w:t>22</w:t>
            </w:r>
          </w:p>
          <w:p w:rsidR="003F51C1" w:rsidRPr="00C50BEB" w:rsidRDefault="00D53CE6" w:rsidP="00434A41">
            <w:pPr>
              <w:ind w:left="-108" w:hanging="22"/>
              <w:jc w:val="right"/>
              <w:rPr>
                <w:rFonts w:ascii="Arial Narrow" w:hAnsi="Arial Narrow" w:cs="Arial"/>
                <w:sz w:val="22"/>
                <w:szCs w:val="22"/>
              </w:rPr>
            </w:pPr>
            <w:r w:rsidRPr="00C50BEB">
              <w:rPr>
                <w:rFonts w:ascii="Arial Narrow" w:hAnsi="Arial Narrow" w:cs="Arial"/>
                <w:sz w:val="22"/>
                <w:szCs w:val="22"/>
              </w:rPr>
              <w:t>23</w:t>
            </w:r>
          </w:p>
          <w:p w:rsidR="000D0529" w:rsidRPr="00C50BEB" w:rsidRDefault="00D53CE6" w:rsidP="00434A41">
            <w:pPr>
              <w:ind w:left="-108" w:hanging="22"/>
              <w:jc w:val="right"/>
              <w:rPr>
                <w:rFonts w:ascii="Arial Narrow" w:hAnsi="Arial Narrow" w:cs="Arial"/>
                <w:sz w:val="22"/>
                <w:szCs w:val="22"/>
              </w:rPr>
            </w:pPr>
            <w:r w:rsidRPr="00C50BEB">
              <w:rPr>
                <w:rFonts w:ascii="Arial Narrow" w:hAnsi="Arial Narrow" w:cs="Arial"/>
                <w:sz w:val="22"/>
                <w:szCs w:val="22"/>
              </w:rPr>
              <w:t>2</w:t>
            </w:r>
            <w:r w:rsidR="00916A49">
              <w:rPr>
                <w:rFonts w:ascii="Arial Narrow" w:hAnsi="Arial Narrow" w:cs="Arial"/>
                <w:sz w:val="22"/>
                <w:szCs w:val="22"/>
              </w:rPr>
              <w:t>5</w:t>
            </w:r>
          </w:p>
          <w:p w:rsidR="004D7952" w:rsidRPr="00C50BEB" w:rsidRDefault="00D53CE6" w:rsidP="00434A41">
            <w:pPr>
              <w:ind w:left="-108" w:hanging="22"/>
              <w:jc w:val="right"/>
              <w:rPr>
                <w:rFonts w:ascii="Arial Narrow" w:hAnsi="Arial Narrow" w:cs="Arial"/>
                <w:sz w:val="22"/>
                <w:szCs w:val="22"/>
              </w:rPr>
            </w:pPr>
            <w:r w:rsidRPr="00C50BEB">
              <w:rPr>
                <w:rFonts w:ascii="Arial Narrow" w:hAnsi="Arial Narrow" w:cs="Arial"/>
                <w:sz w:val="22"/>
                <w:szCs w:val="22"/>
              </w:rPr>
              <w:t>2</w:t>
            </w:r>
            <w:r w:rsidR="00916A49">
              <w:rPr>
                <w:rFonts w:ascii="Arial Narrow" w:hAnsi="Arial Narrow" w:cs="Arial"/>
                <w:sz w:val="22"/>
                <w:szCs w:val="22"/>
              </w:rPr>
              <w:t>5</w:t>
            </w:r>
          </w:p>
          <w:p w:rsidR="004D7952" w:rsidRPr="00C50BEB" w:rsidRDefault="004D7952" w:rsidP="00434A41">
            <w:pPr>
              <w:ind w:left="-108" w:hanging="22"/>
              <w:jc w:val="right"/>
              <w:rPr>
                <w:rFonts w:ascii="Arial Narrow" w:hAnsi="Arial Narrow" w:cs="Arial"/>
                <w:sz w:val="22"/>
                <w:szCs w:val="22"/>
              </w:rPr>
            </w:pPr>
          </w:p>
          <w:p w:rsidR="003F51C1" w:rsidRPr="00C50BEB" w:rsidRDefault="003F51C1" w:rsidP="00434A41">
            <w:pPr>
              <w:ind w:left="-108" w:hanging="22"/>
              <w:jc w:val="right"/>
              <w:rPr>
                <w:rFonts w:ascii="Arial Narrow" w:hAnsi="Arial Narrow" w:cs="Arial"/>
                <w:sz w:val="22"/>
                <w:szCs w:val="22"/>
              </w:rPr>
            </w:pPr>
          </w:p>
        </w:tc>
      </w:tr>
      <w:tr w:rsidR="009537C7" w:rsidRPr="00E66039" w:rsidTr="009F6A67">
        <w:trPr>
          <w:gridBefore w:val="1"/>
          <w:wBefore w:w="39" w:type="dxa"/>
        </w:trPr>
        <w:tc>
          <w:tcPr>
            <w:tcW w:w="803" w:type="dxa"/>
            <w:gridSpan w:val="3"/>
            <w:shd w:val="clear" w:color="auto" w:fill="auto"/>
          </w:tcPr>
          <w:p w:rsidR="00434A41" w:rsidRDefault="00434A41" w:rsidP="00434A41">
            <w:pPr>
              <w:rPr>
                <w:rFonts w:ascii="Arial Narrow" w:hAnsi="Arial Narrow" w:cs="Arial"/>
                <w:i/>
                <w:sz w:val="20"/>
                <w:szCs w:val="20"/>
              </w:rPr>
            </w:pPr>
          </w:p>
          <w:p w:rsidR="00434A41" w:rsidRDefault="00434A41" w:rsidP="00434A41">
            <w:pPr>
              <w:rPr>
                <w:rFonts w:ascii="Arial Narrow" w:hAnsi="Arial Narrow" w:cs="Arial"/>
                <w:i/>
                <w:sz w:val="20"/>
                <w:szCs w:val="20"/>
              </w:rPr>
            </w:pPr>
          </w:p>
          <w:p w:rsidR="009537C7" w:rsidRDefault="009537C7" w:rsidP="00434A41">
            <w:pPr>
              <w:rPr>
                <w:rFonts w:ascii="Arial Narrow" w:hAnsi="Arial Narrow" w:cs="Arial"/>
                <w:i/>
                <w:sz w:val="20"/>
                <w:szCs w:val="20"/>
              </w:rPr>
            </w:pPr>
            <w:r>
              <w:rPr>
                <w:rFonts w:ascii="Arial Narrow" w:hAnsi="Arial Narrow" w:cs="Arial"/>
                <w:i/>
                <w:sz w:val="20"/>
                <w:szCs w:val="20"/>
              </w:rPr>
              <w:t xml:space="preserve">  </w:t>
            </w:r>
          </w:p>
        </w:tc>
        <w:tc>
          <w:tcPr>
            <w:tcW w:w="7253" w:type="dxa"/>
            <w:shd w:val="clear" w:color="auto" w:fill="auto"/>
          </w:tcPr>
          <w:p w:rsidR="009537C7" w:rsidRPr="009537C7" w:rsidRDefault="009537C7" w:rsidP="00000D8C">
            <w:pPr>
              <w:ind w:right="-108"/>
              <w:rPr>
                <w:rFonts w:ascii="Arial Narrow" w:hAnsi="Arial Narrow" w:cs="Arial"/>
                <w:sz w:val="20"/>
                <w:szCs w:val="20"/>
              </w:rPr>
            </w:pPr>
          </w:p>
        </w:tc>
        <w:tc>
          <w:tcPr>
            <w:tcW w:w="1157" w:type="dxa"/>
            <w:gridSpan w:val="3"/>
            <w:shd w:val="clear" w:color="auto" w:fill="auto"/>
          </w:tcPr>
          <w:p w:rsidR="009537C7" w:rsidRPr="00FC59B8" w:rsidRDefault="009537C7" w:rsidP="009E4C51">
            <w:pPr>
              <w:ind w:left="-108" w:hanging="22"/>
              <w:jc w:val="right"/>
              <w:rPr>
                <w:rFonts w:ascii="Arial Narrow" w:hAnsi="Arial Narrow" w:cs="Arial"/>
                <w:sz w:val="20"/>
                <w:szCs w:val="20"/>
              </w:rPr>
            </w:pPr>
          </w:p>
        </w:tc>
      </w:tr>
      <w:tr w:rsidR="00DF5C83" w:rsidRPr="00E66039" w:rsidTr="009F6A67">
        <w:trPr>
          <w:gridBefore w:val="1"/>
          <w:wBefore w:w="39" w:type="dxa"/>
        </w:trPr>
        <w:tc>
          <w:tcPr>
            <w:tcW w:w="803" w:type="dxa"/>
            <w:gridSpan w:val="3"/>
            <w:shd w:val="clear" w:color="auto" w:fill="auto"/>
          </w:tcPr>
          <w:p w:rsidR="00DF5C83" w:rsidRPr="00E66039" w:rsidRDefault="00DF5C83" w:rsidP="00A400B9">
            <w:pPr>
              <w:jc w:val="right"/>
              <w:rPr>
                <w:rFonts w:ascii="Arial Narrow" w:hAnsi="Arial Narrow" w:cs="Arial"/>
                <w:i/>
                <w:sz w:val="20"/>
                <w:szCs w:val="20"/>
              </w:rPr>
            </w:pPr>
          </w:p>
        </w:tc>
        <w:tc>
          <w:tcPr>
            <w:tcW w:w="7253" w:type="dxa"/>
            <w:shd w:val="clear" w:color="auto" w:fill="auto"/>
          </w:tcPr>
          <w:p w:rsidR="00000D8C" w:rsidRPr="00000D8C" w:rsidRDefault="00000D8C" w:rsidP="00000D8C">
            <w:pPr>
              <w:ind w:right="-108"/>
              <w:rPr>
                <w:rFonts w:ascii="Arial Narrow" w:hAnsi="Arial Narrow" w:cs="Arial"/>
                <w:sz w:val="20"/>
                <w:szCs w:val="20"/>
              </w:rPr>
            </w:pPr>
          </w:p>
        </w:tc>
        <w:tc>
          <w:tcPr>
            <w:tcW w:w="1157" w:type="dxa"/>
            <w:gridSpan w:val="3"/>
            <w:shd w:val="clear" w:color="auto" w:fill="auto"/>
          </w:tcPr>
          <w:p w:rsidR="00DF5C83" w:rsidRPr="00FC59B8" w:rsidRDefault="00DF5C83" w:rsidP="009E4C51">
            <w:pPr>
              <w:ind w:left="-108" w:hanging="22"/>
              <w:jc w:val="right"/>
              <w:rPr>
                <w:rFonts w:ascii="Arial Narrow" w:hAnsi="Arial Narrow" w:cs="Arial"/>
                <w:sz w:val="20"/>
                <w:szCs w:val="20"/>
              </w:rPr>
            </w:pPr>
          </w:p>
        </w:tc>
      </w:tr>
      <w:tr w:rsidR="008D176D" w:rsidRPr="00016F1F" w:rsidTr="00892962">
        <w:trPr>
          <w:gridBefore w:val="1"/>
          <w:wBefore w:w="39" w:type="dxa"/>
        </w:trPr>
        <w:tc>
          <w:tcPr>
            <w:tcW w:w="803" w:type="dxa"/>
            <w:gridSpan w:val="3"/>
            <w:shd w:val="clear" w:color="auto" w:fill="auto"/>
          </w:tcPr>
          <w:p w:rsidR="008D176D" w:rsidRPr="00E66039" w:rsidRDefault="008D176D" w:rsidP="009537C7">
            <w:pPr>
              <w:jc w:val="center"/>
              <w:rPr>
                <w:rFonts w:ascii="Arial Narrow" w:hAnsi="Arial Narrow" w:cs="Arial"/>
                <w:i/>
                <w:sz w:val="20"/>
                <w:szCs w:val="20"/>
              </w:rPr>
            </w:pPr>
          </w:p>
        </w:tc>
        <w:tc>
          <w:tcPr>
            <w:tcW w:w="7253" w:type="dxa"/>
            <w:shd w:val="clear" w:color="auto" w:fill="auto"/>
            <w:vAlign w:val="center"/>
          </w:tcPr>
          <w:p w:rsidR="008D176D" w:rsidRPr="006A29BC" w:rsidRDefault="008D176D" w:rsidP="008D176D">
            <w:pPr>
              <w:rPr>
                <w:rFonts w:ascii="Arial Narrow" w:hAnsi="Arial Narrow" w:cs="Arial"/>
                <w:i/>
                <w:sz w:val="20"/>
                <w:szCs w:val="20"/>
              </w:rPr>
            </w:pPr>
          </w:p>
        </w:tc>
        <w:tc>
          <w:tcPr>
            <w:tcW w:w="1157" w:type="dxa"/>
            <w:gridSpan w:val="3"/>
            <w:shd w:val="clear" w:color="auto" w:fill="auto"/>
          </w:tcPr>
          <w:p w:rsidR="008D176D" w:rsidRPr="00FC59B8" w:rsidRDefault="008D176D" w:rsidP="00781EF3">
            <w:pPr>
              <w:ind w:left="-108" w:hanging="22"/>
              <w:jc w:val="right"/>
              <w:rPr>
                <w:rFonts w:ascii="Arial Narrow" w:hAnsi="Arial Narrow" w:cs="Arial"/>
                <w:sz w:val="20"/>
                <w:szCs w:val="20"/>
              </w:rPr>
            </w:pPr>
          </w:p>
        </w:tc>
      </w:tr>
      <w:tr w:rsidR="009537C7" w:rsidRPr="008D176D" w:rsidTr="006D61F7">
        <w:tblPrEx>
          <w:tblCellMar>
            <w:right w:w="70" w:type="dxa"/>
          </w:tblCellMar>
          <w:tblLook w:val="0000" w:firstRow="0" w:lastRow="0" w:firstColumn="0" w:lastColumn="0" w:noHBand="0" w:noVBand="0"/>
        </w:tblPrEx>
        <w:trPr>
          <w:gridAfter w:val="1"/>
          <w:wAfter w:w="34" w:type="dxa"/>
        </w:trPr>
        <w:tc>
          <w:tcPr>
            <w:tcW w:w="824" w:type="dxa"/>
            <w:gridSpan w:val="3"/>
            <w:shd w:val="clear" w:color="auto" w:fill="auto"/>
          </w:tcPr>
          <w:p w:rsidR="009537C7" w:rsidRDefault="009537C7" w:rsidP="008A27F1">
            <w:pPr>
              <w:jc w:val="center"/>
              <w:rPr>
                <w:rFonts w:ascii="Arial Narrow" w:hAnsi="Arial Narrow" w:cs="Arial"/>
                <w:sz w:val="20"/>
                <w:szCs w:val="20"/>
              </w:rPr>
            </w:pPr>
          </w:p>
        </w:tc>
        <w:tc>
          <w:tcPr>
            <w:tcW w:w="7936" w:type="dxa"/>
            <w:gridSpan w:val="3"/>
            <w:shd w:val="clear" w:color="auto" w:fill="auto"/>
            <w:vAlign w:val="center"/>
          </w:tcPr>
          <w:p w:rsidR="009537C7" w:rsidRPr="00FC59B8" w:rsidRDefault="009537C7" w:rsidP="00000D8C">
            <w:pPr>
              <w:rPr>
                <w:rFonts w:ascii="Arial Narrow" w:hAnsi="Arial Narrow" w:cs="Arial"/>
                <w:sz w:val="20"/>
                <w:szCs w:val="20"/>
              </w:rPr>
            </w:pPr>
          </w:p>
        </w:tc>
        <w:tc>
          <w:tcPr>
            <w:tcW w:w="458" w:type="dxa"/>
            <w:shd w:val="clear" w:color="auto" w:fill="auto"/>
            <w:vAlign w:val="center"/>
          </w:tcPr>
          <w:p w:rsidR="009537C7" w:rsidRPr="00FC59B8" w:rsidRDefault="009537C7" w:rsidP="00781EF3">
            <w:pPr>
              <w:spacing w:line="276" w:lineRule="auto"/>
              <w:jc w:val="right"/>
              <w:rPr>
                <w:rFonts w:ascii="Arial Narrow" w:hAnsi="Arial Narrow" w:cs="Arial"/>
                <w:sz w:val="20"/>
                <w:szCs w:val="20"/>
              </w:rPr>
            </w:pPr>
          </w:p>
        </w:tc>
      </w:tr>
      <w:tr w:rsidR="00000D8C" w:rsidRPr="008D176D" w:rsidTr="006D61F7">
        <w:tblPrEx>
          <w:tblCellMar>
            <w:right w:w="70" w:type="dxa"/>
          </w:tblCellMar>
          <w:tblLook w:val="0000" w:firstRow="0" w:lastRow="0" w:firstColumn="0" w:lastColumn="0" w:noHBand="0" w:noVBand="0"/>
        </w:tblPrEx>
        <w:trPr>
          <w:gridAfter w:val="1"/>
          <w:wAfter w:w="34" w:type="dxa"/>
        </w:trPr>
        <w:tc>
          <w:tcPr>
            <w:tcW w:w="824" w:type="dxa"/>
            <w:gridSpan w:val="3"/>
            <w:shd w:val="clear" w:color="auto" w:fill="auto"/>
          </w:tcPr>
          <w:p w:rsidR="00000D8C" w:rsidRPr="001B4B5C" w:rsidRDefault="00000D8C" w:rsidP="009537C7">
            <w:pPr>
              <w:jc w:val="center"/>
              <w:rPr>
                <w:rFonts w:ascii="Arial Narrow" w:hAnsi="Arial Narrow" w:cs="Arial"/>
                <w:sz w:val="20"/>
                <w:szCs w:val="20"/>
              </w:rPr>
            </w:pPr>
          </w:p>
        </w:tc>
        <w:tc>
          <w:tcPr>
            <w:tcW w:w="7936" w:type="dxa"/>
            <w:gridSpan w:val="3"/>
            <w:shd w:val="clear" w:color="auto" w:fill="auto"/>
            <w:vAlign w:val="center"/>
          </w:tcPr>
          <w:p w:rsidR="00000D8C" w:rsidRPr="00FC59B8" w:rsidRDefault="00000D8C" w:rsidP="00000D8C">
            <w:pPr>
              <w:rPr>
                <w:rFonts w:ascii="Arial Narrow" w:hAnsi="Arial Narrow" w:cs="Arial"/>
                <w:sz w:val="20"/>
                <w:szCs w:val="20"/>
              </w:rPr>
            </w:pPr>
          </w:p>
        </w:tc>
        <w:tc>
          <w:tcPr>
            <w:tcW w:w="458" w:type="dxa"/>
            <w:shd w:val="clear" w:color="auto" w:fill="auto"/>
            <w:vAlign w:val="center"/>
          </w:tcPr>
          <w:p w:rsidR="00000D8C" w:rsidRPr="00FC59B8" w:rsidRDefault="00000D8C" w:rsidP="00781EF3">
            <w:pPr>
              <w:spacing w:line="276" w:lineRule="auto"/>
              <w:jc w:val="right"/>
              <w:rPr>
                <w:rFonts w:ascii="Arial Narrow" w:hAnsi="Arial Narrow" w:cs="Arial"/>
                <w:sz w:val="20"/>
                <w:szCs w:val="20"/>
              </w:rPr>
            </w:pPr>
          </w:p>
        </w:tc>
      </w:tr>
      <w:tr w:rsidR="00000D8C" w:rsidRPr="008D176D" w:rsidTr="006D61F7">
        <w:tblPrEx>
          <w:tblCellMar>
            <w:right w:w="70" w:type="dxa"/>
          </w:tblCellMar>
          <w:tblLook w:val="0000" w:firstRow="0" w:lastRow="0" w:firstColumn="0" w:lastColumn="0" w:noHBand="0" w:noVBand="0"/>
        </w:tblPrEx>
        <w:trPr>
          <w:gridAfter w:val="1"/>
          <w:wAfter w:w="34" w:type="dxa"/>
        </w:trPr>
        <w:tc>
          <w:tcPr>
            <w:tcW w:w="824" w:type="dxa"/>
            <w:gridSpan w:val="3"/>
            <w:shd w:val="clear" w:color="auto" w:fill="auto"/>
          </w:tcPr>
          <w:p w:rsidR="00000D8C" w:rsidRPr="00265FDF" w:rsidRDefault="00000D8C" w:rsidP="008D176D">
            <w:pPr>
              <w:jc w:val="right"/>
              <w:rPr>
                <w:rFonts w:ascii="Arial Narrow" w:hAnsi="Arial Narrow" w:cs="Arial"/>
                <w:b/>
                <w:i/>
                <w:sz w:val="20"/>
                <w:szCs w:val="20"/>
              </w:rPr>
            </w:pPr>
          </w:p>
        </w:tc>
        <w:tc>
          <w:tcPr>
            <w:tcW w:w="7936" w:type="dxa"/>
            <w:gridSpan w:val="3"/>
            <w:shd w:val="clear" w:color="auto" w:fill="auto"/>
            <w:vAlign w:val="center"/>
          </w:tcPr>
          <w:p w:rsidR="00000D8C" w:rsidRPr="000278F7" w:rsidRDefault="00000D8C" w:rsidP="008D176D">
            <w:pPr>
              <w:rPr>
                <w:rFonts w:ascii="Arial Narrow" w:hAnsi="Arial Narrow" w:cs="Arial"/>
                <w:b/>
                <w:i/>
                <w:sz w:val="20"/>
                <w:szCs w:val="20"/>
                <w:lang w:val="en-GB"/>
              </w:rPr>
            </w:pPr>
          </w:p>
        </w:tc>
        <w:tc>
          <w:tcPr>
            <w:tcW w:w="458" w:type="dxa"/>
            <w:shd w:val="clear" w:color="auto" w:fill="auto"/>
            <w:vAlign w:val="center"/>
          </w:tcPr>
          <w:p w:rsidR="00000D8C" w:rsidRPr="00016F1F" w:rsidRDefault="00000D8C" w:rsidP="008D176D">
            <w:pPr>
              <w:spacing w:line="276" w:lineRule="auto"/>
              <w:jc w:val="right"/>
              <w:rPr>
                <w:rFonts w:ascii="Arial Narrow" w:hAnsi="Arial Narrow" w:cs="Arial"/>
                <w:sz w:val="20"/>
                <w:szCs w:val="20"/>
                <w:lang w:val="en-GB"/>
              </w:rPr>
            </w:pPr>
          </w:p>
        </w:tc>
      </w:tr>
      <w:tr w:rsidR="00000D8C" w:rsidRPr="008D176D" w:rsidTr="006D61F7">
        <w:tblPrEx>
          <w:tblCellMar>
            <w:right w:w="70" w:type="dxa"/>
          </w:tblCellMar>
          <w:tblLook w:val="0000" w:firstRow="0" w:lastRow="0" w:firstColumn="0" w:lastColumn="0" w:noHBand="0" w:noVBand="0"/>
        </w:tblPrEx>
        <w:trPr>
          <w:gridAfter w:val="1"/>
          <w:wAfter w:w="34" w:type="dxa"/>
        </w:trPr>
        <w:tc>
          <w:tcPr>
            <w:tcW w:w="824" w:type="dxa"/>
            <w:gridSpan w:val="3"/>
            <w:shd w:val="clear" w:color="auto" w:fill="auto"/>
          </w:tcPr>
          <w:p w:rsidR="00000D8C" w:rsidRDefault="00000D8C" w:rsidP="008D176D">
            <w:pPr>
              <w:jc w:val="right"/>
              <w:rPr>
                <w:rFonts w:ascii="Arial Narrow" w:hAnsi="Arial Narrow" w:cs="Arial"/>
                <w:sz w:val="20"/>
                <w:szCs w:val="20"/>
              </w:rPr>
            </w:pPr>
          </w:p>
        </w:tc>
        <w:tc>
          <w:tcPr>
            <w:tcW w:w="7936" w:type="dxa"/>
            <w:gridSpan w:val="3"/>
            <w:shd w:val="clear" w:color="auto" w:fill="auto"/>
            <w:vAlign w:val="center"/>
          </w:tcPr>
          <w:p w:rsidR="00000D8C" w:rsidRDefault="00000D8C" w:rsidP="006D61F7">
            <w:pPr>
              <w:rPr>
                <w:rFonts w:ascii="Arial Narrow" w:hAnsi="Arial Narrow" w:cs="Arial"/>
                <w:sz w:val="20"/>
                <w:szCs w:val="20"/>
              </w:rPr>
            </w:pPr>
            <w:r>
              <w:rPr>
                <w:rFonts w:ascii="Arial Narrow" w:hAnsi="Arial Narrow" w:cs="Arial"/>
                <w:sz w:val="20"/>
                <w:szCs w:val="20"/>
              </w:rPr>
              <w:t xml:space="preserve"> </w:t>
            </w:r>
          </w:p>
        </w:tc>
        <w:tc>
          <w:tcPr>
            <w:tcW w:w="458" w:type="dxa"/>
            <w:shd w:val="clear" w:color="auto" w:fill="auto"/>
            <w:vAlign w:val="center"/>
          </w:tcPr>
          <w:p w:rsidR="00000D8C" w:rsidRPr="00016F1F" w:rsidRDefault="00EE24D6" w:rsidP="008D176D">
            <w:pPr>
              <w:spacing w:line="276" w:lineRule="auto"/>
              <w:jc w:val="right"/>
              <w:rPr>
                <w:rFonts w:ascii="Arial Narrow" w:hAnsi="Arial Narrow" w:cs="Arial"/>
                <w:sz w:val="20"/>
                <w:szCs w:val="20"/>
              </w:rPr>
            </w:pPr>
            <w:r>
              <w:rPr>
                <w:rFonts w:ascii="Arial Narrow" w:hAnsi="Arial Narrow" w:cs="Arial"/>
                <w:sz w:val="20"/>
                <w:szCs w:val="20"/>
              </w:rPr>
              <w:t xml:space="preserve">  </w:t>
            </w:r>
          </w:p>
        </w:tc>
      </w:tr>
      <w:tr w:rsidR="00000D8C" w:rsidRPr="008D176D" w:rsidTr="006D61F7">
        <w:tblPrEx>
          <w:tblCellMar>
            <w:right w:w="70" w:type="dxa"/>
          </w:tblCellMar>
          <w:tblLook w:val="0000" w:firstRow="0" w:lastRow="0" w:firstColumn="0" w:lastColumn="0" w:noHBand="0" w:noVBand="0"/>
        </w:tblPrEx>
        <w:trPr>
          <w:gridAfter w:val="1"/>
          <w:wAfter w:w="34" w:type="dxa"/>
        </w:trPr>
        <w:tc>
          <w:tcPr>
            <w:tcW w:w="824" w:type="dxa"/>
            <w:gridSpan w:val="3"/>
            <w:shd w:val="clear" w:color="auto" w:fill="auto"/>
          </w:tcPr>
          <w:p w:rsidR="00000D8C" w:rsidRPr="00911757" w:rsidRDefault="00000D8C" w:rsidP="008D176D">
            <w:pPr>
              <w:jc w:val="right"/>
              <w:rPr>
                <w:rFonts w:ascii="Arial Narrow" w:hAnsi="Arial Narrow" w:cs="Arial"/>
                <w:i/>
                <w:sz w:val="20"/>
                <w:szCs w:val="20"/>
              </w:rPr>
            </w:pPr>
          </w:p>
        </w:tc>
        <w:tc>
          <w:tcPr>
            <w:tcW w:w="7936" w:type="dxa"/>
            <w:gridSpan w:val="3"/>
            <w:shd w:val="clear" w:color="auto" w:fill="auto"/>
            <w:vAlign w:val="center"/>
          </w:tcPr>
          <w:p w:rsidR="00000D8C" w:rsidRPr="00911757" w:rsidRDefault="00000D8C" w:rsidP="00175ADE">
            <w:pPr>
              <w:rPr>
                <w:rFonts w:ascii="Arial Narrow" w:hAnsi="Arial Narrow" w:cs="Arial"/>
                <w:i/>
                <w:sz w:val="20"/>
                <w:szCs w:val="20"/>
              </w:rPr>
            </w:pPr>
          </w:p>
        </w:tc>
        <w:tc>
          <w:tcPr>
            <w:tcW w:w="458" w:type="dxa"/>
            <w:shd w:val="clear" w:color="auto" w:fill="auto"/>
            <w:vAlign w:val="center"/>
          </w:tcPr>
          <w:p w:rsidR="00000D8C" w:rsidRPr="00527A48" w:rsidRDefault="00000D8C" w:rsidP="008D176D">
            <w:pPr>
              <w:spacing w:line="276" w:lineRule="auto"/>
              <w:jc w:val="right"/>
              <w:rPr>
                <w:rFonts w:ascii="Arial Narrow" w:hAnsi="Arial Narrow" w:cs="Arial"/>
                <w:sz w:val="20"/>
                <w:szCs w:val="20"/>
              </w:rPr>
            </w:pPr>
          </w:p>
        </w:tc>
      </w:tr>
      <w:tr w:rsidR="00C5411A" w:rsidRPr="008D176D" w:rsidTr="006D61F7">
        <w:tblPrEx>
          <w:tblCellMar>
            <w:right w:w="70" w:type="dxa"/>
          </w:tblCellMar>
          <w:tblLook w:val="0000" w:firstRow="0" w:lastRow="0" w:firstColumn="0" w:lastColumn="0" w:noHBand="0" w:noVBand="0"/>
        </w:tblPrEx>
        <w:trPr>
          <w:gridAfter w:val="6"/>
          <w:wAfter w:w="8794" w:type="dxa"/>
        </w:trPr>
        <w:tc>
          <w:tcPr>
            <w:tcW w:w="458" w:type="dxa"/>
            <w:gridSpan w:val="2"/>
            <w:shd w:val="clear" w:color="auto" w:fill="auto"/>
            <w:vAlign w:val="center"/>
          </w:tcPr>
          <w:p w:rsidR="00C5411A" w:rsidRPr="00527A48" w:rsidRDefault="00C5411A" w:rsidP="00EE24D6">
            <w:pPr>
              <w:spacing w:line="276" w:lineRule="auto"/>
              <w:jc w:val="right"/>
              <w:rPr>
                <w:rFonts w:ascii="Arial Narrow" w:hAnsi="Arial Narrow" w:cs="Arial"/>
                <w:sz w:val="20"/>
                <w:szCs w:val="20"/>
              </w:rPr>
            </w:pPr>
          </w:p>
        </w:tc>
      </w:tr>
      <w:tr w:rsidR="00C5411A" w:rsidRPr="008D176D" w:rsidTr="006D61F7">
        <w:tblPrEx>
          <w:tblCellMar>
            <w:right w:w="70" w:type="dxa"/>
          </w:tblCellMar>
          <w:tblLook w:val="0000" w:firstRow="0" w:lastRow="0" w:firstColumn="0" w:lastColumn="0" w:noHBand="0" w:noVBand="0"/>
        </w:tblPrEx>
        <w:trPr>
          <w:gridAfter w:val="6"/>
          <w:wAfter w:w="8794" w:type="dxa"/>
        </w:trPr>
        <w:tc>
          <w:tcPr>
            <w:tcW w:w="458" w:type="dxa"/>
            <w:gridSpan w:val="2"/>
            <w:shd w:val="clear" w:color="auto" w:fill="auto"/>
            <w:vAlign w:val="center"/>
          </w:tcPr>
          <w:p w:rsidR="00C5411A" w:rsidRPr="00527A48" w:rsidRDefault="00C5411A" w:rsidP="008D176D">
            <w:pPr>
              <w:spacing w:line="276" w:lineRule="auto"/>
              <w:jc w:val="right"/>
              <w:rPr>
                <w:rFonts w:ascii="Arial Narrow" w:hAnsi="Arial Narrow" w:cs="Arial"/>
                <w:sz w:val="20"/>
                <w:szCs w:val="20"/>
              </w:rPr>
            </w:pPr>
          </w:p>
        </w:tc>
      </w:tr>
      <w:tr w:rsidR="00C5411A" w:rsidRPr="008D176D" w:rsidTr="006D61F7">
        <w:tblPrEx>
          <w:tblCellMar>
            <w:right w:w="70" w:type="dxa"/>
          </w:tblCellMar>
          <w:tblLook w:val="0000" w:firstRow="0" w:lastRow="0" w:firstColumn="0" w:lastColumn="0" w:noHBand="0" w:noVBand="0"/>
        </w:tblPrEx>
        <w:trPr>
          <w:gridAfter w:val="6"/>
          <w:wAfter w:w="8794" w:type="dxa"/>
        </w:trPr>
        <w:tc>
          <w:tcPr>
            <w:tcW w:w="458" w:type="dxa"/>
            <w:gridSpan w:val="2"/>
            <w:shd w:val="clear" w:color="auto" w:fill="auto"/>
            <w:vAlign w:val="center"/>
          </w:tcPr>
          <w:p w:rsidR="00C5411A" w:rsidRPr="00527A48" w:rsidRDefault="00C5411A" w:rsidP="008D176D">
            <w:pPr>
              <w:spacing w:line="276" w:lineRule="auto"/>
              <w:jc w:val="right"/>
              <w:rPr>
                <w:rFonts w:ascii="Arial Narrow" w:hAnsi="Arial Narrow" w:cs="Arial"/>
                <w:sz w:val="20"/>
                <w:szCs w:val="20"/>
              </w:rPr>
            </w:pPr>
          </w:p>
        </w:tc>
      </w:tr>
      <w:tr w:rsidR="00000D8C" w:rsidRPr="008D176D" w:rsidTr="006D61F7">
        <w:tblPrEx>
          <w:tblCellMar>
            <w:right w:w="70" w:type="dxa"/>
          </w:tblCellMar>
          <w:tblLook w:val="0000" w:firstRow="0" w:lastRow="0" w:firstColumn="0" w:lastColumn="0" w:noHBand="0" w:noVBand="0"/>
        </w:tblPrEx>
        <w:trPr>
          <w:gridAfter w:val="1"/>
          <w:wAfter w:w="34" w:type="dxa"/>
        </w:trPr>
        <w:tc>
          <w:tcPr>
            <w:tcW w:w="824" w:type="dxa"/>
            <w:gridSpan w:val="3"/>
            <w:shd w:val="clear" w:color="auto" w:fill="auto"/>
          </w:tcPr>
          <w:p w:rsidR="00000D8C" w:rsidRPr="006A29BC" w:rsidRDefault="00000D8C" w:rsidP="00175ADE">
            <w:pPr>
              <w:jc w:val="right"/>
              <w:rPr>
                <w:rFonts w:ascii="Arial Narrow" w:hAnsi="Arial Narrow" w:cs="Arial"/>
                <w:sz w:val="20"/>
                <w:szCs w:val="20"/>
              </w:rPr>
            </w:pPr>
          </w:p>
        </w:tc>
        <w:tc>
          <w:tcPr>
            <w:tcW w:w="7936" w:type="dxa"/>
            <w:gridSpan w:val="3"/>
            <w:shd w:val="clear" w:color="auto" w:fill="auto"/>
            <w:vAlign w:val="center"/>
          </w:tcPr>
          <w:p w:rsidR="00000D8C" w:rsidRPr="006D4F6E" w:rsidRDefault="00000D8C" w:rsidP="00175ADE">
            <w:pPr>
              <w:rPr>
                <w:rFonts w:ascii="Arial Narrow" w:hAnsi="Arial Narrow" w:cs="Arial"/>
                <w:sz w:val="20"/>
                <w:szCs w:val="20"/>
              </w:rPr>
            </w:pPr>
          </w:p>
        </w:tc>
        <w:tc>
          <w:tcPr>
            <w:tcW w:w="458" w:type="dxa"/>
            <w:shd w:val="clear" w:color="auto" w:fill="auto"/>
            <w:vAlign w:val="center"/>
          </w:tcPr>
          <w:p w:rsidR="00000D8C" w:rsidRPr="00527A48" w:rsidRDefault="00000D8C" w:rsidP="008D176D">
            <w:pPr>
              <w:spacing w:line="276" w:lineRule="auto"/>
              <w:jc w:val="right"/>
              <w:rPr>
                <w:rFonts w:ascii="Arial Narrow" w:hAnsi="Arial Narrow" w:cs="Arial"/>
                <w:sz w:val="20"/>
                <w:szCs w:val="20"/>
              </w:rPr>
            </w:pPr>
          </w:p>
        </w:tc>
      </w:tr>
      <w:tr w:rsidR="006D61F7" w:rsidRPr="008D176D" w:rsidTr="006D61F7">
        <w:tblPrEx>
          <w:tblCellMar>
            <w:right w:w="70" w:type="dxa"/>
          </w:tblCellMar>
          <w:tblLook w:val="0000" w:firstRow="0" w:lastRow="0" w:firstColumn="0" w:lastColumn="0" w:noHBand="0" w:noVBand="0"/>
        </w:tblPrEx>
        <w:trPr>
          <w:gridAfter w:val="1"/>
          <w:wAfter w:w="34" w:type="dxa"/>
        </w:trPr>
        <w:tc>
          <w:tcPr>
            <w:tcW w:w="824" w:type="dxa"/>
            <w:gridSpan w:val="3"/>
            <w:shd w:val="clear" w:color="auto" w:fill="auto"/>
          </w:tcPr>
          <w:p w:rsidR="006D61F7" w:rsidRPr="006A29BC" w:rsidRDefault="006D61F7" w:rsidP="00175ADE">
            <w:pPr>
              <w:jc w:val="right"/>
              <w:rPr>
                <w:rFonts w:ascii="Arial Narrow" w:hAnsi="Arial Narrow" w:cs="Arial"/>
                <w:sz w:val="20"/>
                <w:szCs w:val="20"/>
              </w:rPr>
            </w:pPr>
          </w:p>
        </w:tc>
        <w:tc>
          <w:tcPr>
            <w:tcW w:w="7936" w:type="dxa"/>
            <w:gridSpan w:val="3"/>
            <w:shd w:val="clear" w:color="auto" w:fill="auto"/>
            <w:vAlign w:val="center"/>
          </w:tcPr>
          <w:p w:rsidR="006D61F7" w:rsidRPr="006D4F6E" w:rsidRDefault="006D61F7" w:rsidP="00175ADE">
            <w:pPr>
              <w:rPr>
                <w:rFonts w:ascii="Arial Narrow" w:hAnsi="Arial Narrow" w:cs="Arial"/>
                <w:sz w:val="20"/>
                <w:szCs w:val="20"/>
              </w:rPr>
            </w:pPr>
          </w:p>
        </w:tc>
        <w:tc>
          <w:tcPr>
            <w:tcW w:w="458" w:type="dxa"/>
            <w:shd w:val="clear" w:color="auto" w:fill="auto"/>
            <w:vAlign w:val="center"/>
          </w:tcPr>
          <w:p w:rsidR="006D61F7" w:rsidRPr="00527A48" w:rsidRDefault="006D61F7" w:rsidP="008D176D">
            <w:pPr>
              <w:spacing w:line="276" w:lineRule="auto"/>
              <w:jc w:val="right"/>
              <w:rPr>
                <w:rFonts w:ascii="Arial Narrow" w:hAnsi="Arial Narrow" w:cs="Arial"/>
                <w:sz w:val="20"/>
                <w:szCs w:val="20"/>
              </w:rPr>
            </w:pPr>
          </w:p>
        </w:tc>
      </w:tr>
      <w:tr w:rsidR="006D61F7" w:rsidRPr="008D176D" w:rsidTr="006D61F7">
        <w:tblPrEx>
          <w:tblCellMar>
            <w:right w:w="70" w:type="dxa"/>
          </w:tblCellMar>
          <w:tblLook w:val="0000" w:firstRow="0" w:lastRow="0" w:firstColumn="0" w:lastColumn="0" w:noHBand="0" w:noVBand="0"/>
        </w:tblPrEx>
        <w:trPr>
          <w:gridAfter w:val="1"/>
          <w:wAfter w:w="34" w:type="dxa"/>
        </w:trPr>
        <w:tc>
          <w:tcPr>
            <w:tcW w:w="824" w:type="dxa"/>
            <w:gridSpan w:val="3"/>
            <w:shd w:val="clear" w:color="auto" w:fill="auto"/>
          </w:tcPr>
          <w:p w:rsidR="006D61F7" w:rsidRPr="006A29BC" w:rsidRDefault="006D61F7" w:rsidP="00175ADE">
            <w:pPr>
              <w:jc w:val="right"/>
              <w:rPr>
                <w:rFonts w:ascii="Arial Narrow" w:hAnsi="Arial Narrow" w:cs="Arial"/>
                <w:sz w:val="20"/>
                <w:szCs w:val="20"/>
              </w:rPr>
            </w:pPr>
          </w:p>
        </w:tc>
        <w:tc>
          <w:tcPr>
            <w:tcW w:w="7936" w:type="dxa"/>
            <w:gridSpan w:val="3"/>
            <w:shd w:val="clear" w:color="auto" w:fill="auto"/>
            <w:vAlign w:val="center"/>
          </w:tcPr>
          <w:p w:rsidR="006D61F7" w:rsidRPr="006D4F6E" w:rsidRDefault="006D61F7" w:rsidP="00175ADE">
            <w:pPr>
              <w:rPr>
                <w:rFonts w:ascii="Arial Narrow" w:hAnsi="Arial Narrow" w:cs="Arial"/>
                <w:sz w:val="20"/>
                <w:szCs w:val="20"/>
              </w:rPr>
            </w:pPr>
          </w:p>
        </w:tc>
        <w:tc>
          <w:tcPr>
            <w:tcW w:w="458" w:type="dxa"/>
            <w:shd w:val="clear" w:color="auto" w:fill="auto"/>
            <w:vAlign w:val="center"/>
          </w:tcPr>
          <w:p w:rsidR="006D61F7" w:rsidRPr="00527A48" w:rsidRDefault="006D61F7" w:rsidP="008D176D">
            <w:pPr>
              <w:spacing w:line="276" w:lineRule="auto"/>
              <w:jc w:val="right"/>
              <w:rPr>
                <w:rFonts w:ascii="Arial Narrow" w:hAnsi="Arial Narrow" w:cs="Arial"/>
                <w:sz w:val="20"/>
                <w:szCs w:val="20"/>
              </w:rPr>
            </w:pPr>
          </w:p>
        </w:tc>
      </w:tr>
    </w:tbl>
    <w:p w:rsidR="006D61F7" w:rsidRDefault="006D61F7">
      <w:pPr>
        <w:rPr>
          <w:rFonts w:ascii="Arial Narrow" w:hAnsi="Arial Narrow" w:cs="Arial"/>
          <w:b/>
          <w:sz w:val="20"/>
          <w:szCs w:val="20"/>
          <w:u w:val="single"/>
          <w:lang w:eastAsia="en-US"/>
        </w:rPr>
      </w:pPr>
      <w:bookmarkStart w:id="1" w:name="Použité_skratky_a_podmienky"/>
      <w:r>
        <w:rPr>
          <w:rFonts w:ascii="Arial Narrow" w:hAnsi="Arial Narrow" w:cs="Arial"/>
          <w:b/>
          <w:sz w:val="20"/>
          <w:u w:val="single"/>
        </w:rPr>
        <w:br w:type="page"/>
      </w:r>
    </w:p>
    <w:p w:rsidR="00BC0456" w:rsidRPr="00C50BEB" w:rsidRDefault="00A5495C" w:rsidP="004A496B">
      <w:pPr>
        <w:pStyle w:val="Zarkazkladnhotextu"/>
        <w:tabs>
          <w:tab w:val="left" w:pos="900"/>
        </w:tabs>
        <w:ind w:firstLine="0"/>
        <w:rPr>
          <w:rFonts w:ascii="Arial Narrow" w:hAnsi="Arial Narrow" w:cs="Arial"/>
          <w:sz w:val="22"/>
          <w:szCs w:val="22"/>
          <w:u w:val="single"/>
        </w:rPr>
      </w:pPr>
      <w:r w:rsidRPr="00C50BEB">
        <w:rPr>
          <w:rFonts w:ascii="Arial Narrow" w:hAnsi="Arial Narrow" w:cs="Arial"/>
          <w:sz w:val="22"/>
          <w:szCs w:val="22"/>
          <w:u w:val="single"/>
        </w:rPr>
        <w:lastRenderedPageBreak/>
        <w:t>S</w:t>
      </w:r>
      <w:r w:rsidR="00BC0456" w:rsidRPr="00C50BEB">
        <w:rPr>
          <w:rFonts w:ascii="Arial Narrow" w:hAnsi="Arial Narrow" w:cs="Arial"/>
          <w:sz w:val="22"/>
          <w:szCs w:val="22"/>
          <w:u w:val="single"/>
        </w:rPr>
        <w:t>kratky a symboly</w:t>
      </w:r>
    </w:p>
    <w:bookmarkEnd w:id="1"/>
    <w:p w:rsidR="007B5AE9" w:rsidRPr="00C50BEB" w:rsidRDefault="007B5AE9" w:rsidP="00713244">
      <w:pPr>
        <w:pStyle w:val="Nadpis5"/>
        <w:spacing w:before="0" w:after="0"/>
        <w:rPr>
          <w:rFonts w:ascii="Arial Narrow" w:hAnsi="Arial Narrow" w:cs="Arial"/>
          <w:i w:val="0"/>
          <w:sz w:val="22"/>
          <w:szCs w:val="22"/>
        </w:rPr>
      </w:pPr>
    </w:p>
    <w:p w:rsidR="00D7229E" w:rsidRPr="00C50BEB" w:rsidRDefault="00D7229E" w:rsidP="002D1F2C">
      <w:pPr>
        <w:pStyle w:val="Nadpis5"/>
        <w:spacing w:before="0"/>
        <w:rPr>
          <w:rFonts w:ascii="Arial Narrow" w:hAnsi="Arial Narrow" w:cs="Arial"/>
          <w:b w:val="0"/>
          <w:i w:val="0"/>
          <w:sz w:val="22"/>
          <w:szCs w:val="22"/>
        </w:rPr>
      </w:pPr>
      <w:r w:rsidRPr="00C50BEB">
        <w:rPr>
          <w:rFonts w:ascii="Arial Narrow" w:hAnsi="Arial Narrow" w:cs="Arial"/>
          <w:i w:val="0"/>
          <w:sz w:val="22"/>
          <w:szCs w:val="22"/>
        </w:rPr>
        <w:t xml:space="preserve">ESSPROS </w:t>
      </w:r>
      <w:r w:rsidR="002829A0" w:rsidRPr="00C50BEB">
        <w:rPr>
          <w:rFonts w:ascii="Arial Narrow" w:hAnsi="Arial Narrow" w:cs="Arial"/>
          <w:i w:val="0"/>
          <w:sz w:val="22"/>
          <w:szCs w:val="22"/>
        </w:rPr>
        <w:t>-</w:t>
      </w:r>
      <w:r w:rsidRPr="00C50BEB">
        <w:rPr>
          <w:rFonts w:ascii="Arial Narrow" w:hAnsi="Arial Narrow" w:cs="Arial"/>
          <w:i w:val="0"/>
          <w:sz w:val="22"/>
          <w:szCs w:val="22"/>
        </w:rPr>
        <w:t xml:space="preserve"> Európsky systém </w:t>
      </w:r>
      <w:r w:rsidR="00243E7E" w:rsidRPr="00C50BEB">
        <w:rPr>
          <w:rFonts w:ascii="Arial Narrow" w:hAnsi="Arial Narrow" w:cs="Arial"/>
          <w:i w:val="0"/>
          <w:sz w:val="22"/>
          <w:szCs w:val="22"/>
        </w:rPr>
        <w:t xml:space="preserve">integrovanej </w:t>
      </w:r>
      <w:r w:rsidRPr="00C50BEB">
        <w:rPr>
          <w:rFonts w:ascii="Arial Narrow" w:hAnsi="Arial Narrow" w:cs="Arial"/>
          <w:i w:val="0"/>
          <w:sz w:val="22"/>
          <w:szCs w:val="22"/>
        </w:rPr>
        <w:t>štatist</w:t>
      </w:r>
      <w:r w:rsidR="00243E7E" w:rsidRPr="00C50BEB">
        <w:rPr>
          <w:rFonts w:ascii="Arial Narrow" w:hAnsi="Arial Narrow" w:cs="Arial"/>
          <w:i w:val="0"/>
          <w:sz w:val="22"/>
          <w:szCs w:val="22"/>
        </w:rPr>
        <w:t>iky</w:t>
      </w:r>
      <w:r w:rsidRPr="00C50BEB">
        <w:rPr>
          <w:rFonts w:ascii="Arial Narrow" w:hAnsi="Arial Narrow" w:cs="Arial"/>
          <w:i w:val="0"/>
          <w:sz w:val="22"/>
          <w:szCs w:val="22"/>
        </w:rPr>
        <w:t xml:space="preserve"> sociálnej ochrany</w:t>
      </w:r>
      <w:r w:rsidRPr="00C50BEB">
        <w:rPr>
          <w:rFonts w:ascii="Arial Narrow" w:hAnsi="Arial Narrow" w:cs="Arial"/>
          <w:b w:val="0"/>
          <w:i w:val="0"/>
          <w:sz w:val="22"/>
          <w:szCs w:val="22"/>
        </w:rPr>
        <w:t xml:space="preserve"> </w:t>
      </w:r>
    </w:p>
    <w:p w:rsidR="00713244" w:rsidRPr="00C50BEB" w:rsidRDefault="00713244" w:rsidP="00D7229E">
      <w:pPr>
        <w:rPr>
          <w:rFonts w:ascii="Arial Narrow" w:hAnsi="Arial Narrow" w:cs="Arial"/>
          <w:sz w:val="22"/>
          <w:szCs w:val="22"/>
        </w:rPr>
      </w:pPr>
      <w:r w:rsidRPr="00C50BEB">
        <w:rPr>
          <w:rFonts w:ascii="Arial Narrow" w:hAnsi="Arial Narrow" w:cs="Arial"/>
          <w:sz w:val="22"/>
          <w:szCs w:val="22"/>
        </w:rPr>
        <w:t xml:space="preserve">AZÚ </w:t>
      </w:r>
      <w:r w:rsidR="002829A0" w:rsidRPr="00C50BEB">
        <w:rPr>
          <w:rFonts w:ascii="Arial Narrow" w:hAnsi="Arial Narrow" w:cs="Arial"/>
          <w:sz w:val="22"/>
          <w:szCs w:val="22"/>
        </w:rPr>
        <w:t>-</w:t>
      </w:r>
      <w:r w:rsidRPr="00C50BEB">
        <w:rPr>
          <w:rFonts w:ascii="Arial Narrow" w:hAnsi="Arial Narrow" w:cs="Arial"/>
          <w:sz w:val="22"/>
          <w:szCs w:val="22"/>
        </w:rPr>
        <w:t xml:space="preserve"> administratívne zdroje údajov</w:t>
      </w:r>
    </w:p>
    <w:p w:rsidR="00713244" w:rsidRPr="00C50BEB" w:rsidRDefault="00713244" w:rsidP="00D7229E">
      <w:pPr>
        <w:rPr>
          <w:rFonts w:ascii="Arial Narrow" w:hAnsi="Arial Narrow" w:cs="Arial"/>
          <w:sz w:val="22"/>
          <w:szCs w:val="22"/>
        </w:rPr>
      </w:pPr>
      <w:r w:rsidRPr="00C50BEB">
        <w:rPr>
          <w:rFonts w:ascii="Arial Narrow" w:hAnsi="Arial Narrow" w:cs="Arial"/>
          <w:sz w:val="22"/>
          <w:szCs w:val="22"/>
        </w:rPr>
        <w:t xml:space="preserve">ES </w:t>
      </w:r>
      <w:r w:rsidR="002829A0" w:rsidRPr="00C50BEB">
        <w:rPr>
          <w:rFonts w:ascii="Arial Narrow" w:hAnsi="Arial Narrow" w:cs="Arial"/>
          <w:sz w:val="22"/>
          <w:szCs w:val="22"/>
        </w:rPr>
        <w:t>-</w:t>
      </w:r>
      <w:r w:rsidRPr="00C50BEB">
        <w:rPr>
          <w:rFonts w:ascii="Arial Narrow" w:hAnsi="Arial Narrow" w:cs="Arial"/>
          <w:sz w:val="22"/>
          <w:szCs w:val="22"/>
        </w:rPr>
        <w:t xml:space="preserve"> Európske spoločenstvo</w:t>
      </w:r>
    </w:p>
    <w:p w:rsidR="006D78BC" w:rsidRPr="00C50BEB" w:rsidRDefault="006D78BC" w:rsidP="00D7229E">
      <w:pPr>
        <w:rPr>
          <w:rFonts w:ascii="Arial Narrow" w:hAnsi="Arial Narrow" w:cs="Arial"/>
          <w:sz w:val="22"/>
          <w:szCs w:val="22"/>
        </w:rPr>
      </w:pPr>
      <w:r w:rsidRPr="00C50BEB">
        <w:rPr>
          <w:rFonts w:ascii="Arial Narrow" w:hAnsi="Arial Narrow" w:cs="Arial"/>
          <w:sz w:val="22"/>
          <w:szCs w:val="22"/>
        </w:rPr>
        <w:t xml:space="preserve">EÚ </w:t>
      </w:r>
      <w:r w:rsidR="002829A0" w:rsidRPr="00C50BEB">
        <w:rPr>
          <w:rFonts w:ascii="Arial Narrow" w:hAnsi="Arial Narrow" w:cs="Arial"/>
          <w:sz w:val="22"/>
          <w:szCs w:val="22"/>
        </w:rPr>
        <w:t>-</w:t>
      </w:r>
      <w:r w:rsidRPr="00C50BEB">
        <w:rPr>
          <w:rFonts w:ascii="Arial Narrow" w:hAnsi="Arial Narrow" w:cs="Arial"/>
          <w:sz w:val="22"/>
          <w:szCs w:val="22"/>
        </w:rPr>
        <w:t xml:space="preserve"> Európska únia</w:t>
      </w:r>
    </w:p>
    <w:p w:rsidR="00713244" w:rsidRPr="00C50BEB" w:rsidRDefault="00713244" w:rsidP="00D7229E">
      <w:pPr>
        <w:rPr>
          <w:rFonts w:ascii="Arial Narrow" w:hAnsi="Arial Narrow" w:cs="Arial"/>
          <w:sz w:val="22"/>
          <w:szCs w:val="22"/>
        </w:rPr>
      </w:pPr>
      <w:r w:rsidRPr="00C50BEB">
        <w:rPr>
          <w:rFonts w:ascii="Arial Narrow" w:hAnsi="Arial Narrow" w:cs="Arial"/>
          <w:sz w:val="22"/>
          <w:szCs w:val="22"/>
        </w:rPr>
        <w:t xml:space="preserve">HDP </w:t>
      </w:r>
      <w:r w:rsidR="00297D58" w:rsidRPr="00C50BEB">
        <w:rPr>
          <w:rFonts w:ascii="Arial Narrow" w:hAnsi="Arial Narrow" w:cs="Arial"/>
          <w:sz w:val="22"/>
          <w:szCs w:val="22"/>
        </w:rPr>
        <w:t>-</w:t>
      </w:r>
      <w:r w:rsidRPr="00C50BEB">
        <w:rPr>
          <w:rFonts w:ascii="Arial Narrow" w:hAnsi="Arial Narrow" w:cs="Arial"/>
          <w:sz w:val="22"/>
          <w:szCs w:val="22"/>
        </w:rPr>
        <w:t xml:space="preserve"> Hrubý domáci produkt</w:t>
      </w:r>
    </w:p>
    <w:p w:rsidR="00097EE1" w:rsidRPr="00C50BEB" w:rsidRDefault="00097EE1" w:rsidP="00D7229E">
      <w:pPr>
        <w:rPr>
          <w:rFonts w:ascii="Arial Narrow" w:hAnsi="Arial Narrow" w:cs="Arial"/>
          <w:sz w:val="22"/>
          <w:szCs w:val="22"/>
        </w:rPr>
      </w:pPr>
      <w:r w:rsidRPr="00C50BEB">
        <w:rPr>
          <w:rFonts w:ascii="Arial Narrow" w:hAnsi="Arial Narrow" w:cs="Arial"/>
          <w:sz w:val="22"/>
          <w:szCs w:val="22"/>
        </w:rPr>
        <w:t xml:space="preserve">mil. </w:t>
      </w:r>
      <w:r w:rsidR="00297D58" w:rsidRPr="00C50BEB">
        <w:rPr>
          <w:rFonts w:ascii="Arial Narrow" w:hAnsi="Arial Narrow" w:cs="Arial"/>
          <w:sz w:val="22"/>
          <w:szCs w:val="22"/>
        </w:rPr>
        <w:t>-</w:t>
      </w:r>
      <w:r w:rsidRPr="00C50BEB">
        <w:rPr>
          <w:rFonts w:ascii="Arial Narrow" w:hAnsi="Arial Narrow" w:cs="Arial"/>
          <w:sz w:val="22"/>
          <w:szCs w:val="22"/>
        </w:rPr>
        <w:t xml:space="preserve"> milión  </w:t>
      </w:r>
    </w:p>
    <w:p w:rsidR="00B12EEE" w:rsidRPr="00C50BEB" w:rsidRDefault="00B12EEE" w:rsidP="00D7229E">
      <w:pPr>
        <w:rPr>
          <w:rFonts w:ascii="Arial Narrow" w:hAnsi="Arial Narrow" w:cs="Arial"/>
          <w:sz w:val="22"/>
          <w:szCs w:val="22"/>
        </w:rPr>
      </w:pPr>
      <w:r w:rsidRPr="00C50BEB">
        <w:rPr>
          <w:rFonts w:ascii="Arial Narrow" w:hAnsi="Arial Narrow" w:cs="Arial"/>
          <w:sz w:val="22"/>
          <w:szCs w:val="22"/>
        </w:rPr>
        <w:t xml:space="preserve">MF SR </w:t>
      </w:r>
      <w:r w:rsidR="00297D58" w:rsidRPr="00C50BEB">
        <w:rPr>
          <w:rFonts w:ascii="Arial Narrow" w:hAnsi="Arial Narrow" w:cs="Arial"/>
          <w:sz w:val="22"/>
          <w:szCs w:val="22"/>
        </w:rPr>
        <w:t>-</w:t>
      </w:r>
      <w:r w:rsidRPr="00C50BEB">
        <w:rPr>
          <w:rFonts w:ascii="Arial Narrow" w:hAnsi="Arial Narrow" w:cs="Arial"/>
          <w:sz w:val="22"/>
          <w:szCs w:val="22"/>
        </w:rPr>
        <w:t xml:space="preserve">  Ministerstvo financií SR</w:t>
      </w:r>
    </w:p>
    <w:p w:rsidR="00B12EEE" w:rsidRPr="00C50BEB" w:rsidRDefault="00B12EEE" w:rsidP="00D7229E">
      <w:pPr>
        <w:rPr>
          <w:rFonts w:ascii="Arial Narrow" w:hAnsi="Arial Narrow" w:cs="Arial"/>
          <w:sz w:val="22"/>
          <w:szCs w:val="22"/>
        </w:rPr>
      </w:pPr>
      <w:r w:rsidRPr="00C50BEB">
        <w:rPr>
          <w:rFonts w:ascii="Arial Narrow" w:hAnsi="Arial Narrow" w:cs="Arial"/>
          <w:sz w:val="22"/>
          <w:szCs w:val="22"/>
        </w:rPr>
        <w:t xml:space="preserve">MDVRR SR </w:t>
      </w:r>
      <w:r w:rsidR="00297D58" w:rsidRPr="00C50BEB">
        <w:rPr>
          <w:rFonts w:ascii="Arial Narrow" w:hAnsi="Arial Narrow" w:cs="Arial"/>
          <w:sz w:val="22"/>
          <w:szCs w:val="22"/>
        </w:rPr>
        <w:t>-</w:t>
      </w:r>
      <w:r w:rsidRPr="00C50BEB">
        <w:rPr>
          <w:rFonts w:ascii="Arial Narrow" w:hAnsi="Arial Narrow" w:cs="Arial"/>
          <w:sz w:val="22"/>
          <w:szCs w:val="22"/>
        </w:rPr>
        <w:t xml:space="preserve"> Ministerstvo dopravy, výstavby a regionálneho rozvoja SR</w:t>
      </w:r>
    </w:p>
    <w:p w:rsidR="00B12EEE" w:rsidRPr="00C50BEB" w:rsidRDefault="00B12EEE" w:rsidP="00D7229E">
      <w:pPr>
        <w:rPr>
          <w:rFonts w:ascii="Arial Narrow" w:hAnsi="Arial Narrow" w:cs="Arial"/>
          <w:sz w:val="22"/>
          <w:szCs w:val="22"/>
        </w:rPr>
      </w:pPr>
      <w:r w:rsidRPr="00C50BEB">
        <w:rPr>
          <w:rFonts w:ascii="Arial Narrow" w:hAnsi="Arial Narrow" w:cs="Arial"/>
          <w:sz w:val="22"/>
          <w:szCs w:val="22"/>
        </w:rPr>
        <w:t xml:space="preserve">MO SR </w:t>
      </w:r>
      <w:r w:rsidR="00297D58" w:rsidRPr="00C50BEB">
        <w:rPr>
          <w:rFonts w:ascii="Arial Narrow" w:hAnsi="Arial Narrow" w:cs="Arial"/>
          <w:sz w:val="22"/>
          <w:szCs w:val="22"/>
        </w:rPr>
        <w:t>-</w:t>
      </w:r>
      <w:r w:rsidRPr="00C50BEB">
        <w:rPr>
          <w:rFonts w:ascii="Arial Narrow" w:hAnsi="Arial Narrow" w:cs="Arial"/>
          <w:sz w:val="22"/>
          <w:szCs w:val="22"/>
        </w:rPr>
        <w:t xml:space="preserve"> Ministerstvo obrany SR</w:t>
      </w:r>
    </w:p>
    <w:p w:rsidR="00B12EEE" w:rsidRPr="00C50BEB" w:rsidRDefault="00B12EEE" w:rsidP="00D7229E">
      <w:pPr>
        <w:rPr>
          <w:rFonts w:ascii="Arial Narrow" w:hAnsi="Arial Narrow" w:cs="Arial"/>
          <w:sz w:val="22"/>
          <w:szCs w:val="22"/>
        </w:rPr>
      </w:pPr>
      <w:r w:rsidRPr="00C50BEB">
        <w:rPr>
          <w:rFonts w:ascii="Arial Narrow" w:hAnsi="Arial Narrow" w:cs="Arial"/>
          <w:sz w:val="22"/>
          <w:szCs w:val="22"/>
        </w:rPr>
        <w:t xml:space="preserve">MPSVR SR </w:t>
      </w:r>
      <w:r w:rsidR="00297D58" w:rsidRPr="00C50BEB">
        <w:rPr>
          <w:rFonts w:ascii="Arial Narrow" w:hAnsi="Arial Narrow" w:cs="Arial"/>
          <w:sz w:val="22"/>
          <w:szCs w:val="22"/>
        </w:rPr>
        <w:t>-</w:t>
      </w:r>
      <w:r w:rsidR="004C7CB1" w:rsidRPr="00C50BEB">
        <w:rPr>
          <w:rFonts w:ascii="Arial Narrow" w:hAnsi="Arial Narrow" w:cs="Arial"/>
          <w:sz w:val="22"/>
          <w:szCs w:val="22"/>
        </w:rPr>
        <w:t xml:space="preserve"> </w:t>
      </w:r>
      <w:r w:rsidRPr="00C50BEB">
        <w:rPr>
          <w:rFonts w:ascii="Arial Narrow" w:hAnsi="Arial Narrow" w:cs="Arial"/>
          <w:sz w:val="22"/>
          <w:szCs w:val="22"/>
        </w:rPr>
        <w:t>Ministerstvo práce, soc</w:t>
      </w:r>
      <w:r w:rsidR="004C7CB1" w:rsidRPr="00C50BEB">
        <w:rPr>
          <w:rFonts w:ascii="Arial Narrow" w:hAnsi="Arial Narrow" w:cs="Arial"/>
          <w:sz w:val="22"/>
          <w:szCs w:val="22"/>
        </w:rPr>
        <w:t>iálnych</w:t>
      </w:r>
      <w:r w:rsidR="000F363B" w:rsidRPr="00C50BEB">
        <w:rPr>
          <w:rFonts w:ascii="Arial Narrow" w:hAnsi="Arial Narrow" w:cs="Arial"/>
          <w:sz w:val="22"/>
          <w:szCs w:val="22"/>
        </w:rPr>
        <w:t xml:space="preserve"> </w:t>
      </w:r>
      <w:r w:rsidRPr="00C50BEB">
        <w:rPr>
          <w:rFonts w:ascii="Arial Narrow" w:hAnsi="Arial Narrow" w:cs="Arial"/>
          <w:sz w:val="22"/>
          <w:szCs w:val="22"/>
        </w:rPr>
        <w:t>vecí a rodiny SR</w:t>
      </w:r>
    </w:p>
    <w:p w:rsidR="00B12EEE" w:rsidRPr="00C50BEB" w:rsidRDefault="00B12EEE" w:rsidP="00D7229E">
      <w:pPr>
        <w:rPr>
          <w:rFonts w:ascii="Arial Narrow" w:hAnsi="Arial Narrow" w:cs="Arial"/>
          <w:sz w:val="22"/>
          <w:szCs w:val="22"/>
        </w:rPr>
      </w:pPr>
      <w:r w:rsidRPr="00C50BEB">
        <w:rPr>
          <w:rFonts w:ascii="Arial Narrow" w:hAnsi="Arial Narrow" w:cs="Arial"/>
          <w:sz w:val="22"/>
          <w:szCs w:val="22"/>
        </w:rPr>
        <w:t xml:space="preserve">MS SR </w:t>
      </w:r>
      <w:r w:rsidR="00297D58" w:rsidRPr="00C50BEB">
        <w:rPr>
          <w:rFonts w:ascii="Arial Narrow" w:hAnsi="Arial Narrow" w:cs="Arial"/>
          <w:sz w:val="22"/>
          <w:szCs w:val="22"/>
        </w:rPr>
        <w:t>-</w:t>
      </w:r>
      <w:r w:rsidRPr="00C50BEB">
        <w:rPr>
          <w:rFonts w:ascii="Arial Narrow" w:hAnsi="Arial Narrow" w:cs="Arial"/>
          <w:sz w:val="22"/>
          <w:szCs w:val="22"/>
        </w:rPr>
        <w:t xml:space="preserve"> Ministerstvo spravodlivosti SR</w:t>
      </w:r>
    </w:p>
    <w:p w:rsidR="00B12EEE" w:rsidRPr="00C50BEB" w:rsidRDefault="00B12EEE" w:rsidP="00D7229E">
      <w:pPr>
        <w:rPr>
          <w:rFonts w:ascii="Arial Narrow" w:hAnsi="Arial Narrow" w:cs="Arial"/>
          <w:sz w:val="22"/>
          <w:szCs w:val="22"/>
        </w:rPr>
      </w:pPr>
      <w:r w:rsidRPr="00C50BEB">
        <w:rPr>
          <w:rFonts w:ascii="Arial Narrow" w:hAnsi="Arial Narrow" w:cs="Arial"/>
          <w:sz w:val="22"/>
          <w:szCs w:val="22"/>
        </w:rPr>
        <w:t xml:space="preserve">MV SR </w:t>
      </w:r>
      <w:r w:rsidR="00297D58" w:rsidRPr="00C50BEB">
        <w:rPr>
          <w:rFonts w:ascii="Arial Narrow" w:hAnsi="Arial Narrow" w:cs="Arial"/>
          <w:sz w:val="22"/>
          <w:szCs w:val="22"/>
        </w:rPr>
        <w:t>-</w:t>
      </w:r>
      <w:r w:rsidRPr="00C50BEB">
        <w:rPr>
          <w:rFonts w:ascii="Arial Narrow" w:hAnsi="Arial Narrow" w:cs="Arial"/>
          <w:sz w:val="22"/>
          <w:szCs w:val="22"/>
        </w:rPr>
        <w:t xml:space="preserve"> Ministerstvo vnútra SR</w:t>
      </w:r>
    </w:p>
    <w:p w:rsidR="00D7229E" w:rsidRPr="00C50BEB" w:rsidRDefault="00D7229E" w:rsidP="00D7229E">
      <w:pPr>
        <w:rPr>
          <w:rFonts w:ascii="Arial Narrow" w:hAnsi="Arial Narrow" w:cs="Arial"/>
          <w:sz w:val="22"/>
          <w:szCs w:val="22"/>
        </w:rPr>
      </w:pPr>
      <w:r w:rsidRPr="00C50BEB">
        <w:rPr>
          <w:rFonts w:ascii="Arial Narrow" w:hAnsi="Arial Narrow" w:cs="Arial"/>
          <w:sz w:val="22"/>
          <w:szCs w:val="22"/>
        </w:rPr>
        <w:t xml:space="preserve">NISD </w:t>
      </w:r>
      <w:r w:rsidR="00297D58" w:rsidRPr="00C50BEB">
        <w:rPr>
          <w:rFonts w:ascii="Arial Narrow" w:hAnsi="Arial Narrow" w:cs="Arial"/>
          <w:sz w:val="22"/>
          <w:szCs w:val="22"/>
        </w:rPr>
        <w:t>-</w:t>
      </w:r>
      <w:r w:rsidRPr="00C50BEB">
        <w:rPr>
          <w:rFonts w:ascii="Arial Narrow" w:hAnsi="Arial Narrow" w:cs="Arial"/>
          <w:sz w:val="22"/>
          <w:szCs w:val="22"/>
        </w:rPr>
        <w:t xml:space="preserve"> neziskové inštitúcie slúžiace domácnostiam</w:t>
      </w:r>
    </w:p>
    <w:p w:rsidR="00B12EEE" w:rsidRPr="00C50BEB" w:rsidRDefault="00B12EEE" w:rsidP="00EE54B4">
      <w:pPr>
        <w:rPr>
          <w:rFonts w:ascii="Arial Narrow" w:hAnsi="Arial Narrow" w:cs="Arial"/>
          <w:sz w:val="22"/>
          <w:szCs w:val="22"/>
        </w:rPr>
      </w:pPr>
      <w:r w:rsidRPr="00C50BEB">
        <w:rPr>
          <w:rFonts w:ascii="Arial Narrow" w:hAnsi="Arial Narrow" w:cs="Arial"/>
          <w:sz w:val="22"/>
          <w:szCs w:val="22"/>
        </w:rPr>
        <w:t xml:space="preserve">SAD </w:t>
      </w:r>
      <w:r w:rsidR="00297D58" w:rsidRPr="00C50BEB">
        <w:rPr>
          <w:rFonts w:ascii="Arial Narrow" w:hAnsi="Arial Narrow" w:cs="Arial"/>
          <w:sz w:val="22"/>
          <w:szCs w:val="22"/>
        </w:rPr>
        <w:t>-</w:t>
      </w:r>
      <w:r w:rsidRPr="00C50BEB">
        <w:rPr>
          <w:rFonts w:ascii="Arial Narrow" w:hAnsi="Arial Narrow" w:cs="Arial"/>
          <w:sz w:val="22"/>
          <w:szCs w:val="22"/>
        </w:rPr>
        <w:t xml:space="preserve"> Slovenská autobusová doprava</w:t>
      </w:r>
    </w:p>
    <w:p w:rsidR="00000D8C" w:rsidRPr="00C50BEB" w:rsidRDefault="00000D8C" w:rsidP="00EE54B4">
      <w:pPr>
        <w:rPr>
          <w:rFonts w:ascii="Arial Narrow" w:hAnsi="Arial Narrow" w:cs="Arial"/>
          <w:sz w:val="22"/>
          <w:szCs w:val="22"/>
        </w:rPr>
      </w:pPr>
      <w:r w:rsidRPr="00C50BEB">
        <w:rPr>
          <w:rFonts w:ascii="Arial Narrow" w:hAnsi="Arial Narrow" w:cs="Arial"/>
          <w:sz w:val="22"/>
          <w:szCs w:val="22"/>
        </w:rPr>
        <w:t xml:space="preserve">s. c. </w:t>
      </w:r>
      <w:r w:rsidR="00297D58" w:rsidRPr="00C50BEB">
        <w:rPr>
          <w:rFonts w:ascii="Arial Narrow" w:hAnsi="Arial Narrow" w:cs="Arial"/>
          <w:sz w:val="22"/>
          <w:szCs w:val="22"/>
        </w:rPr>
        <w:t>-</w:t>
      </w:r>
      <w:r w:rsidRPr="00C50BEB">
        <w:rPr>
          <w:rFonts w:ascii="Arial Narrow" w:hAnsi="Arial Narrow" w:cs="Arial"/>
          <w:sz w:val="22"/>
          <w:szCs w:val="22"/>
        </w:rPr>
        <w:t xml:space="preserve"> stále ceny</w:t>
      </w:r>
    </w:p>
    <w:p w:rsidR="008E0B5A" w:rsidRPr="00C50BEB" w:rsidRDefault="009024A4" w:rsidP="00EE54B4">
      <w:pPr>
        <w:rPr>
          <w:rFonts w:ascii="Arial Narrow" w:hAnsi="Arial Narrow" w:cs="Arial"/>
          <w:sz w:val="22"/>
          <w:szCs w:val="22"/>
        </w:rPr>
      </w:pPr>
      <w:r w:rsidRPr="00C50BEB">
        <w:rPr>
          <w:rFonts w:ascii="Arial Narrow" w:hAnsi="Arial Narrow" w:cs="Arial"/>
          <w:sz w:val="22"/>
          <w:szCs w:val="22"/>
        </w:rPr>
        <w:t>SN</w:t>
      </w:r>
      <w:r w:rsidR="00243E7E" w:rsidRPr="00C50BEB">
        <w:rPr>
          <w:rFonts w:ascii="Arial Narrow" w:hAnsi="Arial Narrow" w:cs="Arial"/>
          <w:sz w:val="22"/>
          <w:szCs w:val="22"/>
        </w:rPr>
        <w:t>Ú</w:t>
      </w:r>
      <w:r w:rsidRPr="00C50BEB">
        <w:rPr>
          <w:rFonts w:ascii="Arial Narrow" w:hAnsi="Arial Narrow" w:cs="Arial"/>
          <w:sz w:val="22"/>
          <w:szCs w:val="22"/>
        </w:rPr>
        <w:t xml:space="preserve"> </w:t>
      </w:r>
      <w:r w:rsidR="00297D58" w:rsidRPr="00C50BEB">
        <w:rPr>
          <w:rFonts w:ascii="Arial Narrow" w:hAnsi="Arial Narrow" w:cs="Arial"/>
          <w:sz w:val="22"/>
          <w:szCs w:val="22"/>
        </w:rPr>
        <w:t>-</w:t>
      </w:r>
      <w:r w:rsidRPr="00C50BEB">
        <w:rPr>
          <w:rFonts w:ascii="Arial Narrow" w:hAnsi="Arial Narrow" w:cs="Arial"/>
          <w:sz w:val="22"/>
          <w:szCs w:val="22"/>
        </w:rPr>
        <w:t xml:space="preserve"> sektory národných účtov</w:t>
      </w:r>
    </w:p>
    <w:p w:rsidR="009D112D" w:rsidRPr="00C50BEB" w:rsidRDefault="009D112D" w:rsidP="009D112D">
      <w:pPr>
        <w:rPr>
          <w:rFonts w:ascii="Arial Narrow" w:hAnsi="Arial Narrow" w:cs="Arial"/>
          <w:sz w:val="22"/>
          <w:szCs w:val="22"/>
        </w:rPr>
      </w:pPr>
      <w:r w:rsidRPr="00C50BEB">
        <w:rPr>
          <w:rFonts w:ascii="Arial Narrow" w:hAnsi="Arial Narrow" w:cs="Arial"/>
          <w:sz w:val="22"/>
          <w:szCs w:val="22"/>
        </w:rPr>
        <w:t xml:space="preserve">SR </w:t>
      </w:r>
      <w:r w:rsidR="00297D58" w:rsidRPr="00C50BEB">
        <w:rPr>
          <w:rFonts w:ascii="Arial Narrow" w:hAnsi="Arial Narrow" w:cs="Arial"/>
          <w:sz w:val="22"/>
          <w:szCs w:val="22"/>
        </w:rPr>
        <w:t>-</w:t>
      </w:r>
      <w:r w:rsidRPr="00C50BEB">
        <w:rPr>
          <w:rFonts w:ascii="Arial Narrow" w:hAnsi="Arial Narrow" w:cs="Arial"/>
          <w:sz w:val="22"/>
          <w:szCs w:val="22"/>
        </w:rPr>
        <w:t xml:space="preserve"> Slovenská republika</w:t>
      </w:r>
    </w:p>
    <w:p w:rsidR="009D112D" w:rsidRPr="00C50BEB" w:rsidRDefault="009D112D" w:rsidP="009D112D">
      <w:pPr>
        <w:rPr>
          <w:rFonts w:ascii="Arial Narrow" w:hAnsi="Arial Narrow" w:cs="Arial"/>
          <w:sz w:val="22"/>
          <w:szCs w:val="22"/>
        </w:rPr>
      </w:pPr>
      <w:r w:rsidRPr="00C50BEB">
        <w:rPr>
          <w:rFonts w:ascii="Arial Narrow" w:hAnsi="Arial Narrow" w:cs="Arial"/>
          <w:sz w:val="22"/>
          <w:szCs w:val="22"/>
        </w:rPr>
        <w:t xml:space="preserve">SZČO </w:t>
      </w:r>
      <w:r w:rsidR="00297D58" w:rsidRPr="00C50BEB">
        <w:rPr>
          <w:rFonts w:ascii="Arial Narrow" w:hAnsi="Arial Narrow" w:cs="Arial"/>
          <w:sz w:val="22"/>
          <w:szCs w:val="22"/>
        </w:rPr>
        <w:t xml:space="preserve">- </w:t>
      </w:r>
      <w:r w:rsidRPr="00C50BEB">
        <w:rPr>
          <w:rFonts w:ascii="Arial Narrow" w:hAnsi="Arial Narrow" w:cs="Arial"/>
          <w:sz w:val="22"/>
          <w:szCs w:val="22"/>
        </w:rPr>
        <w:t>samostatne zárobkovo činné osoby</w:t>
      </w:r>
    </w:p>
    <w:p w:rsidR="009024A4" w:rsidRPr="00C50BEB" w:rsidRDefault="005D4245" w:rsidP="00EE54B4">
      <w:pPr>
        <w:rPr>
          <w:rFonts w:ascii="Arial Narrow" w:hAnsi="Arial Narrow" w:cs="Arial"/>
          <w:sz w:val="22"/>
          <w:szCs w:val="22"/>
        </w:rPr>
      </w:pPr>
      <w:r w:rsidRPr="00C50BEB">
        <w:rPr>
          <w:rFonts w:ascii="Arial Narrow" w:hAnsi="Arial Narrow" w:cs="Arial"/>
          <w:sz w:val="22"/>
          <w:szCs w:val="22"/>
        </w:rPr>
        <w:t xml:space="preserve">ŠÚ SR </w:t>
      </w:r>
      <w:r w:rsidR="00297D58" w:rsidRPr="00C50BEB">
        <w:rPr>
          <w:rFonts w:ascii="Arial Narrow" w:hAnsi="Arial Narrow" w:cs="Arial"/>
          <w:sz w:val="22"/>
          <w:szCs w:val="22"/>
        </w:rPr>
        <w:t>-</w:t>
      </w:r>
      <w:r w:rsidRPr="00C50BEB">
        <w:rPr>
          <w:rFonts w:ascii="Arial Narrow" w:hAnsi="Arial Narrow" w:cs="Arial"/>
          <w:sz w:val="22"/>
          <w:szCs w:val="22"/>
        </w:rPr>
        <w:t xml:space="preserve"> Štatistický úrad Slovenskej republiky</w:t>
      </w:r>
    </w:p>
    <w:p w:rsidR="00B12EEE" w:rsidRPr="00C50BEB" w:rsidRDefault="0091598B" w:rsidP="00EE54B4">
      <w:pPr>
        <w:rPr>
          <w:rFonts w:ascii="Arial Narrow" w:hAnsi="Arial Narrow" w:cs="Arial"/>
          <w:sz w:val="22"/>
          <w:szCs w:val="22"/>
        </w:rPr>
      </w:pPr>
      <w:r w:rsidRPr="00C50BEB">
        <w:rPr>
          <w:rFonts w:ascii="Arial Narrow" w:hAnsi="Arial Narrow" w:cs="Arial"/>
          <w:sz w:val="22"/>
          <w:szCs w:val="22"/>
        </w:rPr>
        <w:t>Ú</w:t>
      </w:r>
      <w:r w:rsidR="00B12EEE" w:rsidRPr="00C50BEB">
        <w:rPr>
          <w:rFonts w:ascii="Arial Narrow" w:hAnsi="Arial Narrow" w:cs="Arial"/>
          <w:sz w:val="22"/>
          <w:szCs w:val="22"/>
        </w:rPr>
        <w:t xml:space="preserve">PSVR </w:t>
      </w:r>
      <w:r w:rsidR="00297D58" w:rsidRPr="00C50BEB">
        <w:rPr>
          <w:rFonts w:ascii="Arial Narrow" w:hAnsi="Arial Narrow" w:cs="Arial"/>
          <w:sz w:val="22"/>
          <w:szCs w:val="22"/>
        </w:rPr>
        <w:t>-</w:t>
      </w:r>
      <w:r w:rsidR="00B12EEE" w:rsidRPr="00C50BEB">
        <w:rPr>
          <w:rFonts w:ascii="Arial Narrow" w:hAnsi="Arial Narrow" w:cs="Arial"/>
          <w:sz w:val="22"/>
          <w:szCs w:val="22"/>
        </w:rPr>
        <w:t xml:space="preserve"> Ú</w:t>
      </w:r>
      <w:r w:rsidRPr="00C50BEB">
        <w:rPr>
          <w:rFonts w:ascii="Arial Narrow" w:hAnsi="Arial Narrow" w:cs="Arial"/>
          <w:sz w:val="22"/>
          <w:szCs w:val="22"/>
        </w:rPr>
        <w:t>stredie</w:t>
      </w:r>
      <w:r w:rsidR="00B12EEE" w:rsidRPr="00C50BEB">
        <w:rPr>
          <w:rFonts w:ascii="Arial Narrow" w:hAnsi="Arial Narrow" w:cs="Arial"/>
          <w:sz w:val="22"/>
          <w:szCs w:val="22"/>
        </w:rPr>
        <w:t xml:space="preserve"> práce, sociálnych vecí a rodiny</w:t>
      </w:r>
    </w:p>
    <w:p w:rsidR="00713244" w:rsidRPr="00C50BEB" w:rsidRDefault="00713244" w:rsidP="00EE54B4">
      <w:pPr>
        <w:rPr>
          <w:rFonts w:ascii="Arial Narrow" w:hAnsi="Arial Narrow" w:cs="Arial"/>
          <w:sz w:val="22"/>
          <w:szCs w:val="22"/>
        </w:rPr>
      </w:pPr>
      <w:r w:rsidRPr="00C50BEB">
        <w:rPr>
          <w:rFonts w:ascii="Arial Narrow" w:hAnsi="Arial Narrow" w:cs="Arial"/>
          <w:sz w:val="22"/>
          <w:szCs w:val="22"/>
        </w:rPr>
        <w:t>VÚC  vyššie územné celky</w:t>
      </w:r>
    </w:p>
    <w:p w:rsidR="005D4245" w:rsidRPr="00C50BEB" w:rsidRDefault="00BA22F2" w:rsidP="00EE54B4">
      <w:pPr>
        <w:rPr>
          <w:rFonts w:ascii="Arial Narrow" w:hAnsi="Arial Narrow" w:cs="Arial"/>
          <w:sz w:val="22"/>
          <w:szCs w:val="22"/>
        </w:rPr>
      </w:pPr>
      <w:r w:rsidRPr="00C50BEB">
        <w:rPr>
          <w:rFonts w:ascii="Arial Narrow" w:hAnsi="Arial Narrow" w:cs="Arial"/>
          <w:sz w:val="22"/>
          <w:szCs w:val="22"/>
        </w:rPr>
        <w:t xml:space="preserve">VZPS </w:t>
      </w:r>
      <w:r w:rsidR="00297D58" w:rsidRPr="00C50BEB">
        <w:rPr>
          <w:rFonts w:ascii="Arial Narrow" w:hAnsi="Arial Narrow" w:cs="Arial"/>
          <w:sz w:val="22"/>
          <w:szCs w:val="22"/>
        </w:rPr>
        <w:t>-</w:t>
      </w:r>
      <w:r w:rsidRPr="00C50BEB">
        <w:rPr>
          <w:rFonts w:ascii="Arial Narrow" w:hAnsi="Arial Narrow" w:cs="Arial"/>
          <w:sz w:val="22"/>
          <w:szCs w:val="22"/>
        </w:rPr>
        <w:t xml:space="preserve"> výberové zisťovanie pracovných síl</w:t>
      </w:r>
    </w:p>
    <w:p w:rsidR="002973E6" w:rsidRPr="00C50BEB" w:rsidRDefault="002973E6" w:rsidP="00EE54B4">
      <w:pPr>
        <w:rPr>
          <w:rFonts w:ascii="Arial Narrow" w:hAnsi="Arial Narrow" w:cs="Arial"/>
          <w:sz w:val="22"/>
          <w:szCs w:val="22"/>
        </w:rPr>
      </w:pPr>
    </w:p>
    <w:p w:rsidR="00D7229E" w:rsidRPr="00C50BEB" w:rsidRDefault="00D7229E" w:rsidP="000C0821">
      <w:pPr>
        <w:jc w:val="both"/>
        <w:rPr>
          <w:rFonts w:ascii="Arial Narrow" w:hAnsi="Arial Narrow"/>
          <w:b/>
          <w:bCs/>
          <w:sz w:val="22"/>
          <w:szCs w:val="22"/>
        </w:rPr>
      </w:pPr>
      <w:r w:rsidRPr="00C50BEB">
        <w:rPr>
          <w:rFonts w:ascii="Arial Narrow" w:hAnsi="Arial Narrow" w:cs="Arial"/>
          <w:b/>
          <w:sz w:val="22"/>
          <w:szCs w:val="22"/>
        </w:rPr>
        <w:t>PPS</w:t>
      </w:r>
      <w:r w:rsidRPr="00C50BEB">
        <w:rPr>
          <w:rFonts w:ascii="Arial Narrow" w:hAnsi="Arial Narrow" w:cs="Arial"/>
          <w:sz w:val="22"/>
          <w:szCs w:val="22"/>
        </w:rPr>
        <w:t xml:space="preserve"> </w:t>
      </w:r>
      <w:r w:rsidR="00297D58" w:rsidRPr="00C50BEB">
        <w:rPr>
          <w:rFonts w:ascii="Arial Narrow" w:hAnsi="Arial Narrow" w:cs="Arial"/>
          <w:sz w:val="22"/>
          <w:szCs w:val="22"/>
        </w:rPr>
        <w:t>-</w:t>
      </w:r>
      <w:r w:rsidRPr="00C50BEB">
        <w:rPr>
          <w:rFonts w:ascii="Arial Narrow" w:hAnsi="Arial Narrow" w:cs="Arial"/>
          <w:sz w:val="22"/>
          <w:szCs w:val="22"/>
        </w:rPr>
        <w:t xml:space="preserve"> Štandard</w:t>
      </w:r>
      <w:r w:rsidR="00903F13" w:rsidRPr="00C50BEB">
        <w:rPr>
          <w:rFonts w:ascii="Arial Narrow" w:hAnsi="Arial Narrow" w:cs="Arial"/>
          <w:sz w:val="22"/>
          <w:szCs w:val="22"/>
        </w:rPr>
        <w:t>y</w:t>
      </w:r>
      <w:r w:rsidRPr="00C50BEB">
        <w:rPr>
          <w:rFonts w:ascii="Arial Narrow" w:hAnsi="Arial Narrow" w:cs="Arial"/>
          <w:sz w:val="22"/>
          <w:szCs w:val="22"/>
        </w:rPr>
        <w:t xml:space="preserve"> kúpnej sily</w:t>
      </w:r>
      <w:r w:rsidR="00EA570E" w:rsidRPr="00C50BEB">
        <w:rPr>
          <w:rFonts w:ascii="Arial Narrow" w:hAnsi="Arial Narrow" w:cs="Arial"/>
          <w:sz w:val="22"/>
          <w:szCs w:val="22"/>
        </w:rPr>
        <w:t>:</w:t>
      </w:r>
      <w:r w:rsidR="000C0821" w:rsidRPr="00C50BEB">
        <w:rPr>
          <w:rFonts w:ascii="Arial Narrow" w:hAnsi="Arial Narrow" w:cs="Arial"/>
          <w:sz w:val="22"/>
          <w:szCs w:val="22"/>
        </w:rPr>
        <w:t xml:space="preserve"> </w:t>
      </w:r>
      <w:r w:rsidRPr="00C50BEB">
        <w:rPr>
          <w:rFonts w:ascii="Arial Narrow" w:hAnsi="Arial Narrow"/>
          <w:sz w:val="22"/>
          <w:szCs w:val="22"/>
        </w:rPr>
        <w:t>Je umelý výmenný kurz peňažných mien jednotlivých krajín, zohľadňujúci cenové hladiny nakupovaných tovarov a</w:t>
      </w:r>
      <w:r w:rsidR="000716AE" w:rsidRPr="00C50BEB">
        <w:rPr>
          <w:rFonts w:ascii="Arial Narrow" w:hAnsi="Arial Narrow"/>
          <w:sz w:val="22"/>
          <w:szCs w:val="22"/>
        </w:rPr>
        <w:t> </w:t>
      </w:r>
      <w:r w:rsidRPr="00C50BEB">
        <w:rPr>
          <w:rFonts w:ascii="Arial Narrow" w:hAnsi="Arial Narrow"/>
          <w:sz w:val="22"/>
          <w:szCs w:val="22"/>
        </w:rPr>
        <w:t>služieb v týchto krajinách. Je možné ho chápať aj ako cenový index porovnávajúci ceny tovarov a</w:t>
      </w:r>
      <w:r w:rsidR="006747FA" w:rsidRPr="00C50BEB">
        <w:rPr>
          <w:rFonts w:ascii="Arial Narrow" w:hAnsi="Arial Narrow"/>
          <w:sz w:val="22"/>
          <w:szCs w:val="22"/>
        </w:rPr>
        <w:t> </w:t>
      </w:r>
      <w:r w:rsidRPr="00C50BEB">
        <w:rPr>
          <w:rFonts w:ascii="Arial Narrow" w:hAnsi="Arial Narrow"/>
          <w:sz w:val="22"/>
          <w:szCs w:val="22"/>
        </w:rPr>
        <w:t xml:space="preserve"> služieb v daných krajinách. Slúži na reálnejšie vyjadrenie rôznych ekonomických súvislosti, než aké poskytujú oficiálne výmenné kurzy peňažných mien daných krajín.</w:t>
      </w:r>
    </w:p>
    <w:p w:rsidR="00BC0456" w:rsidRPr="00C50BEB" w:rsidRDefault="00BC0456" w:rsidP="00BD6061">
      <w:pPr>
        <w:pStyle w:val="Pta"/>
        <w:rPr>
          <w:rFonts w:ascii="Arial Narrow" w:hAnsi="Arial Narrow" w:cs="Arial"/>
          <w:bCs/>
          <w:sz w:val="22"/>
          <w:szCs w:val="22"/>
          <w:lang w:val="sk-SK"/>
        </w:rPr>
      </w:pPr>
    </w:p>
    <w:p w:rsidR="007147FD" w:rsidRPr="00C50BEB" w:rsidRDefault="007147FD" w:rsidP="00BD6061">
      <w:pPr>
        <w:pStyle w:val="Pta"/>
        <w:rPr>
          <w:rFonts w:ascii="Arial Narrow" w:hAnsi="Arial Narrow" w:cs="Arial"/>
          <w:sz w:val="22"/>
          <w:szCs w:val="22"/>
          <w:lang w:val="sk-SK"/>
        </w:rPr>
      </w:pPr>
    </w:p>
    <w:p w:rsidR="00BC0456" w:rsidRPr="00C50BEB" w:rsidRDefault="00BC0456" w:rsidP="00BD6061">
      <w:pPr>
        <w:pStyle w:val="Pta"/>
        <w:rPr>
          <w:rFonts w:ascii="Arial Narrow" w:hAnsi="Arial Narrow" w:cs="Arial"/>
          <w:sz w:val="22"/>
          <w:szCs w:val="22"/>
          <w:lang w:val="sk-SK"/>
        </w:rPr>
      </w:pPr>
      <w:r w:rsidRPr="00C50BEB">
        <w:rPr>
          <w:rFonts w:ascii="Arial Narrow" w:hAnsi="Arial Narrow" w:cs="Arial"/>
          <w:b/>
          <w:bCs/>
          <w:sz w:val="22"/>
          <w:szCs w:val="22"/>
          <w:lang w:val="sk-SK"/>
        </w:rPr>
        <w:t>:</w:t>
      </w:r>
      <w:r w:rsidRPr="00C50BEB">
        <w:rPr>
          <w:rFonts w:ascii="Arial Narrow" w:hAnsi="Arial Narrow" w:cs="Arial"/>
          <w:sz w:val="22"/>
          <w:szCs w:val="22"/>
          <w:lang w:val="sk-SK"/>
        </w:rPr>
        <w:t xml:space="preserve">  </w:t>
      </w:r>
      <w:r w:rsidR="00512CC1" w:rsidRPr="00C50BEB">
        <w:rPr>
          <w:rFonts w:ascii="Arial Narrow" w:hAnsi="Arial Narrow" w:cs="Arial"/>
          <w:sz w:val="22"/>
          <w:szCs w:val="22"/>
          <w:lang w:val="sk-SK"/>
        </w:rPr>
        <w:t xml:space="preserve">   </w:t>
      </w:r>
      <w:r w:rsidRPr="00C50BEB">
        <w:rPr>
          <w:rFonts w:ascii="Arial Narrow" w:hAnsi="Arial Narrow" w:cs="Arial"/>
          <w:sz w:val="22"/>
          <w:szCs w:val="22"/>
          <w:lang w:val="sk-SK"/>
        </w:rPr>
        <w:t>údaje nie sú k</w:t>
      </w:r>
      <w:r w:rsidR="00E86D3A" w:rsidRPr="00C50BEB">
        <w:rPr>
          <w:rFonts w:ascii="Arial Narrow" w:hAnsi="Arial Narrow" w:cs="Arial"/>
          <w:sz w:val="22"/>
          <w:szCs w:val="22"/>
          <w:lang w:val="sk-SK"/>
        </w:rPr>
        <w:t> </w:t>
      </w:r>
      <w:r w:rsidRPr="00C50BEB">
        <w:rPr>
          <w:rFonts w:ascii="Arial Narrow" w:hAnsi="Arial Narrow" w:cs="Arial"/>
          <w:sz w:val="22"/>
          <w:szCs w:val="22"/>
          <w:lang w:val="sk-SK"/>
        </w:rPr>
        <w:t>dispozícii</w:t>
      </w:r>
    </w:p>
    <w:p w:rsidR="00E86D3A" w:rsidRPr="00C50BEB" w:rsidRDefault="00A33C54" w:rsidP="00BD6061">
      <w:pPr>
        <w:pStyle w:val="Pta"/>
        <w:rPr>
          <w:rFonts w:ascii="Arial Narrow" w:hAnsi="Arial Narrow" w:cs="Arial"/>
          <w:sz w:val="22"/>
          <w:szCs w:val="22"/>
          <w:lang w:val="sk-SK"/>
        </w:rPr>
      </w:pPr>
      <w:r w:rsidRPr="00C50BEB">
        <w:rPr>
          <w:rFonts w:ascii="Arial Narrow" w:hAnsi="Arial Narrow" w:cs="Arial"/>
          <w:sz w:val="22"/>
          <w:szCs w:val="22"/>
          <w:lang w:val="sk-SK"/>
        </w:rPr>
        <w:t>0    údaj</w:t>
      </w:r>
      <w:r w:rsidR="00E86D3A" w:rsidRPr="00C50BEB">
        <w:rPr>
          <w:rFonts w:ascii="Arial Narrow" w:hAnsi="Arial Narrow" w:cs="Arial"/>
          <w:sz w:val="22"/>
          <w:szCs w:val="22"/>
          <w:lang w:val="sk-SK"/>
        </w:rPr>
        <w:t xml:space="preserve"> nulový alebo blízky nule</w:t>
      </w:r>
    </w:p>
    <w:p w:rsidR="00A33C54" w:rsidRPr="00C50BEB" w:rsidRDefault="00A33C54" w:rsidP="00BD6061">
      <w:pPr>
        <w:pStyle w:val="Pta"/>
        <w:rPr>
          <w:rFonts w:ascii="Arial Narrow" w:hAnsi="Arial Narrow" w:cs="Arial"/>
          <w:sz w:val="22"/>
          <w:szCs w:val="22"/>
          <w:lang w:val="sk-SK"/>
        </w:rPr>
      </w:pPr>
      <w:r w:rsidRPr="00C50BEB">
        <w:rPr>
          <w:rFonts w:ascii="Arial Narrow" w:hAnsi="Arial Narrow" w:cs="Arial"/>
          <w:sz w:val="22"/>
          <w:szCs w:val="22"/>
          <w:lang w:val="sk-SK"/>
        </w:rPr>
        <w:t>x    zápis nie je možný z logických dôvodov</w:t>
      </w:r>
    </w:p>
    <w:p w:rsidR="00F10931" w:rsidRPr="00C50BEB" w:rsidRDefault="00F10931" w:rsidP="005A0460">
      <w:pPr>
        <w:pStyle w:val="Pta"/>
        <w:rPr>
          <w:rFonts w:ascii="Arial Narrow" w:hAnsi="Arial Narrow" w:cs="Arial"/>
          <w:sz w:val="22"/>
          <w:szCs w:val="22"/>
        </w:rPr>
      </w:pPr>
    </w:p>
    <w:p w:rsidR="006873C3" w:rsidRPr="00C50BEB" w:rsidRDefault="006873C3" w:rsidP="002971EF">
      <w:pPr>
        <w:jc w:val="both"/>
        <w:rPr>
          <w:rFonts w:ascii="Arial Narrow" w:hAnsi="Arial Narrow" w:cs="Arial"/>
          <w:sz w:val="22"/>
          <w:szCs w:val="22"/>
        </w:rPr>
        <w:sectPr w:rsidR="006873C3" w:rsidRPr="00C50BEB" w:rsidSect="0050625F">
          <w:type w:val="continuous"/>
          <w:pgSz w:w="11906" w:h="16838"/>
          <w:pgMar w:top="1418" w:right="1418" w:bottom="964" w:left="1418" w:header="720" w:footer="720" w:gutter="0"/>
          <w:cols w:space="282"/>
          <w:docGrid w:linePitch="360"/>
        </w:sectPr>
      </w:pPr>
      <w:bookmarkStart w:id="2" w:name="ÚVOD"/>
    </w:p>
    <w:p w:rsidR="00175ADE" w:rsidRPr="00C50BEB" w:rsidRDefault="00175ADE" w:rsidP="00434218">
      <w:pPr>
        <w:rPr>
          <w:rFonts w:ascii="Arial Narrow" w:hAnsi="Arial Narrow" w:cs="Arial"/>
          <w:sz w:val="22"/>
          <w:szCs w:val="22"/>
        </w:rPr>
        <w:sectPr w:rsidR="00175ADE" w:rsidRPr="00C50BEB" w:rsidSect="0050625F">
          <w:type w:val="continuous"/>
          <w:pgSz w:w="11906" w:h="16838"/>
          <w:pgMar w:top="1418" w:right="1418" w:bottom="964" w:left="1418" w:header="720" w:footer="720" w:gutter="0"/>
          <w:cols w:num="2" w:space="282"/>
          <w:docGrid w:linePitch="360"/>
        </w:sectPr>
      </w:pPr>
    </w:p>
    <w:p w:rsidR="000F363B" w:rsidRDefault="000F363B" w:rsidP="000C0821">
      <w:pPr>
        <w:jc w:val="both"/>
        <w:rPr>
          <w:rFonts w:ascii="Arial Narrow" w:hAnsi="Arial Narrow" w:cs="Arial"/>
          <w:sz w:val="22"/>
          <w:szCs w:val="22"/>
        </w:rPr>
      </w:pPr>
    </w:p>
    <w:p w:rsidR="007B7FAB" w:rsidRDefault="007B7FAB" w:rsidP="000C0821">
      <w:pPr>
        <w:jc w:val="both"/>
        <w:rPr>
          <w:rFonts w:ascii="Arial Narrow" w:hAnsi="Arial Narrow" w:cs="Arial"/>
          <w:sz w:val="22"/>
          <w:szCs w:val="22"/>
        </w:rPr>
      </w:pPr>
    </w:p>
    <w:p w:rsidR="007B7FAB" w:rsidRPr="00C50BEB" w:rsidRDefault="007B7FAB" w:rsidP="000C0821">
      <w:pPr>
        <w:jc w:val="both"/>
        <w:rPr>
          <w:rFonts w:ascii="Arial Narrow" w:hAnsi="Arial Narrow" w:cs="Arial"/>
          <w:sz w:val="22"/>
          <w:szCs w:val="22"/>
        </w:rPr>
      </w:pPr>
    </w:p>
    <w:p w:rsidR="000C0821" w:rsidRPr="00C50BEB" w:rsidRDefault="000C0821" w:rsidP="00297D58">
      <w:pPr>
        <w:jc w:val="both"/>
        <w:rPr>
          <w:rFonts w:ascii="Arial Narrow" w:hAnsi="Arial Narrow" w:cs="Arial"/>
          <w:b/>
          <w:sz w:val="22"/>
          <w:szCs w:val="22"/>
        </w:rPr>
      </w:pPr>
      <w:r w:rsidRPr="00C50BEB">
        <w:rPr>
          <w:rFonts w:ascii="Arial Narrow" w:hAnsi="Arial Narrow" w:cs="Arial"/>
          <w:b/>
          <w:sz w:val="22"/>
          <w:szCs w:val="22"/>
        </w:rPr>
        <w:t>V tabuľkách uvedené celkové sumy čiastkových údajov nemusia vždy zodpovedať ich súčtu, nakoľko sú vypočítané</w:t>
      </w:r>
      <w:r w:rsidR="00297D58" w:rsidRPr="00C50BEB">
        <w:rPr>
          <w:rFonts w:ascii="Arial Narrow" w:hAnsi="Arial Narrow" w:cs="Arial"/>
          <w:b/>
          <w:sz w:val="22"/>
          <w:szCs w:val="22"/>
        </w:rPr>
        <w:t xml:space="preserve"> </w:t>
      </w:r>
      <w:r w:rsidRPr="00C50BEB">
        <w:rPr>
          <w:rFonts w:ascii="Arial Narrow" w:hAnsi="Arial Narrow" w:cs="Arial"/>
          <w:b/>
          <w:sz w:val="22"/>
          <w:szCs w:val="22"/>
        </w:rPr>
        <w:t>z nezaokrúhlených údajov a až následne sa zaokrúhľujú.</w:t>
      </w:r>
    </w:p>
    <w:p w:rsidR="00EC1897" w:rsidRPr="00297D58" w:rsidRDefault="00EC1897" w:rsidP="00297D58">
      <w:pPr>
        <w:jc w:val="both"/>
        <w:rPr>
          <w:rFonts w:ascii="Arial Narrow" w:hAnsi="Arial Narrow" w:cs="Arial"/>
          <w:b/>
          <w:sz w:val="20"/>
          <w:szCs w:val="20"/>
        </w:rPr>
      </w:pPr>
    </w:p>
    <w:p w:rsidR="003F7E44" w:rsidRPr="00297D58" w:rsidRDefault="003F7E44" w:rsidP="00297D58">
      <w:pPr>
        <w:jc w:val="both"/>
        <w:rPr>
          <w:rFonts w:ascii="Arial Narrow" w:hAnsi="Arial Narrow" w:cs="Arial"/>
          <w:sz w:val="20"/>
          <w:szCs w:val="20"/>
          <w:lang w:val="en-GB"/>
        </w:rPr>
      </w:pPr>
    </w:p>
    <w:p w:rsidR="00EC1897" w:rsidRPr="00297D58" w:rsidRDefault="00EC1897" w:rsidP="00297D58">
      <w:pPr>
        <w:jc w:val="both"/>
        <w:rPr>
          <w:rFonts w:ascii="Arial" w:hAnsi="Arial" w:cs="Arial"/>
          <w:lang w:val="en-GB"/>
        </w:rPr>
        <w:sectPr w:rsidR="00EC1897" w:rsidRPr="00297D58" w:rsidSect="0050625F">
          <w:type w:val="continuous"/>
          <w:pgSz w:w="11906" w:h="16838"/>
          <w:pgMar w:top="1418" w:right="1418" w:bottom="964" w:left="1418" w:header="720" w:footer="720" w:gutter="0"/>
          <w:cols w:space="282"/>
          <w:docGrid w:linePitch="360"/>
        </w:sectPr>
      </w:pPr>
    </w:p>
    <w:p w:rsidR="002973E6" w:rsidRDefault="002973E6" w:rsidP="002973E6">
      <w:pPr>
        <w:rPr>
          <w:rFonts w:ascii="Arial" w:hAnsi="Arial" w:cs="Arial"/>
          <w:lang w:val="en-GB"/>
        </w:rPr>
      </w:pPr>
    </w:p>
    <w:p w:rsidR="00434218" w:rsidRDefault="00434218" w:rsidP="002973E6">
      <w:pPr>
        <w:rPr>
          <w:rFonts w:ascii="Arial Narrow" w:hAnsi="Arial Narrow" w:cs="Arial"/>
          <w:sz w:val="20"/>
          <w:szCs w:val="20"/>
          <w:lang w:val="en-GB"/>
        </w:rPr>
        <w:sectPr w:rsidR="00434218" w:rsidSect="0050625F">
          <w:type w:val="continuous"/>
          <w:pgSz w:w="11906" w:h="16838"/>
          <w:pgMar w:top="1418" w:right="1418" w:bottom="964" w:left="1418" w:header="720" w:footer="720" w:gutter="0"/>
          <w:cols w:space="282"/>
          <w:docGrid w:linePitch="360"/>
        </w:sectPr>
      </w:pPr>
    </w:p>
    <w:p w:rsidR="006873C3" w:rsidRPr="007B2142" w:rsidRDefault="006873C3" w:rsidP="002973E6">
      <w:pPr>
        <w:rPr>
          <w:rFonts w:ascii="Arial Narrow" w:hAnsi="Arial Narrow" w:cs="Arial"/>
          <w:sz w:val="20"/>
          <w:szCs w:val="20"/>
          <w:lang w:val="en-GB"/>
        </w:rPr>
        <w:sectPr w:rsidR="006873C3" w:rsidRPr="007B2142" w:rsidSect="0050625F">
          <w:type w:val="continuous"/>
          <w:pgSz w:w="11906" w:h="16838"/>
          <w:pgMar w:top="1418" w:right="1418" w:bottom="964" w:left="1418" w:header="720" w:footer="720" w:gutter="0"/>
          <w:cols w:num="2" w:space="282"/>
          <w:docGrid w:linePitch="360"/>
        </w:sectPr>
      </w:pPr>
    </w:p>
    <w:p w:rsidR="00434218" w:rsidRDefault="00434218" w:rsidP="00183419">
      <w:pPr>
        <w:rPr>
          <w:rFonts w:ascii="Arial" w:hAnsi="Arial" w:cs="Arial"/>
          <w:sz w:val="10"/>
          <w:szCs w:val="10"/>
          <w:lang w:val="en-GB"/>
        </w:rPr>
        <w:sectPr w:rsidR="00434218" w:rsidSect="0050625F">
          <w:footerReference w:type="default" r:id="rId8"/>
          <w:pgSz w:w="11906" w:h="16838"/>
          <w:pgMar w:top="1418" w:right="1418" w:bottom="964" w:left="1418" w:header="720" w:footer="720" w:gutter="0"/>
          <w:pgNumType w:start="1"/>
          <w:cols w:space="282"/>
          <w:docGrid w:linePitch="360"/>
        </w:sectPr>
      </w:pPr>
    </w:p>
    <w:p w:rsidR="00BC0456" w:rsidRPr="00DE3DA4" w:rsidRDefault="00BC0456" w:rsidP="00266E2F">
      <w:pPr>
        <w:rPr>
          <w:rFonts w:ascii="Arial Narrow" w:hAnsi="Arial Narrow" w:cs="Arial"/>
          <w:b/>
        </w:rPr>
      </w:pPr>
      <w:r w:rsidRPr="00DE3DA4">
        <w:rPr>
          <w:rFonts w:ascii="Arial Narrow" w:hAnsi="Arial Narrow" w:cs="Arial"/>
          <w:b/>
        </w:rPr>
        <w:lastRenderedPageBreak/>
        <w:t>ÚVOD</w:t>
      </w:r>
    </w:p>
    <w:bookmarkEnd w:id="2"/>
    <w:p w:rsidR="00BC0456" w:rsidRPr="00DE3DA4" w:rsidRDefault="00BC0456" w:rsidP="00DE3DA4">
      <w:pPr>
        <w:pStyle w:val="Zarkazkladnhotextu"/>
        <w:ind w:firstLine="0"/>
        <w:rPr>
          <w:rFonts w:ascii="Arial Narrow" w:hAnsi="Arial Narrow" w:cs="Arial"/>
        </w:rPr>
      </w:pPr>
    </w:p>
    <w:p w:rsidR="00240206" w:rsidRPr="00567482" w:rsidRDefault="00A5495C">
      <w:pPr>
        <w:pStyle w:val="Zarkazkladnhotextu"/>
        <w:ind w:firstLine="0"/>
        <w:rPr>
          <w:rFonts w:ascii="Arial Narrow" w:hAnsi="Arial Narrow" w:cs="Arial"/>
          <w:sz w:val="22"/>
          <w:szCs w:val="22"/>
        </w:rPr>
      </w:pPr>
      <w:r w:rsidRPr="00567482">
        <w:rPr>
          <w:rFonts w:ascii="Arial Narrow" w:hAnsi="Arial Narrow" w:cs="Arial"/>
          <w:b/>
          <w:bCs/>
          <w:sz w:val="22"/>
          <w:szCs w:val="22"/>
        </w:rPr>
        <w:t>Zmluva o</w:t>
      </w:r>
      <w:r w:rsidR="002B6787" w:rsidRPr="00567482">
        <w:rPr>
          <w:rFonts w:ascii="Arial Narrow" w:hAnsi="Arial Narrow" w:cs="Arial"/>
          <w:b/>
          <w:bCs/>
          <w:sz w:val="22"/>
          <w:szCs w:val="22"/>
        </w:rPr>
        <w:t xml:space="preserve"> založení </w:t>
      </w:r>
      <w:r w:rsidR="00BC0456" w:rsidRPr="00567482">
        <w:rPr>
          <w:rFonts w:ascii="Arial Narrow" w:hAnsi="Arial Narrow" w:cs="Arial"/>
          <w:b/>
          <w:bCs/>
          <w:sz w:val="22"/>
          <w:szCs w:val="22"/>
        </w:rPr>
        <w:t>Európske</w:t>
      </w:r>
      <w:r w:rsidR="002B6787" w:rsidRPr="00567482">
        <w:rPr>
          <w:rFonts w:ascii="Arial Narrow" w:hAnsi="Arial Narrow" w:cs="Arial"/>
          <w:b/>
          <w:bCs/>
          <w:sz w:val="22"/>
          <w:szCs w:val="22"/>
        </w:rPr>
        <w:t>ho spoločenstva</w:t>
      </w:r>
      <w:r w:rsidR="00240206" w:rsidRPr="00567482">
        <w:rPr>
          <w:rStyle w:val="Odkaznapoznmkupodiarou"/>
          <w:rFonts w:ascii="Arial Narrow" w:hAnsi="Arial Narrow" w:cs="Arial"/>
          <w:b/>
          <w:bCs/>
          <w:sz w:val="22"/>
          <w:szCs w:val="22"/>
        </w:rPr>
        <w:footnoteReference w:id="1"/>
      </w:r>
      <w:r w:rsidR="00240206" w:rsidRPr="00567482">
        <w:rPr>
          <w:rFonts w:ascii="Arial Narrow" w:hAnsi="Arial Narrow" w:cs="Arial"/>
          <w:sz w:val="22"/>
          <w:szCs w:val="22"/>
        </w:rPr>
        <w:t xml:space="preserve"> stanovuje podporu vysokej úrovne sociálnej ochrany a rozvoja ekonomickej a sociálnej previazanosti členských štátov ako úlohu Spoločenstva.</w:t>
      </w:r>
    </w:p>
    <w:p w:rsidR="00240206" w:rsidRPr="00567482" w:rsidRDefault="00240206">
      <w:pPr>
        <w:pStyle w:val="Zarkazkladnhotextu"/>
        <w:ind w:firstLine="0"/>
        <w:rPr>
          <w:rFonts w:ascii="Arial Narrow" w:hAnsi="Arial Narrow" w:cs="Arial"/>
          <w:sz w:val="22"/>
          <w:szCs w:val="22"/>
        </w:rPr>
      </w:pPr>
    </w:p>
    <w:p w:rsidR="00240206" w:rsidRPr="00567482" w:rsidRDefault="00240206">
      <w:pPr>
        <w:jc w:val="both"/>
        <w:rPr>
          <w:rFonts w:ascii="Arial Narrow" w:hAnsi="Arial Narrow" w:cs="Arial"/>
          <w:b/>
          <w:sz w:val="22"/>
          <w:szCs w:val="22"/>
        </w:rPr>
      </w:pPr>
      <w:r w:rsidRPr="00567482">
        <w:rPr>
          <w:rFonts w:ascii="Arial Narrow" w:hAnsi="Arial Narrow" w:cs="Arial"/>
          <w:sz w:val="22"/>
          <w:szCs w:val="22"/>
        </w:rPr>
        <w:t>Z dôvodu monitorovania vývoja sociálnej ochrany v členských štátoch EÚ Európska komisia vyžaduje dostupnosť k</w:t>
      </w:r>
      <w:r w:rsidR="006747FA" w:rsidRPr="00567482">
        <w:rPr>
          <w:rFonts w:ascii="Arial Narrow" w:hAnsi="Arial Narrow" w:cs="Arial"/>
          <w:sz w:val="22"/>
          <w:szCs w:val="22"/>
        </w:rPr>
        <w:t> </w:t>
      </w:r>
      <w:r w:rsidRPr="00567482">
        <w:rPr>
          <w:rFonts w:ascii="Arial Narrow" w:hAnsi="Arial Narrow" w:cs="Arial"/>
          <w:sz w:val="22"/>
          <w:szCs w:val="22"/>
        </w:rPr>
        <w:t xml:space="preserve">aktuálnym a podrobným údajom a informáciám o systémoch, súčasnom stave a rozvoji sociálnej ochrany v členských štátoch. Jedným zo základných nástrojov štatistického sledovania sociálnej ochrany je </w:t>
      </w:r>
      <w:r w:rsidRPr="00567482">
        <w:rPr>
          <w:rFonts w:ascii="Arial Narrow" w:hAnsi="Arial Narrow" w:cs="Arial"/>
          <w:b/>
          <w:sz w:val="22"/>
          <w:szCs w:val="22"/>
        </w:rPr>
        <w:t>Európsky systém integrovanej štatistiky sociálnej ochrany</w:t>
      </w:r>
      <w:r w:rsidR="00061A5E" w:rsidRPr="00567482">
        <w:rPr>
          <w:rFonts w:ascii="Arial Narrow" w:hAnsi="Arial Narrow" w:cs="Arial"/>
          <w:b/>
          <w:sz w:val="22"/>
          <w:szCs w:val="22"/>
        </w:rPr>
        <w:t xml:space="preserve"> </w:t>
      </w:r>
      <w:r w:rsidR="00061A5E" w:rsidRPr="00567482">
        <w:rPr>
          <w:rFonts w:ascii="Arial Narrow" w:hAnsi="Arial Narrow" w:cs="Arial"/>
          <w:sz w:val="22"/>
          <w:szCs w:val="22"/>
        </w:rPr>
        <w:t>(metodika ESSPROS</w:t>
      </w:r>
      <w:r w:rsidR="00061A5E" w:rsidRPr="00567482">
        <w:rPr>
          <w:rFonts w:ascii="Arial Narrow" w:hAnsi="Arial Narrow" w:cs="Arial"/>
          <w:b/>
          <w:sz w:val="22"/>
          <w:szCs w:val="22"/>
        </w:rPr>
        <w:t>)</w:t>
      </w:r>
      <w:r w:rsidRPr="00567482">
        <w:rPr>
          <w:rFonts w:ascii="Arial Narrow" w:hAnsi="Arial Narrow" w:cs="Arial"/>
          <w:b/>
          <w:sz w:val="22"/>
          <w:szCs w:val="22"/>
        </w:rPr>
        <w:t xml:space="preserve">. </w:t>
      </w:r>
    </w:p>
    <w:p w:rsidR="00A400B9" w:rsidRPr="00567482" w:rsidRDefault="00A400B9">
      <w:pPr>
        <w:jc w:val="both"/>
        <w:rPr>
          <w:rFonts w:ascii="Arial Narrow" w:hAnsi="Arial Narrow" w:cs="Arial"/>
          <w:b/>
          <w:sz w:val="22"/>
          <w:szCs w:val="22"/>
        </w:rPr>
      </w:pPr>
    </w:p>
    <w:p w:rsidR="00A65DBD" w:rsidRPr="00567482" w:rsidRDefault="00A65DBD" w:rsidP="00A65DBD">
      <w:pPr>
        <w:jc w:val="both"/>
        <w:rPr>
          <w:rFonts w:ascii="Arial Narrow" w:hAnsi="Arial Narrow" w:cs="Arial"/>
          <w:bCs/>
          <w:sz w:val="22"/>
          <w:szCs w:val="22"/>
        </w:rPr>
      </w:pPr>
      <w:r w:rsidRPr="00567482">
        <w:rPr>
          <w:rFonts w:ascii="Arial Narrow" w:hAnsi="Arial Narrow" w:cs="Arial"/>
          <w:sz w:val="22"/>
          <w:szCs w:val="22"/>
        </w:rPr>
        <w:t xml:space="preserve">Počnúc rokom 2008 (referenčný rok 2006) poskytujú členské štáty EÚ údaje na základe </w:t>
      </w:r>
      <w:r w:rsidRPr="00567482">
        <w:rPr>
          <w:rFonts w:ascii="Arial Narrow" w:hAnsi="Arial Narrow" w:cs="Arial"/>
          <w:bCs/>
          <w:sz w:val="22"/>
          <w:szCs w:val="22"/>
        </w:rPr>
        <w:t xml:space="preserve">Nariadenia </w:t>
      </w:r>
      <w:r w:rsidRPr="00567482">
        <w:rPr>
          <w:rFonts w:ascii="Arial Narrow" w:hAnsi="Arial Narrow" w:cs="Arial"/>
          <w:sz w:val="22"/>
          <w:szCs w:val="22"/>
        </w:rPr>
        <w:t xml:space="preserve">Európskeho parlamentu a  Rady (ES) </w:t>
      </w:r>
      <w:r w:rsidRPr="00567482">
        <w:rPr>
          <w:rFonts w:ascii="Arial Narrow" w:hAnsi="Arial Narrow" w:cs="Arial"/>
          <w:bCs/>
          <w:sz w:val="22"/>
          <w:szCs w:val="22"/>
        </w:rPr>
        <w:t>č. 458/2007</w:t>
      </w:r>
      <w:r w:rsidRPr="00567482">
        <w:rPr>
          <w:rFonts w:ascii="Arial Narrow" w:hAnsi="Arial Narrow" w:cs="Arial"/>
          <w:bCs/>
          <w:sz w:val="22"/>
          <w:szCs w:val="22"/>
          <w:vertAlign w:val="superscript"/>
        </w:rPr>
        <w:footnoteReference w:id="2"/>
      </w:r>
      <w:r w:rsidRPr="00567482">
        <w:rPr>
          <w:rFonts w:ascii="Arial Narrow" w:hAnsi="Arial Narrow" w:cs="Arial"/>
          <w:bCs/>
          <w:sz w:val="22"/>
          <w:szCs w:val="22"/>
        </w:rPr>
        <w:t xml:space="preserve"> </w:t>
      </w:r>
      <w:r w:rsidRPr="00567482">
        <w:rPr>
          <w:rFonts w:ascii="Arial Narrow" w:hAnsi="Arial Narrow" w:cs="Arial"/>
          <w:sz w:val="22"/>
          <w:szCs w:val="22"/>
        </w:rPr>
        <w:t>o európskom systéme integrovanej štatistiky sociálnej ochrany (ESSPROS)</w:t>
      </w:r>
      <w:r w:rsidRPr="00567482">
        <w:rPr>
          <w:rFonts w:ascii="Arial Narrow" w:hAnsi="Arial Narrow" w:cs="Arial"/>
          <w:bCs/>
          <w:sz w:val="22"/>
          <w:szCs w:val="22"/>
        </w:rPr>
        <w:t xml:space="preserve"> a štyroch implementačných nariadení Komisie</w:t>
      </w:r>
      <w:r w:rsidR="002B6787" w:rsidRPr="00567482">
        <w:rPr>
          <w:rFonts w:ascii="Arial Narrow" w:hAnsi="Arial Narrow" w:cs="Arial"/>
          <w:bCs/>
          <w:sz w:val="22"/>
          <w:szCs w:val="22"/>
        </w:rPr>
        <w:t>:</w:t>
      </w:r>
    </w:p>
    <w:p w:rsidR="00A65DBD" w:rsidRPr="00567482" w:rsidRDefault="00A65DBD" w:rsidP="00A65DBD">
      <w:pPr>
        <w:autoSpaceDE w:val="0"/>
        <w:autoSpaceDN w:val="0"/>
        <w:adjustRightInd w:val="0"/>
        <w:jc w:val="both"/>
        <w:rPr>
          <w:rFonts w:ascii="Arial Narrow" w:eastAsia="Arial Unicode MS" w:hAnsi="Arial Narrow" w:cs="Arial"/>
          <w:noProof/>
          <w:sz w:val="22"/>
          <w:szCs w:val="22"/>
        </w:rPr>
      </w:pPr>
      <w:r w:rsidRPr="00567482">
        <w:rPr>
          <w:rFonts w:ascii="Arial Narrow" w:eastAsia="Arial Unicode MS" w:hAnsi="Arial Narrow" w:cs="Arial"/>
          <w:noProof/>
          <w:sz w:val="22"/>
          <w:szCs w:val="22"/>
        </w:rPr>
        <w:t>- Nariadenie Komisie (ES) č. 1322/2007</w:t>
      </w:r>
      <w:r w:rsidRPr="00567482">
        <w:rPr>
          <w:rFonts w:ascii="Arial Narrow" w:eastAsia="Arial Unicode MS" w:hAnsi="Arial Narrow" w:cs="Arial"/>
          <w:noProof/>
          <w:sz w:val="22"/>
          <w:szCs w:val="22"/>
          <w:vertAlign w:val="superscript"/>
        </w:rPr>
        <w:footnoteReference w:id="3"/>
      </w:r>
      <w:r w:rsidRPr="00567482">
        <w:rPr>
          <w:rFonts w:ascii="Arial Narrow" w:eastAsia="Arial Unicode MS" w:hAnsi="Arial Narrow" w:cs="Arial"/>
          <w:noProof/>
          <w:sz w:val="22"/>
          <w:szCs w:val="22"/>
        </w:rPr>
        <w:t xml:space="preserve">, ktorým sa vykonáva nariadenie Európskeho parlamentu a Rady (ES) </w:t>
      </w:r>
      <w:r w:rsidR="00567482">
        <w:rPr>
          <w:rFonts w:ascii="Arial Narrow" w:eastAsia="Arial Unicode MS" w:hAnsi="Arial Narrow" w:cs="Arial"/>
          <w:noProof/>
          <w:sz w:val="22"/>
          <w:szCs w:val="22"/>
        </w:rPr>
        <w:t> </w:t>
      </w:r>
      <w:r w:rsidRPr="00567482">
        <w:rPr>
          <w:rFonts w:ascii="Arial Narrow" w:eastAsia="Arial Unicode MS" w:hAnsi="Arial Narrow" w:cs="Arial"/>
          <w:noProof/>
          <w:sz w:val="22"/>
          <w:szCs w:val="22"/>
        </w:rPr>
        <w:t>č.</w:t>
      </w:r>
      <w:r w:rsidR="00567482">
        <w:rPr>
          <w:rFonts w:ascii="Arial Narrow" w:eastAsia="Arial Unicode MS" w:hAnsi="Arial Narrow" w:cs="Arial"/>
          <w:noProof/>
          <w:sz w:val="22"/>
          <w:szCs w:val="22"/>
        </w:rPr>
        <w:t> </w:t>
      </w:r>
      <w:r w:rsidRPr="00567482">
        <w:rPr>
          <w:rFonts w:ascii="Arial Narrow" w:eastAsia="Arial Unicode MS" w:hAnsi="Arial Narrow" w:cs="Arial"/>
          <w:noProof/>
          <w:sz w:val="22"/>
          <w:szCs w:val="22"/>
        </w:rPr>
        <w:t>458/2007 o európskom systéme integrovanej štatistiky sociálnej ochrany (ESSPROS), pokiaľ ide o vhodné formáty na zasielanie údajov, zasielané výsledky a kritériá merania kvality pre základný systém ESSPROS a modul o poberateľoch dôchodkov</w:t>
      </w:r>
      <w:r w:rsidR="00F03AEF" w:rsidRPr="00567482">
        <w:rPr>
          <w:rFonts w:ascii="Arial Narrow" w:eastAsia="Arial Unicode MS" w:hAnsi="Arial Narrow" w:cs="Arial"/>
          <w:noProof/>
          <w:sz w:val="22"/>
          <w:szCs w:val="22"/>
        </w:rPr>
        <w:t>;</w:t>
      </w:r>
    </w:p>
    <w:p w:rsidR="00A65DBD" w:rsidRPr="00567482" w:rsidRDefault="00A65DBD" w:rsidP="00A65DBD">
      <w:pPr>
        <w:jc w:val="both"/>
        <w:rPr>
          <w:rFonts w:ascii="Arial Narrow" w:eastAsia="Arial Unicode MS" w:hAnsi="Arial Narrow" w:cs="Arial"/>
          <w:sz w:val="22"/>
          <w:szCs w:val="22"/>
        </w:rPr>
      </w:pPr>
      <w:r w:rsidRPr="00567482">
        <w:rPr>
          <w:rFonts w:ascii="Arial Narrow" w:eastAsia="Arial Unicode MS" w:hAnsi="Arial Narrow" w:cs="Arial"/>
          <w:noProof/>
          <w:sz w:val="22"/>
          <w:szCs w:val="22"/>
        </w:rPr>
        <w:t>- Nariadenie Komisie (ES) č. 10/2008</w:t>
      </w:r>
      <w:r w:rsidRPr="00567482">
        <w:rPr>
          <w:rFonts w:ascii="Arial Narrow" w:eastAsia="Arial Unicode MS" w:hAnsi="Arial Narrow" w:cs="Arial"/>
          <w:noProof/>
          <w:sz w:val="22"/>
          <w:szCs w:val="22"/>
          <w:vertAlign w:val="superscript"/>
        </w:rPr>
        <w:footnoteReference w:id="4"/>
      </w:r>
      <w:r w:rsidRPr="00567482">
        <w:rPr>
          <w:rFonts w:ascii="Arial Narrow" w:eastAsia="Arial Unicode MS" w:hAnsi="Arial Narrow" w:cs="Arial"/>
          <w:noProof/>
          <w:sz w:val="22"/>
          <w:szCs w:val="22"/>
        </w:rPr>
        <w:t>, ktorým sa vykonáva nariadenie Európskeho parlamentu a Rady (ES) č.</w:t>
      </w:r>
      <w:r w:rsidR="00567482">
        <w:rPr>
          <w:rFonts w:ascii="Arial Narrow" w:eastAsia="Arial Unicode MS" w:hAnsi="Arial Narrow" w:cs="Arial"/>
          <w:noProof/>
          <w:sz w:val="22"/>
          <w:szCs w:val="22"/>
        </w:rPr>
        <w:t> </w:t>
      </w:r>
      <w:r w:rsidRPr="00567482">
        <w:rPr>
          <w:rFonts w:ascii="Arial Narrow" w:eastAsia="Arial Unicode MS" w:hAnsi="Arial Narrow" w:cs="Arial"/>
          <w:noProof/>
          <w:sz w:val="22"/>
          <w:szCs w:val="22"/>
        </w:rPr>
        <w:t>458/2007 o európskom systéme integrovanej štatistiky sociálnej ochrany (ESSPROS), pokiaľ ide o vymedzenie pojmov, podrobné klasifikácie a aktualizáciu pravidiel zverejňovania údajov základného systému ESSPROS a</w:t>
      </w:r>
      <w:r w:rsidR="00567482">
        <w:rPr>
          <w:rFonts w:ascii="Arial Narrow" w:eastAsia="Arial Unicode MS" w:hAnsi="Arial Narrow" w:cs="Arial"/>
          <w:noProof/>
          <w:sz w:val="22"/>
          <w:szCs w:val="22"/>
        </w:rPr>
        <w:t> </w:t>
      </w:r>
      <w:r w:rsidRPr="00567482">
        <w:rPr>
          <w:rFonts w:ascii="Arial Narrow" w:eastAsia="Arial Unicode MS" w:hAnsi="Arial Narrow" w:cs="Arial"/>
          <w:noProof/>
          <w:sz w:val="22"/>
          <w:szCs w:val="22"/>
        </w:rPr>
        <w:t>modulu o poberateľoch dôchodkov</w:t>
      </w:r>
      <w:r w:rsidR="00F03AEF" w:rsidRPr="00567482">
        <w:rPr>
          <w:rFonts w:ascii="Arial Narrow" w:eastAsia="Arial Unicode MS" w:hAnsi="Arial Narrow" w:cs="Arial"/>
          <w:noProof/>
          <w:sz w:val="22"/>
          <w:szCs w:val="22"/>
        </w:rPr>
        <w:t>;</w:t>
      </w:r>
    </w:p>
    <w:p w:rsidR="00A65DBD" w:rsidRPr="00567482" w:rsidRDefault="00A65DBD" w:rsidP="00A65DBD">
      <w:pPr>
        <w:keepNext/>
        <w:jc w:val="both"/>
        <w:outlineLvl w:val="1"/>
        <w:rPr>
          <w:rFonts w:ascii="Arial Narrow" w:hAnsi="Arial Narrow" w:cs="Arial"/>
          <w:bCs/>
          <w:sz w:val="22"/>
          <w:szCs w:val="22"/>
        </w:rPr>
      </w:pPr>
      <w:r w:rsidRPr="00567482">
        <w:rPr>
          <w:rFonts w:ascii="Arial Narrow" w:hAnsi="Arial Narrow" w:cs="Arial"/>
          <w:bCs/>
          <w:sz w:val="22"/>
          <w:szCs w:val="22"/>
        </w:rPr>
        <w:t>- Nariadenie Komisie (EÚ) č. 110/2011</w:t>
      </w:r>
      <w:r w:rsidRPr="00567482">
        <w:rPr>
          <w:rFonts w:ascii="Arial Narrow" w:hAnsi="Arial Narrow" w:cs="Arial"/>
          <w:bCs/>
          <w:sz w:val="22"/>
          <w:szCs w:val="22"/>
          <w:vertAlign w:val="superscript"/>
        </w:rPr>
        <w:footnoteReference w:id="5"/>
      </w:r>
      <w:r w:rsidRPr="00567482">
        <w:rPr>
          <w:rFonts w:ascii="Arial Narrow" w:hAnsi="Arial Narrow" w:cs="Arial"/>
          <w:bCs/>
          <w:sz w:val="22"/>
          <w:szCs w:val="22"/>
        </w:rPr>
        <w:t xml:space="preserve"> z 8. februára 2011, ktorým sa vykonáva nariadenie Európskeho parlamentu a Rady (ES) č.  458/2007 o európskom systéme integrovanej štatistiky sociálnej ochrany (ESSPROS), pokiaľ ide o vhodné formáty na zasielanie údajov, zasielané výsledky a kritériá merania kvality pre modul systému ESSPROS o čistých dávkach sociálnej ochrany</w:t>
      </w:r>
      <w:r w:rsidR="00F03AEF" w:rsidRPr="00567482">
        <w:rPr>
          <w:rFonts w:ascii="Arial Narrow" w:hAnsi="Arial Narrow" w:cs="Arial"/>
          <w:bCs/>
          <w:sz w:val="22"/>
          <w:szCs w:val="22"/>
        </w:rPr>
        <w:t>;</w:t>
      </w:r>
    </w:p>
    <w:p w:rsidR="00A65DBD" w:rsidRPr="00567482" w:rsidRDefault="00A65DBD" w:rsidP="00A65DBD">
      <w:pPr>
        <w:jc w:val="both"/>
        <w:rPr>
          <w:rFonts w:ascii="Arial Narrow" w:hAnsi="Arial Narrow" w:cs="Arial"/>
          <w:bCs/>
          <w:sz w:val="22"/>
          <w:szCs w:val="22"/>
        </w:rPr>
      </w:pPr>
      <w:r w:rsidRPr="00567482">
        <w:rPr>
          <w:rFonts w:ascii="Arial Narrow" w:hAnsi="Arial Narrow" w:cs="Arial"/>
          <w:bCs/>
          <w:sz w:val="22"/>
          <w:szCs w:val="22"/>
        </w:rPr>
        <w:t>- Nariadenie Komisie (EÚ) č. 263/2011</w:t>
      </w:r>
      <w:r w:rsidRPr="00567482">
        <w:rPr>
          <w:rFonts w:ascii="Arial Narrow" w:hAnsi="Arial Narrow" w:cs="Arial"/>
          <w:bCs/>
          <w:sz w:val="22"/>
          <w:szCs w:val="22"/>
          <w:vertAlign w:val="superscript"/>
        </w:rPr>
        <w:footnoteReference w:id="6"/>
      </w:r>
      <w:r w:rsidRPr="00567482">
        <w:rPr>
          <w:rFonts w:ascii="Arial Narrow" w:hAnsi="Arial Narrow" w:cs="Arial"/>
          <w:bCs/>
          <w:sz w:val="22"/>
          <w:szCs w:val="22"/>
        </w:rPr>
        <w:t xml:space="preserve"> zo 17. marca 2011, ktorým sa vykonáva nariadenie Európskeho parlamentu a Rady (ES) č. 458/2007 o európskom systéme integrovanej štatistiky sociálnej ochrany (ESSPROS), pokiaľ ide o</w:t>
      </w:r>
      <w:r w:rsidR="00567482">
        <w:rPr>
          <w:rFonts w:ascii="Arial Narrow" w:hAnsi="Arial Narrow" w:cs="Arial"/>
          <w:bCs/>
          <w:sz w:val="22"/>
          <w:szCs w:val="22"/>
        </w:rPr>
        <w:t> </w:t>
      </w:r>
      <w:r w:rsidRPr="00567482">
        <w:rPr>
          <w:rFonts w:ascii="Arial Narrow" w:hAnsi="Arial Narrow" w:cs="Arial"/>
          <w:bCs/>
          <w:sz w:val="22"/>
          <w:szCs w:val="22"/>
        </w:rPr>
        <w:t>začiatok zberu úplných údajov pre modul systému ESSPROS o čistých dávkach sociálnej ochrany.</w:t>
      </w:r>
    </w:p>
    <w:p w:rsidR="00A65DBD" w:rsidRPr="00567482" w:rsidRDefault="00A65DBD" w:rsidP="00A65DBD">
      <w:pPr>
        <w:rPr>
          <w:rFonts w:ascii="Arial Narrow" w:hAnsi="Arial Narrow" w:cs="Arial"/>
          <w:b/>
          <w:sz w:val="22"/>
          <w:szCs w:val="22"/>
        </w:rPr>
      </w:pPr>
    </w:p>
    <w:p w:rsidR="00A65DBD" w:rsidRPr="00567482" w:rsidRDefault="00A65DBD" w:rsidP="00A65DBD">
      <w:pPr>
        <w:keepNext/>
        <w:outlineLvl w:val="1"/>
        <w:rPr>
          <w:rFonts w:ascii="Arial Narrow" w:hAnsi="Arial Narrow" w:cs="Arial"/>
          <w:sz w:val="22"/>
          <w:szCs w:val="22"/>
        </w:rPr>
      </w:pPr>
      <w:r w:rsidRPr="00567482">
        <w:rPr>
          <w:rFonts w:ascii="Arial Narrow" w:hAnsi="Arial Narrow" w:cs="Arial"/>
          <w:sz w:val="22"/>
          <w:szCs w:val="22"/>
        </w:rPr>
        <w:t xml:space="preserve">Štatistický systém ESSPROS pozostáva z nasledovných modulov: </w:t>
      </w:r>
    </w:p>
    <w:p w:rsidR="00A65DBD" w:rsidRPr="00567482" w:rsidRDefault="00A65DBD" w:rsidP="0020351B">
      <w:pPr>
        <w:pStyle w:val="Odsekzoznamu"/>
        <w:keepNext/>
        <w:numPr>
          <w:ilvl w:val="0"/>
          <w:numId w:val="2"/>
        </w:numPr>
        <w:rPr>
          <w:rFonts w:ascii="Arial Narrow" w:hAnsi="Arial Narrow" w:cs="Arial"/>
          <w:sz w:val="22"/>
          <w:szCs w:val="22"/>
        </w:rPr>
      </w:pPr>
      <w:r w:rsidRPr="00567482">
        <w:rPr>
          <w:rFonts w:ascii="Arial Narrow" w:hAnsi="Arial Narrow" w:cs="Arial"/>
          <w:sz w:val="22"/>
          <w:szCs w:val="22"/>
        </w:rPr>
        <w:t>Príjmy a výdavky na sociálnu ochranu</w:t>
      </w:r>
      <w:r w:rsidR="00135907" w:rsidRPr="00567482">
        <w:rPr>
          <w:rFonts w:ascii="Arial Narrow" w:hAnsi="Arial Narrow" w:cs="Arial"/>
          <w:sz w:val="22"/>
          <w:szCs w:val="22"/>
        </w:rPr>
        <w:t>,</w:t>
      </w:r>
    </w:p>
    <w:p w:rsidR="00A65DBD" w:rsidRPr="00567482" w:rsidRDefault="00A65DBD" w:rsidP="0020351B">
      <w:pPr>
        <w:pStyle w:val="Odsekzoznamu"/>
        <w:keepNext/>
        <w:numPr>
          <w:ilvl w:val="0"/>
          <w:numId w:val="2"/>
        </w:numPr>
        <w:rPr>
          <w:rFonts w:ascii="Arial Narrow" w:hAnsi="Arial Narrow" w:cs="Arial"/>
          <w:sz w:val="22"/>
          <w:szCs w:val="22"/>
        </w:rPr>
      </w:pPr>
      <w:r w:rsidRPr="00567482">
        <w:rPr>
          <w:rFonts w:ascii="Arial Narrow" w:hAnsi="Arial Narrow" w:cs="Arial"/>
          <w:sz w:val="22"/>
          <w:szCs w:val="22"/>
        </w:rPr>
        <w:t>Kvalitatívne informácie</w:t>
      </w:r>
      <w:r w:rsidR="0064502C" w:rsidRPr="00567482">
        <w:rPr>
          <w:rFonts w:ascii="Arial Narrow" w:hAnsi="Arial Narrow" w:cs="Arial"/>
          <w:sz w:val="22"/>
          <w:szCs w:val="22"/>
        </w:rPr>
        <w:t xml:space="preserve"> (popisy programov sociálnej ochrany a popisy vyplácaných dávok)</w:t>
      </w:r>
      <w:r w:rsidR="00135907" w:rsidRPr="00567482">
        <w:rPr>
          <w:rFonts w:ascii="Arial Narrow" w:hAnsi="Arial Narrow" w:cs="Arial"/>
          <w:sz w:val="22"/>
          <w:szCs w:val="22"/>
        </w:rPr>
        <w:t>,</w:t>
      </w:r>
    </w:p>
    <w:p w:rsidR="00A65DBD" w:rsidRPr="00567482" w:rsidRDefault="00A65DBD" w:rsidP="0020351B">
      <w:pPr>
        <w:pStyle w:val="Odsekzoznamu"/>
        <w:keepNext/>
        <w:numPr>
          <w:ilvl w:val="0"/>
          <w:numId w:val="2"/>
        </w:numPr>
        <w:rPr>
          <w:rFonts w:ascii="Arial Narrow" w:hAnsi="Arial Narrow" w:cs="Arial"/>
          <w:sz w:val="22"/>
          <w:szCs w:val="22"/>
        </w:rPr>
      </w:pPr>
      <w:r w:rsidRPr="00567482">
        <w:rPr>
          <w:rFonts w:ascii="Arial Narrow" w:hAnsi="Arial Narrow" w:cs="Arial"/>
          <w:sz w:val="22"/>
          <w:szCs w:val="22"/>
        </w:rPr>
        <w:t>Počet poberateľov dôchodkov s elimináciou duplicity</w:t>
      </w:r>
      <w:r w:rsidR="00135907" w:rsidRPr="00567482">
        <w:rPr>
          <w:rFonts w:ascii="Arial Narrow" w:hAnsi="Arial Narrow" w:cs="Arial"/>
          <w:sz w:val="22"/>
          <w:szCs w:val="22"/>
        </w:rPr>
        <w:t>,</w:t>
      </w:r>
    </w:p>
    <w:p w:rsidR="00A65DBD" w:rsidRPr="00567482" w:rsidRDefault="00A65DBD" w:rsidP="0020351B">
      <w:pPr>
        <w:pStyle w:val="Odsekzoznamu"/>
        <w:keepNext/>
        <w:numPr>
          <w:ilvl w:val="0"/>
          <w:numId w:val="2"/>
        </w:numPr>
        <w:rPr>
          <w:rFonts w:ascii="Arial Narrow" w:hAnsi="Arial Narrow" w:cs="Arial"/>
          <w:sz w:val="22"/>
          <w:szCs w:val="22"/>
        </w:rPr>
      </w:pPr>
      <w:r w:rsidRPr="00567482">
        <w:rPr>
          <w:rFonts w:ascii="Arial Narrow" w:hAnsi="Arial Narrow" w:cs="Arial"/>
          <w:sz w:val="22"/>
          <w:szCs w:val="22"/>
        </w:rPr>
        <w:t>Čisté výdavky na sociálne dávky.</w:t>
      </w:r>
    </w:p>
    <w:p w:rsidR="00A65DBD" w:rsidRPr="00567482" w:rsidRDefault="00A65DBD" w:rsidP="00A65DBD">
      <w:pPr>
        <w:rPr>
          <w:rFonts w:ascii="Arial Narrow" w:hAnsi="Arial Narrow" w:cs="Arial"/>
          <w:sz w:val="22"/>
          <w:szCs w:val="22"/>
        </w:rPr>
      </w:pPr>
    </w:p>
    <w:p w:rsidR="00021298" w:rsidRPr="00567482" w:rsidRDefault="00021298">
      <w:pPr>
        <w:jc w:val="both"/>
        <w:rPr>
          <w:rFonts w:ascii="Arial Narrow" w:hAnsi="Arial Narrow" w:cs="Arial"/>
          <w:sz w:val="22"/>
          <w:szCs w:val="22"/>
        </w:rPr>
      </w:pPr>
      <w:r w:rsidRPr="00567482">
        <w:rPr>
          <w:rFonts w:ascii="Arial Narrow" w:hAnsi="Arial Narrow" w:cs="Arial"/>
          <w:sz w:val="22"/>
          <w:szCs w:val="22"/>
        </w:rPr>
        <w:t>Sociálna ochrana zahŕňa všetky intervencie z verejných a súkromných organizácií, ktorých cieľom je oslobodiť domácnosti</w:t>
      </w:r>
      <w:r w:rsidR="00567482">
        <w:rPr>
          <w:rFonts w:ascii="Arial Narrow" w:hAnsi="Arial Narrow" w:cs="Arial"/>
          <w:sz w:val="22"/>
          <w:szCs w:val="22"/>
        </w:rPr>
        <w:t xml:space="preserve"> </w:t>
      </w:r>
      <w:r w:rsidRPr="00567482">
        <w:rPr>
          <w:rFonts w:ascii="Arial Narrow" w:hAnsi="Arial Narrow" w:cs="Arial"/>
          <w:sz w:val="22"/>
          <w:szCs w:val="22"/>
        </w:rPr>
        <w:t>a jednotlivcov od bremena stanoveného balíka rizík alebo potrieb za predpokladu, že neexistuje iná paralelná recipročná ani individuálna dohoda.</w:t>
      </w:r>
    </w:p>
    <w:p w:rsidR="00021298" w:rsidRPr="00567482" w:rsidRDefault="00021298">
      <w:pPr>
        <w:jc w:val="both"/>
        <w:rPr>
          <w:rFonts w:ascii="Arial Narrow" w:hAnsi="Arial Narrow" w:cs="Arial"/>
          <w:sz w:val="22"/>
          <w:szCs w:val="22"/>
        </w:rPr>
      </w:pPr>
    </w:p>
    <w:p w:rsidR="007B7C5E" w:rsidRDefault="007B7C5E" w:rsidP="007B7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Courier New"/>
          <w:sz w:val="22"/>
          <w:szCs w:val="22"/>
          <w:lang w:eastAsia="sk-SK"/>
        </w:rPr>
      </w:pPr>
      <w:r w:rsidRPr="00567482">
        <w:rPr>
          <w:rFonts w:ascii="Arial Narrow" w:hAnsi="Arial Narrow" w:cs="Courier New"/>
          <w:sz w:val="22"/>
          <w:szCs w:val="22"/>
          <w:lang w:eastAsia="sk-SK"/>
        </w:rPr>
        <w:t>Európsky systém národných a regionálnych účtov (ESA 2010) nahradil predchádz</w:t>
      </w:r>
      <w:r w:rsidR="00995DD3" w:rsidRPr="00567482">
        <w:rPr>
          <w:rFonts w:ascii="Arial Narrow" w:hAnsi="Arial Narrow" w:cs="Courier New"/>
          <w:sz w:val="22"/>
          <w:szCs w:val="22"/>
          <w:lang w:eastAsia="sk-SK"/>
        </w:rPr>
        <w:t xml:space="preserve">ajúci štandard ESA 1995. </w:t>
      </w:r>
      <w:r w:rsidRPr="00567482">
        <w:rPr>
          <w:rFonts w:ascii="Arial Narrow" w:hAnsi="Arial Narrow" w:cs="Courier New"/>
          <w:sz w:val="22"/>
          <w:szCs w:val="22"/>
          <w:lang w:eastAsia="sk-SK"/>
        </w:rPr>
        <w:t>Táto zmena nepriamo ovplyvnila aj  štatistický systém  ESSPROS. Väčšina  členských štátov EÚ zohľadnila túto zmenu revíziou svojich ESSPROS údajov.</w:t>
      </w:r>
      <w:r w:rsidR="000E7EAD" w:rsidRPr="00567482">
        <w:rPr>
          <w:rFonts w:ascii="Arial Narrow" w:hAnsi="Arial Narrow" w:cs="Courier New"/>
          <w:sz w:val="22"/>
          <w:szCs w:val="22"/>
          <w:lang w:eastAsia="sk-SK"/>
        </w:rPr>
        <w:t xml:space="preserve"> V SR </w:t>
      </w:r>
      <w:r w:rsidR="00995DD3" w:rsidRPr="00567482">
        <w:rPr>
          <w:rFonts w:ascii="Arial Narrow" w:hAnsi="Arial Narrow" w:cs="Courier New"/>
          <w:sz w:val="22"/>
          <w:szCs w:val="22"/>
          <w:lang w:eastAsia="sk-SK"/>
        </w:rPr>
        <w:t xml:space="preserve">sa </w:t>
      </w:r>
      <w:r w:rsidR="00A066A4" w:rsidRPr="00567482">
        <w:rPr>
          <w:rFonts w:ascii="Arial Narrow" w:hAnsi="Arial Narrow" w:cs="Courier New"/>
          <w:sz w:val="22"/>
          <w:szCs w:val="22"/>
          <w:lang w:eastAsia="sk-SK"/>
        </w:rPr>
        <w:t xml:space="preserve">prvýkrát </w:t>
      </w:r>
      <w:r w:rsidR="000E7EAD" w:rsidRPr="00567482">
        <w:rPr>
          <w:rFonts w:ascii="Arial Narrow" w:hAnsi="Arial Narrow" w:cs="Courier New"/>
          <w:sz w:val="22"/>
          <w:szCs w:val="22"/>
          <w:lang w:eastAsia="sk-SK"/>
        </w:rPr>
        <w:t xml:space="preserve">realizoval </w:t>
      </w:r>
      <w:r w:rsidR="00A066A4" w:rsidRPr="00567482">
        <w:rPr>
          <w:rFonts w:ascii="Arial Narrow" w:hAnsi="Arial Narrow" w:cs="Courier New"/>
          <w:sz w:val="22"/>
          <w:szCs w:val="22"/>
          <w:lang w:eastAsia="sk-SK"/>
        </w:rPr>
        <w:t xml:space="preserve">zber údajov </w:t>
      </w:r>
      <w:r w:rsidR="000E7EAD" w:rsidRPr="00567482">
        <w:rPr>
          <w:rFonts w:ascii="Arial Narrow" w:hAnsi="Arial Narrow" w:cs="Courier New"/>
          <w:sz w:val="22"/>
          <w:szCs w:val="22"/>
          <w:lang w:eastAsia="sk-SK"/>
        </w:rPr>
        <w:t>v súlade s</w:t>
      </w:r>
      <w:r w:rsidR="00A066A4" w:rsidRPr="00567482">
        <w:rPr>
          <w:rFonts w:ascii="Arial Narrow" w:hAnsi="Arial Narrow" w:cs="Courier New"/>
          <w:sz w:val="22"/>
          <w:szCs w:val="22"/>
          <w:lang w:eastAsia="sk-SK"/>
        </w:rPr>
        <w:t xml:space="preserve"> metodikou </w:t>
      </w:r>
      <w:r w:rsidR="000E7EAD" w:rsidRPr="00567482">
        <w:rPr>
          <w:rFonts w:ascii="Arial Narrow" w:hAnsi="Arial Narrow" w:cs="Courier New"/>
          <w:sz w:val="22"/>
          <w:szCs w:val="22"/>
          <w:lang w:eastAsia="sk-SK"/>
        </w:rPr>
        <w:t>ESA 2010 za rok 2015 za ukazovatele sociálnych príspevkov podľa číselníka ESU 2010</w:t>
      </w:r>
      <w:r w:rsidRPr="00567482">
        <w:rPr>
          <w:rFonts w:ascii="Arial Narrow" w:hAnsi="Arial Narrow" w:cs="Courier New"/>
          <w:sz w:val="22"/>
          <w:szCs w:val="22"/>
          <w:lang w:eastAsia="sk-SK"/>
        </w:rPr>
        <w:t>.</w:t>
      </w:r>
    </w:p>
    <w:p w:rsidR="006919C5" w:rsidRDefault="006919C5" w:rsidP="007B7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Courier New"/>
          <w:sz w:val="22"/>
          <w:szCs w:val="22"/>
          <w:lang w:eastAsia="sk-SK"/>
        </w:rPr>
      </w:pPr>
    </w:p>
    <w:p w:rsidR="006919C5" w:rsidRDefault="006919C5" w:rsidP="007B7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w:sz w:val="22"/>
          <w:szCs w:val="22"/>
        </w:rPr>
      </w:pPr>
    </w:p>
    <w:p w:rsidR="006919C5" w:rsidRDefault="006919C5" w:rsidP="007B7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w:sz w:val="22"/>
          <w:szCs w:val="22"/>
        </w:rPr>
      </w:pPr>
    </w:p>
    <w:p w:rsidR="00AA7B25" w:rsidRDefault="00AA7B25" w:rsidP="007B3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w:sz w:val="22"/>
          <w:szCs w:val="22"/>
        </w:rPr>
      </w:pPr>
    </w:p>
    <w:p w:rsidR="00061A5E" w:rsidRDefault="006919C5" w:rsidP="007B3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w:sz w:val="20"/>
          <w:szCs w:val="20"/>
        </w:rPr>
      </w:pPr>
      <w:r w:rsidRPr="00567482">
        <w:rPr>
          <w:rFonts w:ascii="Arial Narrow" w:hAnsi="Arial Narrow" w:cs="Arial"/>
          <w:sz w:val="22"/>
          <w:szCs w:val="22"/>
        </w:rPr>
        <w:lastRenderedPageBreak/>
        <w:t xml:space="preserve">Publikácia </w:t>
      </w:r>
      <w:r w:rsidR="00F16C8C">
        <w:rPr>
          <w:rFonts w:ascii="Arial Narrow" w:hAnsi="Arial Narrow" w:cs="Arial"/>
          <w:sz w:val="22"/>
          <w:szCs w:val="22"/>
        </w:rPr>
        <w:t>„</w:t>
      </w:r>
      <w:r w:rsidR="00F16C8C" w:rsidRPr="00F16C8C">
        <w:rPr>
          <w:rFonts w:ascii="Arial Narrow" w:hAnsi="Arial Narrow" w:cs="Arial"/>
          <w:sz w:val="22"/>
          <w:szCs w:val="22"/>
        </w:rPr>
        <w:t>Sociálna ochrana v Slovenskej republike v roku 2019 (podľa metodiky ESSPROS)</w:t>
      </w:r>
      <w:r w:rsidR="00F16C8C">
        <w:rPr>
          <w:rFonts w:ascii="Arial Narrow" w:hAnsi="Arial Narrow" w:cs="Arial"/>
          <w:sz w:val="22"/>
          <w:szCs w:val="22"/>
        </w:rPr>
        <w:t>“</w:t>
      </w:r>
      <w:r w:rsidR="007B35F5">
        <w:rPr>
          <w:rFonts w:ascii="Arial Narrow" w:hAnsi="Arial Narrow" w:cs="Arial"/>
          <w:sz w:val="22"/>
          <w:szCs w:val="22"/>
        </w:rPr>
        <w:t xml:space="preserve"> </w:t>
      </w:r>
      <w:r w:rsidRPr="00567482">
        <w:rPr>
          <w:rFonts w:ascii="Arial Narrow" w:hAnsi="Arial Narrow" w:cs="Arial"/>
          <w:sz w:val="22"/>
          <w:szCs w:val="22"/>
        </w:rPr>
        <w:t xml:space="preserve">zaznamenáva hlavné trendy vývoja sociálnej ochrany v Slovenskej republike (v sumáre za programy sociálnej ochrany), v členských štátoch </w:t>
      </w:r>
      <w:r>
        <w:rPr>
          <w:rFonts w:ascii="Arial Narrow" w:hAnsi="Arial Narrow" w:cs="Arial"/>
          <w:sz w:val="22"/>
          <w:szCs w:val="22"/>
        </w:rPr>
        <w:t>EÚ a prístupových krajinách EÚ.</w:t>
      </w:r>
      <w:r w:rsidR="00F16C8C">
        <w:rPr>
          <w:rFonts w:ascii="Arial Narrow" w:hAnsi="Arial Narrow" w:cs="Arial"/>
          <w:sz w:val="22"/>
          <w:szCs w:val="22"/>
        </w:rPr>
        <w:t xml:space="preserve"> Obsahuje</w:t>
      </w:r>
      <w:r w:rsidR="002D768A" w:rsidRPr="002D768A">
        <w:rPr>
          <w:rFonts w:ascii="Arial Narrow" w:hAnsi="Arial Narrow" w:cs="Arial"/>
          <w:sz w:val="22"/>
          <w:szCs w:val="22"/>
        </w:rPr>
        <w:t xml:space="preserve"> </w:t>
      </w:r>
      <w:r w:rsidR="002D768A">
        <w:rPr>
          <w:rFonts w:ascii="Arial Narrow" w:hAnsi="Arial Narrow" w:cs="Arial"/>
          <w:sz w:val="22"/>
          <w:szCs w:val="22"/>
        </w:rPr>
        <w:t>a</w:t>
      </w:r>
      <w:r w:rsidR="002D768A" w:rsidRPr="002D768A">
        <w:rPr>
          <w:rFonts w:ascii="Arial Narrow" w:hAnsi="Arial Narrow" w:cs="Arial"/>
          <w:sz w:val="22"/>
          <w:szCs w:val="22"/>
        </w:rPr>
        <w:t>nalýz</w:t>
      </w:r>
      <w:r w:rsidR="002D768A">
        <w:rPr>
          <w:rFonts w:ascii="Arial Narrow" w:hAnsi="Arial Narrow" w:cs="Arial"/>
          <w:sz w:val="22"/>
          <w:szCs w:val="22"/>
        </w:rPr>
        <w:t>u</w:t>
      </w:r>
      <w:r w:rsidR="002D768A" w:rsidRPr="002D768A">
        <w:rPr>
          <w:rFonts w:ascii="Arial Narrow" w:hAnsi="Arial Narrow" w:cs="Arial"/>
          <w:sz w:val="22"/>
          <w:szCs w:val="22"/>
        </w:rPr>
        <w:t xml:space="preserve"> príjmov a výdavkov na sociálnu ochranu a</w:t>
      </w:r>
      <w:r w:rsidR="002D768A">
        <w:rPr>
          <w:rFonts w:ascii="Arial Narrow" w:hAnsi="Arial Narrow" w:cs="Arial"/>
          <w:sz w:val="22"/>
          <w:szCs w:val="22"/>
        </w:rPr>
        <w:t> </w:t>
      </w:r>
      <w:r w:rsidR="002D768A" w:rsidRPr="002D768A">
        <w:rPr>
          <w:rFonts w:ascii="Arial Narrow" w:hAnsi="Arial Narrow" w:cs="Arial"/>
          <w:sz w:val="22"/>
          <w:szCs w:val="22"/>
        </w:rPr>
        <w:t>údajov</w:t>
      </w:r>
      <w:r w:rsidR="002D768A">
        <w:rPr>
          <w:rFonts w:ascii="Arial Narrow" w:hAnsi="Arial Narrow" w:cs="Arial"/>
          <w:sz w:val="22"/>
          <w:szCs w:val="22"/>
        </w:rPr>
        <w:t xml:space="preserve"> </w:t>
      </w:r>
      <w:r w:rsidR="002D768A" w:rsidRPr="002D768A">
        <w:rPr>
          <w:rFonts w:ascii="Arial Narrow" w:hAnsi="Arial Narrow" w:cs="Arial"/>
          <w:sz w:val="22"/>
          <w:szCs w:val="22"/>
        </w:rPr>
        <w:t>o poberate</w:t>
      </w:r>
      <w:r w:rsidR="007B35F5">
        <w:rPr>
          <w:rFonts w:ascii="Arial Narrow" w:hAnsi="Arial Narrow" w:cs="Arial"/>
          <w:sz w:val="22"/>
          <w:szCs w:val="22"/>
        </w:rPr>
        <w:t>ľ</w:t>
      </w:r>
      <w:r w:rsidR="002D768A" w:rsidRPr="002D768A">
        <w:rPr>
          <w:rFonts w:ascii="Arial Narrow" w:hAnsi="Arial Narrow" w:cs="Arial"/>
          <w:sz w:val="22"/>
          <w:szCs w:val="22"/>
        </w:rPr>
        <w:t>och dôchodkov v Slovenskej republike v</w:t>
      </w:r>
      <w:r w:rsidR="007B35F5">
        <w:rPr>
          <w:rFonts w:ascii="Arial Narrow" w:hAnsi="Arial Narrow" w:cs="Arial"/>
          <w:sz w:val="22"/>
          <w:szCs w:val="22"/>
        </w:rPr>
        <w:t> </w:t>
      </w:r>
      <w:r w:rsidR="002D768A" w:rsidRPr="002D768A">
        <w:rPr>
          <w:rFonts w:ascii="Arial Narrow" w:hAnsi="Arial Narrow" w:cs="Arial"/>
          <w:sz w:val="22"/>
          <w:szCs w:val="22"/>
        </w:rPr>
        <w:t>roku</w:t>
      </w:r>
      <w:r w:rsidR="007B35F5">
        <w:rPr>
          <w:rFonts w:ascii="Arial Narrow" w:hAnsi="Arial Narrow" w:cs="Arial"/>
          <w:sz w:val="22"/>
          <w:szCs w:val="22"/>
        </w:rPr>
        <w:t xml:space="preserve"> </w:t>
      </w:r>
      <w:r w:rsidR="002D768A" w:rsidRPr="002D768A">
        <w:rPr>
          <w:rFonts w:ascii="Arial Narrow" w:hAnsi="Arial Narrow" w:cs="Arial"/>
          <w:sz w:val="22"/>
          <w:szCs w:val="22"/>
        </w:rPr>
        <w:t>2019. Údaje sú spracované v súlade s</w:t>
      </w:r>
      <w:r w:rsidR="007B35F5">
        <w:rPr>
          <w:rFonts w:ascii="Arial Narrow" w:hAnsi="Arial Narrow" w:cs="Arial"/>
          <w:sz w:val="22"/>
          <w:szCs w:val="22"/>
        </w:rPr>
        <w:t> </w:t>
      </w:r>
      <w:r w:rsidR="002D768A" w:rsidRPr="002D768A">
        <w:rPr>
          <w:rFonts w:ascii="Arial Narrow" w:hAnsi="Arial Narrow" w:cs="Arial"/>
          <w:sz w:val="22"/>
          <w:szCs w:val="22"/>
        </w:rPr>
        <w:t>medzinárodne</w:t>
      </w:r>
      <w:r w:rsidR="007B35F5">
        <w:rPr>
          <w:rFonts w:ascii="Arial Narrow" w:hAnsi="Arial Narrow" w:cs="Arial"/>
          <w:sz w:val="22"/>
          <w:szCs w:val="22"/>
        </w:rPr>
        <w:t xml:space="preserve"> </w:t>
      </w:r>
      <w:r w:rsidR="002D768A" w:rsidRPr="002D768A">
        <w:rPr>
          <w:rFonts w:ascii="Arial Narrow" w:hAnsi="Arial Narrow" w:cs="Arial"/>
          <w:sz w:val="22"/>
          <w:szCs w:val="22"/>
        </w:rPr>
        <w:t>porovnate</w:t>
      </w:r>
      <w:r w:rsidR="007B35F5">
        <w:rPr>
          <w:rFonts w:ascii="Arial Narrow" w:hAnsi="Arial Narrow" w:cs="Arial"/>
          <w:sz w:val="22"/>
          <w:szCs w:val="22"/>
        </w:rPr>
        <w:t>ľ</w:t>
      </w:r>
      <w:r w:rsidR="002D768A" w:rsidRPr="002D768A">
        <w:rPr>
          <w:rFonts w:ascii="Arial Narrow" w:hAnsi="Arial Narrow" w:cs="Arial"/>
          <w:sz w:val="22"/>
          <w:szCs w:val="22"/>
        </w:rPr>
        <w:t>nou metodikou ESSPROS (Európsky systém</w:t>
      </w:r>
      <w:r w:rsidR="007B35F5">
        <w:rPr>
          <w:rFonts w:ascii="Arial Narrow" w:hAnsi="Arial Narrow" w:cs="Arial"/>
          <w:sz w:val="22"/>
          <w:szCs w:val="22"/>
        </w:rPr>
        <w:t xml:space="preserve"> </w:t>
      </w:r>
      <w:r w:rsidR="002D768A" w:rsidRPr="002D768A">
        <w:rPr>
          <w:rFonts w:ascii="Arial Narrow" w:hAnsi="Arial Narrow" w:cs="Arial"/>
          <w:sz w:val="22"/>
          <w:szCs w:val="22"/>
        </w:rPr>
        <w:t xml:space="preserve">integrovanej štatistiky sociálnej ochrany). </w:t>
      </w:r>
      <w:r w:rsidR="007B7FAB">
        <w:rPr>
          <w:rFonts w:ascii="Arial Narrow" w:hAnsi="Arial Narrow" w:cs="Arial"/>
          <w:sz w:val="22"/>
          <w:szCs w:val="22"/>
        </w:rPr>
        <w:t>P</w:t>
      </w:r>
      <w:r w:rsidR="00A65DBD" w:rsidRPr="00567482">
        <w:rPr>
          <w:rFonts w:ascii="Arial Narrow" w:hAnsi="Arial Narrow" w:cs="Arial"/>
          <w:sz w:val="22"/>
          <w:szCs w:val="22"/>
        </w:rPr>
        <w:t>ublikáciu dopĺňajú tabuľky</w:t>
      </w:r>
      <w:r w:rsidR="00135907" w:rsidRPr="00567482">
        <w:rPr>
          <w:rFonts w:ascii="Arial Narrow" w:hAnsi="Arial Narrow" w:cs="Arial"/>
          <w:sz w:val="22"/>
          <w:szCs w:val="22"/>
        </w:rPr>
        <w:t xml:space="preserve"> a </w:t>
      </w:r>
      <w:r w:rsidR="00A65DBD" w:rsidRPr="00567482">
        <w:rPr>
          <w:rFonts w:ascii="Arial Narrow" w:hAnsi="Arial Narrow" w:cs="Arial"/>
          <w:sz w:val="22"/>
          <w:szCs w:val="22"/>
        </w:rPr>
        <w:t>grafy</w:t>
      </w:r>
      <w:r w:rsidR="00135907" w:rsidRPr="00567482">
        <w:rPr>
          <w:rFonts w:ascii="Arial Narrow" w:hAnsi="Arial Narrow" w:cs="Arial"/>
          <w:sz w:val="22"/>
          <w:szCs w:val="22"/>
        </w:rPr>
        <w:t>.</w:t>
      </w:r>
    </w:p>
    <w:p w:rsidR="00EC1897" w:rsidRDefault="00EC1897">
      <w:pPr>
        <w:jc w:val="both"/>
        <w:rPr>
          <w:rFonts w:ascii="Arial Narrow" w:hAnsi="Arial Narrow" w:cs="Arial"/>
          <w:sz w:val="20"/>
          <w:szCs w:val="20"/>
        </w:rPr>
      </w:pPr>
    </w:p>
    <w:p w:rsidR="009A1796" w:rsidRDefault="009A1796">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7B35F5" w:rsidRDefault="007B35F5">
      <w:pPr>
        <w:jc w:val="both"/>
        <w:rPr>
          <w:rFonts w:ascii="Arial Narrow" w:hAnsi="Arial Narrow" w:cs="Arial"/>
          <w:sz w:val="20"/>
          <w:szCs w:val="20"/>
        </w:rPr>
      </w:pPr>
    </w:p>
    <w:p w:rsidR="00CE385A" w:rsidRPr="00995DD3" w:rsidRDefault="00CE385A">
      <w:pPr>
        <w:jc w:val="both"/>
        <w:rPr>
          <w:rFonts w:ascii="Arial Narrow" w:hAnsi="Arial Narrow" w:cs="Arial"/>
          <w:sz w:val="20"/>
          <w:szCs w:val="20"/>
        </w:rPr>
      </w:pPr>
    </w:p>
    <w:p w:rsidR="00747A64" w:rsidRDefault="00747A64" w:rsidP="00DE7883">
      <w:pPr>
        <w:jc w:val="both"/>
        <w:rPr>
          <w:rFonts w:ascii="Arial Narrow" w:hAnsi="Arial Narrow" w:cs="Arial"/>
          <w:sz w:val="20"/>
          <w:szCs w:val="20"/>
        </w:rPr>
      </w:pPr>
    </w:p>
    <w:p w:rsidR="007D5FF6" w:rsidRDefault="007D5FF6" w:rsidP="00DE7883">
      <w:pPr>
        <w:jc w:val="both"/>
        <w:rPr>
          <w:rFonts w:ascii="Arial Narrow" w:hAnsi="Arial Narrow" w:cs="Arial"/>
          <w:sz w:val="20"/>
          <w:szCs w:val="20"/>
        </w:rPr>
      </w:pPr>
    </w:p>
    <w:p w:rsidR="007D5FF6" w:rsidRDefault="007D5FF6" w:rsidP="00DE7883">
      <w:pPr>
        <w:jc w:val="both"/>
        <w:rPr>
          <w:rFonts w:ascii="Arial Narrow" w:hAnsi="Arial Narrow" w:cs="Arial"/>
          <w:sz w:val="20"/>
          <w:szCs w:val="20"/>
        </w:rPr>
      </w:pPr>
    </w:p>
    <w:p w:rsidR="007821B2" w:rsidRDefault="007821B2" w:rsidP="00DE7883">
      <w:pPr>
        <w:jc w:val="both"/>
        <w:rPr>
          <w:rFonts w:ascii="Arial Narrow" w:hAnsi="Arial Narrow" w:cs="Arial"/>
          <w:sz w:val="20"/>
          <w:szCs w:val="20"/>
        </w:rPr>
      </w:pPr>
    </w:p>
    <w:p w:rsidR="00DE7883" w:rsidRPr="00AA7B25" w:rsidRDefault="000B4797" w:rsidP="00DE7883">
      <w:pPr>
        <w:jc w:val="both"/>
        <w:rPr>
          <w:rFonts w:ascii="Arial Narrow" w:hAnsi="Arial Narrow" w:cs="Arial"/>
        </w:rPr>
      </w:pPr>
      <w:r w:rsidRPr="00AA7B25">
        <w:rPr>
          <w:rFonts w:ascii="Arial Narrow" w:hAnsi="Arial Narrow" w:cs="Arial"/>
          <w:b/>
        </w:rPr>
        <w:lastRenderedPageBreak/>
        <w:t xml:space="preserve">1. </w:t>
      </w:r>
      <w:r w:rsidR="00DE7883" w:rsidRPr="00AA7B25">
        <w:rPr>
          <w:rFonts w:ascii="Arial Narrow" w:hAnsi="Arial Narrow" w:cs="Arial"/>
          <w:b/>
        </w:rPr>
        <w:t xml:space="preserve">Príjmy a výdavky na sociálnu ochranu </w:t>
      </w:r>
      <w:r w:rsidR="00DE7883" w:rsidRPr="00AA7B25">
        <w:rPr>
          <w:rFonts w:ascii="Arial Narrow" w:hAnsi="Arial Narrow" w:cs="Arial"/>
        </w:rPr>
        <w:t>(bez odčítania daní a soc</w:t>
      </w:r>
      <w:r w:rsidR="00B77263" w:rsidRPr="00AA7B25">
        <w:rPr>
          <w:rFonts w:ascii="Arial Narrow" w:hAnsi="Arial Narrow" w:cs="Arial"/>
        </w:rPr>
        <w:t>iálnych</w:t>
      </w:r>
      <w:r w:rsidR="00DE7883" w:rsidRPr="00AA7B25">
        <w:rPr>
          <w:rFonts w:ascii="Arial Narrow" w:hAnsi="Arial Narrow" w:cs="Arial"/>
        </w:rPr>
        <w:t xml:space="preserve"> odvodov</w:t>
      </w:r>
      <w:r w:rsidR="00C76E50" w:rsidRPr="00AA7B25">
        <w:rPr>
          <w:rFonts w:ascii="Arial Narrow" w:hAnsi="Arial Narrow" w:cs="Arial"/>
        </w:rPr>
        <w:t xml:space="preserve"> platených z dávok</w:t>
      </w:r>
      <w:r w:rsidR="00DE7883" w:rsidRPr="00AA7B25">
        <w:rPr>
          <w:rFonts w:ascii="Arial Narrow" w:hAnsi="Arial Narrow" w:cs="Arial"/>
        </w:rPr>
        <w:t>)</w:t>
      </w:r>
    </w:p>
    <w:p w:rsidR="00EC1018" w:rsidRPr="007D5FF6" w:rsidRDefault="00EC1018" w:rsidP="00AC5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w:sz w:val="20"/>
          <w:szCs w:val="20"/>
        </w:rPr>
      </w:pPr>
    </w:p>
    <w:p w:rsidR="002452FC" w:rsidRPr="00676D2B" w:rsidRDefault="002452FC" w:rsidP="00AC5E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w:sz w:val="22"/>
          <w:szCs w:val="22"/>
        </w:rPr>
      </w:pPr>
      <w:r w:rsidRPr="00676D2B">
        <w:rPr>
          <w:rFonts w:ascii="Arial Narrow" w:hAnsi="Arial Narrow" w:cs="Courier New"/>
          <w:sz w:val="22"/>
          <w:szCs w:val="22"/>
          <w:lang w:eastAsia="sk-SK"/>
        </w:rPr>
        <w:t>Metodika „Základného systému" ESSPROS</w:t>
      </w:r>
      <w:r w:rsidR="007D5FF6" w:rsidRPr="00676D2B">
        <w:rPr>
          <w:rFonts w:ascii="Arial Narrow" w:hAnsi="Arial Narrow" w:cs="Courier New"/>
          <w:sz w:val="22"/>
          <w:szCs w:val="22"/>
          <w:lang w:eastAsia="sk-SK"/>
        </w:rPr>
        <w:t>“</w:t>
      </w:r>
      <w:r w:rsidRPr="00676D2B">
        <w:rPr>
          <w:rFonts w:ascii="Arial Narrow" w:hAnsi="Arial Narrow" w:cs="Courier New"/>
          <w:sz w:val="22"/>
          <w:szCs w:val="22"/>
          <w:lang w:eastAsia="sk-SK"/>
        </w:rPr>
        <w:t xml:space="preserve"> stanovuje definície a popisuje triedenie programov sociálnej ochrany za účelom zostavenia </w:t>
      </w:r>
      <w:r w:rsidRPr="00676D2B">
        <w:rPr>
          <w:rFonts w:ascii="Arial Narrow" w:hAnsi="Arial Narrow" w:cs="Courier New"/>
          <w:sz w:val="22"/>
          <w:szCs w:val="22"/>
          <w:u w:val="single"/>
          <w:lang w:eastAsia="sk-SK"/>
        </w:rPr>
        <w:t>účtu systému sociálnej ochrany štátu</w:t>
      </w:r>
      <w:r w:rsidRPr="00676D2B">
        <w:rPr>
          <w:rFonts w:ascii="Arial Narrow" w:hAnsi="Arial Narrow" w:cs="Courier New"/>
          <w:sz w:val="22"/>
          <w:szCs w:val="22"/>
          <w:lang w:eastAsia="sk-SK"/>
        </w:rPr>
        <w:t xml:space="preserve">. Systém sociálnej ochrany tvoria </w:t>
      </w:r>
      <w:r w:rsidRPr="00676D2B">
        <w:rPr>
          <w:rFonts w:ascii="Arial Narrow" w:hAnsi="Arial Narrow" w:cs="Courier New"/>
          <w:sz w:val="22"/>
          <w:szCs w:val="22"/>
          <w:u w:val="single"/>
          <w:lang w:eastAsia="sk-SK"/>
        </w:rPr>
        <w:t>programy sociálnej ochrany</w:t>
      </w:r>
      <w:r w:rsidRPr="00676D2B">
        <w:rPr>
          <w:rFonts w:ascii="Arial Narrow" w:hAnsi="Arial Narrow" w:cs="Courier New"/>
          <w:sz w:val="22"/>
          <w:szCs w:val="22"/>
          <w:lang w:eastAsia="sk-SK"/>
        </w:rPr>
        <w:t xml:space="preserve">. Podmienkou je, </w:t>
      </w:r>
      <w:r w:rsidR="00244694" w:rsidRPr="00676D2B">
        <w:rPr>
          <w:rFonts w:ascii="Arial Narrow" w:hAnsi="Arial Narrow" w:cs="Courier New"/>
          <w:sz w:val="22"/>
          <w:szCs w:val="22"/>
          <w:lang w:eastAsia="sk-SK"/>
        </w:rPr>
        <w:t>aby bolo</w:t>
      </w:r>
      <w:r w:rsidRPr="00676D2B">
        <w:rPr>
          <w:rFonts w:ascii="Arial Narrow" w:hAnsi="Arial Narrow" w:cs="Courier New"/>
          <w:sz w:val="22"/>
          <w:szCs w:val="22"/>
          <w:lang w:eastAsia="sk-SK"/>
        </w:rPr>
        <w:t xml:space="preserve"> možné za takto definovaný program zostaviť osobitný účet príjmov a výdavkov. Za program sa považuje zvláštny súbor pravidiel podporovaných jednou alebo viacerými inštitucionálnymi jednotkami, ktoré riadia úhradu dávok sociálnej ochrany a ich financovania. </w:t>
      </w:r>
      <w:r w:rsidRPr="00676D2B">
        <w:rPr>
          <w:rFonts w:ascii="Arial Narrow" w:hAnsi="Arial Narrow" w:cs="Arial"/>
          <w:sz w:val="22"/>
          <w:szCs w:val="22"/>
        </w:rPr>
        <w:t xml:space="preserve">Zvláštny účet príjmov a výdavkov znamená prístup k celým a rozpísaným záznamom o zdrojoch a použití počas účtovného obdobia. </w:t>
      </w:r>
    </w:p>
    <w:p w:rsidR="00EC1018" w:rsidRPr="00676D2B" w:rsidRDefault="00EC1018" w:rsidP="00EC1018">
      <w:pPr>
        <w:jc w:val="both"/>
        <w:rPr>
          <w:rFonts w:ascii="Arial Narrow" w:hAnsi="Arial Narrow" w:cs="Courier New"/>
          <w:sz w:val="22"/>
          <w:szCs w:val="22"/>
          <w:lang w:eastAsia="sk-SK"/>
        </w:rPr>
      </w:pPr>
    </w:p>
    <w:p w:rsidR="002452FC" w:rsidRPr="00676D2B" w:rsidRDefault="002452FC" w:rsidP="00EC1018">
      <w:pPr>
        <w:jc w:val="both"/>
        <w:rPr>
          <w:rFonts w:ascii="Arial Narrow" w:hAnsi="Arial Narrow" w:cs="Arial"/>
          <w:sz w:val="22"/>
          <w:szCs w:val="22"/>
        </w:rPr>
      </w:pPr>
      <w:r w:rsidRPr="00676D2B">
        <w:rPr>
          <w:rFonts w:ascii="Arial Narrow" w:hAnsi="Arial Narrow" w:cs="Arial"/>
          <w:sz w:val="22"/>
          <w:szCs w:val="22"/>
        </w:rPr>
        <w:t>Programy sociálnej ochrany sa sústreďujú výlučne na prerozdeľovanie a nie na produkciu. Sú podporované inštitucionálnymi jednotkami, sam</w:t>
      </w:r>
      <w:r w:rsidR="0023538D" w:rsidRPr="00676D2B">
        <w:rPr>
          <w:rFonts w:ascii="Arial Narrow" w:hAnsi="Arial Narrow" w:cs="Arial"/>
          <w:sz w:val="22"/>
          <w:szCs w:val="22"/>
        </w:rPr>
        <w:t>y</w:t>
      </w:r>
      <w:r w:rsidRPr="00676D2B">
        <w:rPr>
          <w:rFonts w:ascii="Arial Narrow" w:hAnsi="Arial Narrow" w:cs="Arial"/>
          <w:sz w:val="22"/>
          <w:szCs w:val="22"/>
        </w:rPr>
        <w:t xml:space="preserve"> inštitucionálnymi jednotkami nie sú.</w:t>
      </w:r>
    </w:p>
    <w:p w:rsidR="002452FC" w:rsidRPr="00676D2B" w:rsidRDefault="002452FC" w:rsidP="00245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Courier New"/>
          <w:sz w:val="22"/>
          <w:szCs w:val="22"/>
          <w:lang w:eastAsia="sk-SK"/>
        </w:rPr>
      </w:pPr>
    </w:p>
    <w:p w:rsidR="002452FC" w:rsidRPr="00676D2B" w:rsidRDefault="002452FC" w:rsidP="00245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Courier New"/>
          <w:sz w:val="22"/>
          <w:szCs w:val="22"/>
          <w:u w:val="single"/>
          <w:lang w:eastAsia="sk-SK"/>
        </w:rPr>
      </w:pPr>
      <w:r w:rsidRPr="00676D2B">
        <w:rPr>
          <w:rFonts w:ascii="Arial Narrow" w:hAnsi="Arial Narrow" w:cs="Courier New"/>
          <w:sz w:val="22"/>
          <w:szCs w:val="22"/>
          <w:u w:val="single"/>
          <w:lang w:eastAsia="sk-SK"/>
        </w:rPr>
        <w:t>Programy sociálnej ochrany v SR</w:t>
      </w:r>
    </w:p>
    <w:p w:rsidR="002452FC" w:rsidRPr="00676D2B" w:rsidRDefault="002452FC" w:rsidP="00245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Courier New"/>
          <w:sz w:val="22"/>
          <w:szCs w:val="22"/>
          <w:lang w:eastAsia="sk-SK"/>
        </w:rPr>
      </w:pPr>
    </w:p>
    <w:tbl>
      <w:tblPr>
        <w:tblW w:w="90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3"/>
        <w:gridCol w:w="4016"/>
        <w:gridCol w:w="362"/>
        <w:gridCol w:w="4389"/>
      </w:tblGrid>
      <w:tr w:rsidR="0019055C" w:rsidRPr="000B4797" w:rsidTr="00B128E4">
        <w:trPr>
          <w:trHeight w:val="255"/>
        </w:trPr>
        <w:tc>
          <w:tcPr>
            <w:tcW w:w="255" w:type="dxa"/>
          </w:tcPr>
          <w:p w:rsidR="0019055C" w:rsidRPr="000B4797" w:rsidRDefault="0019055C" w:rsidP="00022BC5">
            <w:pPr>
              <w:spacing w:before="20"/>
              <w:rPr>
                <w:rFonts w:ascii="Arial Narrow" w:hAnsi="Arial Narrow" w:cs="Arial"/>
                <w:b/>
                <w:bCs/>
                <w:sz w:val="20"/>
                <w:szCs w:val="20"/>
              </w:rPr>
            </w:pPr>
            <w:r w:rsidRPr="000B4797">
              <w:rPr>
                <w:rFonts w:ascii="Arial Narrow" w:hAnsi="Arial Narrow" w:cs="Arial"/>
                <w:b/>
                <w:bCs/>
                <w:sz w:val="20"/>
                <w:szCs w:val="20"/>
              </w:rPr>
              <w:t>Č.</w:t>
            </w:r>
          </w:p>
        </w:tc>
        <w:tc>
          <w:tcPr>
            <w:tcW w:w="4046" w:type="dxa"/>
          </w:tcPr>
          <w:p w:rsidR="0019055C" w:rsidRPr="000B4797" w:rsidRDefault="0019055C" w:rsidP="00022BC5">
            <w:pPr>
              <w:spacing w:before="20"/>
              <w:rPr>
                <w:rFonts w:ascii="Arial Narrow" w:hAnsi="Arial Narrow" w:cs="Arial"/>
                <w:b/>
                <w:bCs/>
                <w:sz w:val="20"/>
                <w:szCs w:val="20"/>
              </w:rPr>
            </w:pPr>
            <w:r w:rsidRPr="000B4797">
              <w:rPr>
                <w:rFonts w:ascii="Arial Narrow" w:hAnsi="Arial Narrow" w:cs="Arial"/>
                <w:b/>
                <w:bCs/>
                <w:sz w:val="20"/>
                <w:szCs w:val="20"/>
              </w:rPr>
              <w:t>Názov programu</w:t>
            </w:r>
          </w:p>
        </w:tc>
        <w:tc>
          <w:tcPr>
            <w:tcW w:w="362" w:type="dxa"/>
          </w:tcPr>
          <w:p w:rsidR="0019055C" w:rsidRPr="000B4797" w:rsidRDefault="0019055C" w:rsidP="00022BC5">
            <w:pPr>
              <w:spacing w:before="20"/>
              <w:rPr>
                <w:rFonts w:ascii="Arial Narrow" w:hAnsi="Arial Narrow" w:cs="Arial"/>
                <w:b/>
                <w:bCs/>
                <w:sz w:val="20"/>
                <w:szCs w:val="20"/>
              </w:rPr>
            </w:pPr>
            <w:r w:rsidRPr="000B4797">
              <w:rPr>
                <w:rFonts w:ascii="Arial Narrow" w:hAnsi="Arial Narrow" w:cs="Arial"/>
                <w:b/>
                <w:bCs/>
                <w:sz w:val="20"/>
                <w:szCs w:val="20"/>
              </w:rPr>
              <w:t>Č.</w:t>
            </w:r>
          </w:p>
        </w:tc>
        <w:tc>
          <w:tcPr>
            <w:tcW w:w="4427" w:type="dxa"/>
          </w:tcPr>
          <w:p w:rsidR="0019055C" w:rsidRPr="000B4797" w:rsidRDefault="0019055C" w:rsidP="00022BC5">
            <w:pPr>
              <w:spacing w:before="20"/>
              <w:rPr>
                <w:rFonts w:ascii="Arial Narrow" w:hAnsi="Arial Narrow" w:cs="Arial"/>
                <w:b/>
                <w:bCs/>
                <w:sz w:val="20"/>
                <w:szCs w:val="20"/>
              </w:rPr>
            </w:pPr>
            <w:r w:rsidRPr="000B4797">
              <w:rPr>
                <w:rFonts w:ascii="Arial Narrow" w:hAnsi="Arial Narrow" w:cs="Arial"/>
                <w:b/>
                <w:bCs/>
                <w:sz w:val="20"/>
                <w:szCs w:val="20"/>
              </w:rPr>
              <w:t>Názov programu</w:t>
            </w:r>
          </w:p>
        </w:tc>
      </w:tr>
      <w:tr w:rsidR="000B4797" w:rsidRPr="000B4797" w:rsidTr="00B128E4">
        <w:trPr>
          <w:trHeight w:val="255"/>
        </w:trPr>
        <w:tc>
          <w:tcPr>
            <w:tcW w:w="255" w:type="dxa"/>
            <w:vAlign w:val="center"/>
          </w:tcPr>
          <w:p w:rsidR="000B4797" w:rsidRPr="000B4797" w:rsidRDefault="000B4797" w:rsidP="000B4797">
            <w:pPr>
              <w:spacing w:before="20"/>
              <w:jc w:val="right"/>
              <w:rPr>
                <w:rFonts w:ascii="Arial Narrow" w:hAnsi="Arial Narrow" w:cs="Arial"/>
                <w:sz w:val="20"/>
                <w:szCs w:val="20"/>
              </w:rPr>
            </w:pPr>
            <w:r w:rsidRPr="000B4797">
              <w:rPr>
                <w:rFonts w:ascii="Arial Narrow" w:hAnsi="Arial Narrow" w:cs="Arial"/>
                <w:sz w:val="20"/>
                <w:szCs w:val="20"/>
              </w:rPr>
              <w:t>1</w:t>
            </w:r>
          </w:p>
        </w:tc>
        <w:tc>
          <w:tcPr>
            <w:tcW w:w="4046" w:type="dxa"/>
            <w:vAlign w:val="center"/>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Nemocenské poistenie</w:t>
            </w:r>
          </w:p>
        </w:tc>
        <w:tc>
          <w:tcPr>
            <w:tcW w:w="362" w:type="dxa"/>
          </w:tcPr>
          <w:p w:rsidR="000B4797" w:rsidRPr="000B4797" w:rsidRDefault="000B4797" w:rsidP="000B4797">
            <w:pPr>
              <w:spacing w:before="20"/>
              <w:jc w:val="both"/>
              <w:rPr>
                <w:rFonts w:ascii="Arial Narrow" w:hAnsi="Arial Narrow" w:cs="Arial"/>
                <w:sz w:val="20"/>
                <w:szCs w:val="20"/>
              </w:rPr>
            </w:pPr>
            <w:r w:rsidRPr="000B4797">
              <w:rPr>
                <w:rFonts w:ascii="Arial Narrow" w:hAnsi="Arial Narrow" w:cs="Arial"/>
                <w:sz w:val="20"/>
                <w:szCs w:val="20"/>
              </w:rPr>
              <w:t>13</w:t>
            </w:r>
          </w:p>
        </w:tc>
        <w:tc>
          <w:tcPr>
            <w:tcW w:w="4427" w:type="dxa"/>
          </w:tcPr>
          <w:p w:rsidR="000B4797" w:rsidRPr="000B4797" w:rsidRDefault="000B4797" w:rsidP="00170C3C">
            <w:pPr>
              <w:spacing w:before="20"/>
              <w:rPr>
                <w:rFonts w:ascii="Arial Narrow" w:hAnsi="Arial Narrow" w:cs="Arial"/>
                <w:sz w:val="20"/>
                <w:szCs w:val="20"/>
              </w:rPr>
            </w:pPr>
            <w:r w:rsidRPr="000B4797">
              <w:rPr>
                <w:rFonts w:ascii="Arial Narrow" w:hAnsi="Arial Narrow" w:cs="Arial"/>
                <w:sz w:val="20"/>
                <w:szCs w:val="20"/>
              </w:rPr>
              <w:t xml:space="preserve">Sociálne poistenie </w:t>
            </w:r>
            <w:r w:rsidR="00170C3C">
              <w:rPr>
                <w:rFonts w:ascii="Arial Narrow" w:hAnsi="Arial Narrow" w:cs="Arial"/>
                <w:sz w:val="20"/>
                <w:szCs w:val="20"/>
              </w:rPr>
              <w:t>-</w:t>
            </w:r>
            <w:r w:rsidRPr="000B4797">
              <w:rPr>
                <w:rFonts w:ascii="Arial Narrow" w:hAnsi="Arial Narrow" w:cs="Arial"/>
                <w:sz w:val="20"/>
                <w:szCs w:val="20"/>
              </w:rPr>
              <w:t xml:space="preserve"> silové zložky</w:t>
            </w:r>
          </w:p>
        </w:tc>
      </w:tr>
      <w:tr w:rsidR="000B4797" w:rsidRPr="000B4797" w:rsidTr="00B128E4">
        <w:trPr>
          <w:trHeight w:val="271"/>
        </w:trPr>
        <w:tc>
          <w:tcPr>
            <w:tcW w:w="255" w:type="dxa"/>
          </w:tcPr>
          <w:p w:rsidR="000B4797" w:rsidRPr="000B4797" w:rsidRDefault="000B4797" w:rsidP="000B4797">
            <w:pPr>
              <w:spacing w:before="20"/>
              <w:jc w:val="right"/>
              <w:rPr>
                <w:rFonts w:ascii="Arial Narrow" w:hAnsi="Arial Narrow" w:cs="Arial"/>
                <w:sz w:val="20"/>
                <w:szCs w:val="20"/>
              </w:rPr>
            </w:pPr>
            <w:r w:rsidRPr="000B4797">
              <w:rPr>
                <w:rFonts w:ascii="Arial Narrow" w:hAnsi="Arial Narrow" w:cs="Arial"/>
                <w:sz w:val="20"/>
                <w:szCs w:val="20"/>
              </w:rPr>
              <w:t>2</w:t>
            </w:r>
          </w:p>
        </w:tc>
        <w:tc>
          <w:tcPr>
            <w:tcW w:w="4046" w:type="dxa"/>
          </w:tcPr>
          <w:p w:rsidR="000B4797" w:rsidRPr="000B4797" w:rsidRDefault="000B4797" w:rsidP="00170C3C">
            <w:pPr>
              <w:spacing w:before="20"/>
              <w:rPr>
                <w:rFonts w:ascii="Arial Narrow" w:hAnsi="Arial Narrow" w:cs="Arial"/>
                <w:sz w:val="20"/>
                <w:szCs w:val="20"/>
              </w:rPr>
            </w:pPr>
            <w:r w:rsidRPr="000B4797">
              <w:rPr>
                <w:rFonts w:ascii="Arial Narrow" w:hAnsi="Arial Narrow" w:cs="Arial"/>
                <w:sz w:val="20"/>
                <w:szCs w:val="20"/>
              </w:rPr>
              <w:t xml:space="preserve">Dôchodkové poistenie </w:t>
            </w:r>
            <w:r w:rsidR="00170C3C">
              <w:rPr>
                <w:rFonts w:ascii="Arial Narrow" w:hAnsi="Arial Narrow" w:cs="Arial"/>
                <w:sz w:val="20"/>
                <w:szCs w:val="20"/>
              </w:rPr>
              <w:t>-</w:t>
            </w:r>
            <w:r w:rsidRPr="000B4797">
              <w:rPr>
                <w:rFonts w:ascii="Arial Narrow" w:hAnsi="Arial Narrow" w:cs="Arial"/>
                <w:sz w:val="20"/>
                <w:szCs w:val="20"/>
              </w:rPr>
              <w:t xml:space="preserve"> ukončen</w:t>
            </w:r>
            <w:r w:rsidR="00104EC2">
              <w:rPr>
                <w:rFonts w:ascii="Arial Narrow" w:hAnsi="Arial Narrow" w:cs="Arial"/>
                <w:sz w:val="20"/>
                <w:szCs w:val="20"/>
              </w:rPr>
              <w:t>ý program</w:t>
            </w:r>
          </w:p>
        </w:tc>
        <w:tc>
          <w:tcPr>
            <w:tcW w:w="362" w:type="dxa"/>
          </w:tcPr>
          <w:p w:rsidR="000B4797" w:rsidRPr="000B4797" w:rsidRDefault="000B4797" w:rsidP="000B4797">
            <w:pPr>
              <w:spacing w:before="20"/>
              <w:jc w:val="both"/>
              <w:rPr>
                <w:rFonts w:ascii="Arial Narrow" w:hAnsi="Arial Narrow" w:cs="Arial"/>
                <w:sz w:val="20"/>
                <w:szCs w:val="20"/>
              </w:rPr>
            </w:pPr>
            <w:r w:rsidRPr="000B4797">
              <w:rPr>
                <w:rFonts w:ascii="Arial Narrow" w:hAnsi="Arial Narrow" w:cs="Arial"/>
                <w:sz w:val="20"/>
                <w:szCs w:val="20"/>
              </w:rPr>
              <w:t>14</w:t>
            </w:r>
          </w:p>
        </w:tc>
        <w:tc>
          <w:tcPr>
            <w:tcW w:w="4427"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Sociálne zľavy na cestovnom</w:t>
            </w:r>
          </w:p>
        </w:tc>
      </w:tr>
      <w:tr w:rsidR="000B4797" w:rsidRPr="000B4797" w:rsidTr="00B128E4">
        <w:trPr>
          <w:trHeight w:val="255"/>
        </w:trPr>
        <w:tc>
          <w:tcPr>
            <w:tcW w:w="255" w:type="dxa"/>
          </w:tcPr>
          <w:p w:rsidR="000B4797" w:rsidRPr="000B4797" w:rsidRDefault="000B4797" w:rsidP="000B4797">
            <w:pPr>
              <w:spacing w:before="20"/>
              <w:jc w:val="right"/>
              <w:rPr>
                <w:rFonts w:ascii="Arial Narrow" w:hAnsi="Arial Narrow" w:cs="Arial"/>
                <w:sz w:val="20"/>
                <w:szCs w:val="20"/>
              </w:rPr>
            </w:pPr>
            <w:r w:rsidRPr="000B4797">
              <w:rPr>
                <w:rFonts w:ascii="Arial Narrow" w:hAnsi="Arial Narrow" w:cs="Arial"/>
                <w:sz w:val="20"/>
                <w:szCs w:val="20"/>
              </w:rPr>
              <w:t>3</w:t>
            </w:r>
          </w:p>
        </w:tc>
        <w:tc>
          <w:tcPr>
            <w:tcW w:w="4046"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Poistenie v nezamestnanosti</w:t>
            </w:r>
          </w:p>
        </w:tc>
        <w:tc>
          <w:tcPr>
            <w:tcW w:w="362" w:type="dxa"/>
          </w:tcPr>
          <w:p w:rsidR="000B4797" w:rsidRPr="000B4797" w:rsidRDefault="000B4797" w:rsidP="000B4797">
            <w:pPr>
              <w:spacing w:before="20"/>
              <w:jc w:val="both"/>
              <w:rPr>
                <w:rFonts w:ascii="Arial Narrow" w:hAnsi="Arial Narrow" w:cs="Arial"/>
                <w:sz w:val="20"/>
                <w:szCs w:val="20"/>
              </w:rPr>
            </w:pPr>
            <w:r w:rsidRPr="000B4797">
              <w:rPr>
                <w:rFonts w:ascii="Arial Narrow" w:hAnsi="Arial Narrow" w:cs="Arial"/>
                <w:sz w:val="20"/>
                <w:szCs w:val="20"/>
              </w:rPr>
              <w:t>15</w:t>
            </w:r>
          </w:p>
        </w:tc>
        <w:tc>
          <w:tcPr>
            <w:tcW w:w="4427"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Sociálne služby - VÚC</w:t>
            </w:r>
          </w:p>
        </w:tc>
      </w:tr>
      <w:tr w:rsidR="000B4797" w:rsidRPr="000B4797" w:rsidTr="00B128E4">
        <w:trPr>
          <w:trHeight w:val="255"/>
        </w:trPr>
        <w:tc>
          <w:tcPr>
            <w:tcW w:w="255" w:type="dxa"/>
          </w:tcPr>
          <w:p w:rsidR="000B4797" w:rsidRPr="000B4797" w:rsidRDefault="000B4797" w:rsidP="000B4797">
            <w:pPr>
              <w:spacing w:before="20"/>
              <w:jc w:val="right"/>
              <w:rPr>
                <w:rFonts w:ascii="Arial Narrow" w:hAnsi="Arial Narrow" w:cs="Arial"/>
                <w:sz w:val="20"/>
                <w:szCs w:val="20"/>
              </w:rPr>
            </w:pPr>
            <w:r w:rsidRPr="000B4797">
              <w:rPr>
                <w:rFonts w:ascii="Arial Narrow" w:hAnsi="Arial Narrow" w:cs="Arial"/>
                <w:sz w:val="20"/>
                <w:szCs w:val="20"/>
              </w:rPr>
              <w:t>4</w:t>
            </w:r>
          </w:p>
        </w:tc>
        <w:tc>
          <w:tcPr>
            <w:tcW w:w="4046" w:type="dxa"/>
          </w:tcPr>
          <w:p w:rsidR="000B4797" w:rsidRPr="000B4797" w:rsidRDefault="000B4797" w:rsidP="000B4797">
            <w:pPr>
              <w:pStyle w:val="Pta"/>
              <w:rPr>
                <w:rFonts w:ascii="Arial Narrow" w:hAnsi="Arial Narrow" w:cs="Arial"/>
                <w:sz w:val="20"/>
                <w:szCs w:val="20"/>
                <w:lang w:val="sk-SK"/>
              </w:rPr>
            </w:pPr>
            <w:r w:rsidRPr="000B4797">
              <w:rPr>
                <w:rFonts w:ascii="Arial Narrow" w:hAnsi="Arial Narrow" w:cs="Arial"/>
                <w:sz w:val="20"/>
                <w:szCs w:val="20"/>
                <w:lang w:val="sk-SK"/>
              </w:rPr>
              <w:t>Zdravotné poistenie</w:t>
            </w:r>
          </w:p>
        </w:tc>
        <w:tc>
          <w:tcPr>
            <w:tcW w:w="362" w:type="dxa"/>
          </w:tcPr>
          <w:p w:rsidR="000B4797" w:rsidRPr="000B4797" w:rsidRDefault="000B4797" w:rsidP="000B4797">
            <w:pPr>
              <w:spacing w:before="20"/>
              <w:jc w:val="both"/>
              <w:rPr>
                <w:rFonts w:ascii="Arial Narrow" w:hAnsi="Arial Narrow" w:cs="Arial"/>
                <w:sz w:val="20"/>
                <w:szCs w:val="20"/>
              </w:rPr>
            </w:pPr>
            <w:r w:rsidRPr="000B4797">
              <w:rPr>
                <w:rFonts w:ascii="Arial Narrow" w:hAnsi="Arial Narrow" w:cs="Arial"/>
                <w:sz w:val="20"/>
                <w:szCs w:val="20"/>
              </w:rPr>
              <w:t>16</w:t>
            </w:r>
          </w:p>
        </w:tc>
        <w:tc>
          <w:tcPr>
            <w:tcW w:w="4427"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 xml:space="preserve">Garančné poistenie </w:t>
            </w:r>
          </w:p>
        </w:tc>
      </w:tr>
      <w:tr w:rsidR="000B4797" w:rsidRPr="000B4797" w:rsidTr="00B128E4">
        <w:trPr>
          <w:trHeight w:val="271"/>
        </w:trPr>
        <w:tc>
          <w:tcPr>
            <w:tcW w:w="255" w:type="dxa"/>
          </w:tcPr>
          <w:p w:rsidR="000B4797" w:rsidRPr="000B4797" w:rsidRDefault="000B4797" w:rsidP="000B4797">
            <w:pPr>
              <w:spacing w:before="20"/>
              <w:jc w:val="right"/>
              <w:rPr>
                <w:rFonts w:ascii="Arial Narrow" w:hAnsi="Arial Narrow" w:cs="Arial"/>
                <w:sz w:val="20"/>
                <w:szCs w:val="20"/>
              </w:rPr>
            </w:pPr>
            <w:r w:rsidRPr="000B4797">
              <w:rPr>
                <w:rFonts w:ascii="Arial Narrow" w:hAnsi="Arial Narrow" w:cs="Arial"/>
                <w:sz w:val="20"/>
                <w:szCs w:val="20"/>
              </w:rPr>
              <w:t>5</w:t>
            </w:r>
          </w:p>
        </w:tc>
        <w:tc>
          <w:tcPr>
            <w:tcW w:w="4046"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Štátna sociálna podpora</w:t>
            </w:r>
          </w:p>
        </w:tc>
        <w:tc>
          <w:tcPr>
            <w:tcW w:w="362" w:type="dxa"/>
          </w:tcPr>
          <w:p w:rsidR="000B4797" w:rsidRPr="000B4797" w:rsidRDefault="000B4797" w:rsidP="000B4797">
            <w:pPr>
              <w:spacing w:before="20"/>
              <w:jc w:val="both"/>
              <w:rPr>
                <w:rFonts w:ascii="Arial Narrow" w:hAnsi="Arial Narrow" w:cs="Arial"/>
                <w:sz w:val="20"/>
                <w:szCs w:val="20"/>
              </w:rPr>
            </w:pPr>
            <w:r w:rsidRPr="000B4797">
              <w:rPr>
                <w:rFonts w:ascii="Arial Narrow" w:hAnsi="Arial Narrow" w:cs="Arial"/>
                <w:sz w:val="20"/>
                <w:szCs w:val="20"/>
              </w:rPr>
              <w:t>17</w:t>
            </w:r>
          </w:p>
        </w:tc>
        <w:tc>
          <w:tcPr>
            <w:tcW w:w="4427"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Rezervný fond solidarity</w:t>
            </w:r>
          </w:p>
        </w:tc>
      </w:tr>
      <w:tr w:rsidR="000B4797" w:rsidRPr="000B4797" w:rsidTr="00B128E4">
        <w:trPr>
          <w:trHeight w:val="255"/>
        </w:trPr>
        <w:tc>
          <w:tcPr>
            <w:tcW w:w="255" w:type="dxa"/>
          </w:tcPr>
          <w:p w:rsidR="000B4797" w:rsidRPr="000B4797" w:rsidRDefault="000B4797" w:rsidP="000B4797">
            <w:pPr>
              <w:spacing w:before="20"/>
              <w:jc w:val="right"/>
              <w:rPr>
                <w:rFonts w:ascii="Arial Narrow" w:hAnsi="Arial Narrow" w:cs="Arial"/>
                <w:sz w:val="20"/>
                <w:szCs w:val="20"/>
              </w:rPr>
            </w:pPr>
            <w:r w:rsidRPr="000B4797">
              <w:rPr>
                <w:rFonts w:ascii="Arial Narrow" w:hAnsi="Arial Narrow" w:cs="Arial"/>
                <w:sz w:val="20"/>
                <w:szCs w:val="20"/>
              </w:rPr>
              <w:t>6</w:t>
            </w:r>
          </w:p>
        </w:tc>
        <w:tc>
          <w:tcPr>
            <w:tcW w:w="4046"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Štátna sociálna pomoc</w:t>
            </w:r>
          </w:p>
        </w:tc>
        <w:tc>
          <w:tcPr>
            <w:tcW w:w="362" w:type="dxa"/>
          </w:tcPr>
          <w:p w:rsidR="000B4797" w:rsidRPr="000B4797" w:rsidRDefault="000B4797" w:rsidP="000B4797">
            <w:pPr>
              <w:spacing w:before="20"/>
              <w:jc w:val="both"/>
              <w:rPr>
                <w:rFonts w:ascii="Arial Narrow" w:hAnsi="Arial Narrow" w:cs="Arial"/>
                <w:sz w:val="20"/>
                <w:szCs w:val="20"/>
              </w:rPr>
            </w:pPr>
            <w:r w:rsidRPr="000B4797">
              <w:rPr>
                <w:rFonts w:ascii="Arial Narrow" w:hAnsi="Arial Narrow" w:cs="Arial"/>
                <w:sz w:val="20"/>
                <w:szCs w:val="20"/>
              </w:rPr>
              <w:t>18</w:t>
            </w:r>
          </w:p>
        </w:tc>
        <w:tc>
          <w:tcPr>
            <w:tcW w:w="4427"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Starobné poistenie</w:t>
            </w:r>
          </w:p>
        </w:tc>
      </w:tr>
      <w:tr w:rsidR="000B4797" w:rsidRPr="000B4797" w:rsidTr="00B128E4">
        <w:trPr>
          <w:trHeight w:val="255"/>
        </w:trPr>
        <w:tc>
          <w:tcPr>
            <w:tcW w:w="255" w:type="dxa"/>
          </w:tcPr>
          <w:p w:rsidR="000B4797" w:rsidRPr="000B4797" w:rsidRDefault="000B4797" w:rsidP="000B4797">
            <w:pPr>
              <w:spacing w:before="20"/>
              <w:jc w:val="right"/>
              <w:rPr>
                <w:rFonts w:ascii="Arial Narrow" w:hAnsi="Arial Narrow" w:cs="Arial"/>
                <w:sz w:val="20"/>
                <w:szCs w:val="20"/>
              </w:rPr>
            </w:pPr>
            <w:r w:rsidRPr="000B4797">
              <w:rPr>
                <w:rFonts w:ascii="Arial Narrow" w:hAnsi="Arial Narrow" w:cs="Arial"/>
                <w:sz w:val="20"/>
                <w:szCs w:val="20"/>
              </w:rPr>
              <w:t>7</w:t>
            </w:r>
          </w:p>
        </w:tc>
        <w:tc>
          <w:tcPr>
            <w:tcW w:w="4046" w:type="dxa"/>
          </w:tcPr>
          <w:p w:rsidR="000B4797" w:rsidRPr="000B4797" w:rsidRDefault="000B4797" w:rsidP="00170C3C">
            <w:pPr>
              <w:spacing w:before="20"/>
              <w:rPr>
                <w:rFonts w:ascii="Arial Narrow" w:hAnsi="Arial Narrow" w:cs="Arial"/>
                <w:sz w:val="20"/>
                <w:szCs w:val="20"/>
              </w:rPr>
            </w:pPr>
            <w:r w:rsidRPr="000B4797">
              <w:rPr>
                <w:rFonts w:ascii="Arial Narrow" w:hAnsi="Arial Narrow" w:cs="Arial"/>
                <w:sz w:val="20"/>
                <w:szCs w:val="20"/>
              </w:rPr>
              <w:t xml:space="preserve">Imputované dávky </w:t>
            </w:r>
            <w:r w:rsidR="00170C3C">
              <w:rPr>
                <w:rFonts w:ascii="Arial Narrow" w:hAnsi="Arial Narrow" w:cs="Arial"/>
                <w:sz w:val="20"/>
                <w:szCs w:val="20"/>
              </w:rPr>
              <w:t>-</w:t>
            </w:r>
            <w:r w:rsidRPr="000B4797">
              <w:rPr>
                <w:rFonts w:ascii="Arial Narrow" w:hAnsi="Arial Narrow" w:cs="Arial"/>
                <w:sz w:val="20"/>
                <w:szCs w:val="20"/>
              </w:rPr>
              <w:t xml:space="preserve"> verejný sektor</w:t>
            </w:r>
          </w:p>
        </w:tc>
        <w:tc>
          <w:tcPr>
            <w:tcW w:w="362" w:type="dxa"/>
          </w:tcPr>
          <w:p w:rsidR="000B4797" w:rsidRPr="000B4797" w:rsidRDefault="000B4797" w:rsidP="000B4797">
            <w:pPr>
              <w:spacing w:before="20"/>
              <w:jc w:val="both"/>
              <w:rPr>
                <w:rFonts w:ascii="Arial Narrow" w:hAnsi="Arial Narrow" w:cs="Arial"/>
                <w:sz w:val="20"/>
                <w:szCs w:val="20"/>
              </w:rPr>
            </w:pPr>
            <w:r w:rsidRPr="000B4797">
              <w:rPr>
                <w:rFonts w:ascii="Arial Narrow" w:hAnsi="Arial Narrow" w:cs="Arial"/>
                <w:sz w:val="20"/>
                <w:szCs w:val="20"/>
              </w:rPr>
              <w:t>19</w:t>
            </w:r>
          </w:p>
        </w:tc>
        <w:tc>
          <w:tcPr>
            <w:tcW w:w="4427"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Invalidné poistenie</w:t>
            </w:r>
          </w:p>
        </w:tc>
      </w:tr>
      <w:tr w:rsidR="000B4797" w:rsidRPr="000B4797" w:rsidTr="00B128E4">
        <w:trPr>
          <w:trHeight w:val="255"/>
        </w:trPr>
        <w:tc>
          <w:tcPr>
            <w:tcW w:w="255" w:type="dxa"/>
          </w:tcPr>
          <w:p w:rsidR="000B4797" w:rsidRPr="000B4797" w:rsidRDefault="000B4797" w:rsidP="000B4797">
            <w:pPr>
              <w:spacing w:before="20"/>
              <w:jc w:val="right"/>
              <w:rPr>
                <w:rFonts w:ascii="Arial Narrow" w:hAnsi="Arial Narrow" w:cs="Arial"/>
                <w:sz w:val="20"/>
                <w:szCs w:val="20"/>
              </w:rPr>
            </w:pPr>
            <w:r w:rsidRPr="000B4797">
              <w:rPr>
                <w:rFonts w:ascii="Arial Narrow" w:hAnsi="Arial Narrow" w:cs="Arial"/>
                <w:sz w:val="20"/>
                <w:szCs w:val="20"/>
              </w:rPr>
              <w:t>8</w:t>
            </w:r>
          </w:p>
        </w:tc>
        <w:tc>
          <w:tcPr>
            <w:tcW w:w="4046" w:type="dxa"/>
          </w:tcPr>
          <w:p w:rsidR="000B4797" w:rsidRPr="000B4797" w:rsidRDefault="000B4797" w:rsidP="00170C3C">
            <w:pPr>
              <w:spacing w:before="20"/>
              <w:rPr>
                <w:rFonts w:ascii="Arial Narrow" w:hAnsi="Arial Narrow" w:cs="Arial"/>
                <w:sz w:val="20"/>
                <w:szCs w:val="20"/>
              </w:rPr>
            </w:pPr>
            <w:r w:rsidRPr="000B4797">
              <w:rPr>
                <w:rFonts w:ascii="Arial Narrow" w:hAnsi="Arial Narrow" w:cs="Arial"/>
                <w:sz w:val="20"/>
                <w:szCs w:val="20"/>
              </w:rPr>
              <w:t xml:space="preserve">Imputované dávky </w:t>
            </w:r>
            <w:r w:rsidR="00170C3C">
              <w:rPr>
                <w:rFonts w:ascii="Arial Narrow" w:hAnsi="Arial Narrow" w:cs="Arial"/>
                <w:sz w:val="20"/>
                <w:szCs w:val="20"/>
              </w:rPr>
              <w:t>-</w:t>
            </w:r>
            <w:r w:rsidRPr="000B4797">
              <w:rPr>
                <w:rFonts w:ascii="Arial Narrow" w:hAnsi="Arial Narrow" w:cs="Arial"/>
                <w:sz w:val="20"/>
                <w:szCs w:val="20"/>
              </w:rPr>
              <w:t xml:space="preserve"> súkromný sektor</w:t>
            </w:r>
          </w:p>
        </w:tc>
        <w:tc>
          <w:tcPr>
            <w:tcW w:w="362" w:type="dxa"/>
          </w:tcPr>
          <w:p w:rsidR="000B4797" w:rsidRPr="000B4797" w:rsidRDefault="000B4797" w:rsidP="000B4797">
            <w:pPr>
              <w:spacing w:before="20"/>
              <w:jc w:val="both"/>
              <w:rPr>
                <w:rFonts w:ascii="Arial Narrow" w:hAnsi="Arial Narrow" w:cs="Arial"/>
                <w:sz w:val="20"/>
                <w:szCs w:val="20"/>
              </w:rPr>
            </w:pPr>
            <w:r w:rsidRPr="000B4797">
              <w:rPr>
                <w:rFonts w:ascii="Arial Narrow" w:hAnsi="Arial Narrow" w:cs="Arial"/>
                <w:sz w:val="20"/>
                <w:szCs w:val="20"/>
              </w:rPr>
              <w:t>20</w:t>
            </w:r>
          </w:p>
        </w:tc>
        <w:tc>
          <w:tcPr>
            <w:tcW w:w="4427"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Starobné dôchodkové sporenie</w:t>
            </w:r>
          </w:p>
        </w:tc>
      </w:tr>
      <w:tr w:rsidR="000B4797" w:rsidRPr="000B4797" w:rsidTr="00B128E4">
        <w:trPr>
          <w:trHeight w:val="271"/>
        </w:trPr>
        <w:tc>
          <w:tcPr>
            <w:tcW w:w="255" w:type="dxa"/>
          </w:tcPr>
          <w:p w:rsidR="000B4797" w:rsidRPr="000B4797" w:rsidRDefault="000B4797" w:rsidP="000B4797">
            <w:pPr>
              <w:spacing w:before="20"/>
              <w:jc w:val="right"/>
              <w:rPr>
                <w:rFonts w:ascii="Arial Narrow" w:hAnsi="Arial Narrow" w:cs="Arial"/>
                <w:sz w:val="20"/>
                <w:szCs w:val="20"/>
              </w:rPr>
            </w:pPr>
            <w:r w:rsidRPr="000B4797">
              <w:rPr>
                <w:rFonts w:ascii="Arial Narrow" w:hAnsi="Arial Narrow" w:cs="Arial"/>
                <w:sz w:val="20"/>
                <w:szCs w:val="20"/>
              </w:rPr>
              <w:t>9</w:t>
            </w:r>
          </w:p>
        </w:tc>
        <w:tc>
          <w:tcPr>
            <w:tcW w:w="4046"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 xml:space="preserve">Sociálna pomoc </w:t>
            </w:r>
            <w:r w:rsidR="00104EC2">
              <w:rPr>
                <w:rFonts w:ascii="Arial Narrow" w:hAnsi="Arial Narrow" w:cs="Arial"/>
                <w:sz w:val="20"/>
                <w:szCs w:val="20"/>
              </w:rPr>
              <w:t xml:space="preserve">miestnej </w:t>
            </w:r>
            <w:r w:rsidRPr="000B4797">
              <w:rPr>
                <w:rFonts w:ascii="Arial Narrow" w:hAnsi="Arial Narrow" w:cs="Arial"/>
                <w:sz w:val="20"/>
                <w:szCs w:val="20"/>
              </w:rPr>
              <w:t>samosprávy</w:t>
            </w:r>
            <w:r w:rsidR="00104EC2">
              <w:rPr>
                <w:rFonts w:ascii="Arial Narrow" w:hAnsi="Arial Narrow" w:cs="Arial"/>
                <w:sz w:val="20"/>
                <w:szCs w:val="20"/>
              </w:rPr>
              <w:t xml:space="preserve"> </w:t>
            </w:r>
          </w:p>
        </w:tc>
        <w:tc>
          <w:tcPr>
            <w:tcW w:w="362" w:type="dxa"/>
          </w:tcPr>
          <w:p w:rsidR="000B4797" w:rsidRPr="000B4797" w:rsidRDefault="000B4797" w:rsidP="000B4797">
            <w:pPr>
              <w:spacing w:before="20"/>
              <w:jc w:val="both"/>
              <w:rPr>
                <w:rFonts w:ascii="Arial Narrow" w:hAnsi="Arial Narrow" w:cs="Arial"/>
                <w:sz w:val="20"/>
                <w:szCs w:val="20"/>
              </w:rPr>
            </w:pPr>
            <w:r w:rsidRPr="000B4797">
              <w:rPr>
                <w:rFonts w:ascii="Arial Narrow" w:hAnsi="Arial Narrow" w:cs="Arial"/>
                <w:sz w:val="20"/>
                <w:szCs w:val="20"/>
              </w:rPr>
              <w:t>21</w:t>
            </w:r>
          </w:p>
        </w:tc>
        <w:tc>
          <w:tcPr>
            <w:tcW w:w="4427"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Politiky trhu práce</w:t>
            </w:r>
          </w:p>
        </w:tc>
      </w:tr>
      <w:tr w:rsidR="000B4797" w:rsidRPr="000B4797" w:rsidTr="00B128E4">
        <w:trPr>
          <w:trHeight w:val="255"/>
        </w:trPr>
        <w:tc>
          <w:tcPr>
            <w:tcW w:w="255" w:type="dxa"/>
          </w:tcPr>
          <w:p w:rsidR="000B4797" w:rsidRPr="000B4797" w:rsidRDefault="000B4797" w:rsidP="000B4797">
            <w:pPr>
              <w:spacing w:before="20"/>
              <w:jc w:val="right"/>
              <w:rPr>
                <w:rFonts w:ascii="Arial Narrow" w:hAnsi="Arial Narrow" w:cs="Arial"/>
                <w:sz w:val="20"/>
                <w:szCs w:val="20"/>
              </w:rPr>
            </w:pPr>
            <w:r w:rsidRPr="000B4797">
              <w:rPr>
                <w:rFonts w:ascii="Arial Narrow" w:hAnsi="Arial Narrow" w:cs="Arial"/>
                <w:sz w:val="20"/>
                <w:szCs w:val="20"/>
              </w:rPr>
              <w:t>10</w:t>
            </w:r>
          </w:p>
        </w:tc>
        <w:tc>
          <w:tcPr>
            <w:tcW w:w="4046"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Úrazové poistenie</w:t>
            </w:r>
          </w:p>
        </w:tc>
        <w:tc>
          <w:tcPr>
            <w:tcW w:w="362" w:type="dxa"/>
          </w:tcPr>
          <w:p w:rsidR="000B4797" w:rsidRPr="000B4797" w:rsidRDefault="000B4797" w:rsidP="000B4797">
            <w:pPr>
              <w:spacing w:before="20"/>
              <w:jc w:val="both"/>
              <w:rPr>
                <w:rFonts w:ascii="Arial Narrow" w:hAnsi="Arial Narrow" w:cs="Arial"/>
                <w:sz w:val="20"/>
                <w:szCs w:val="20"/>
              </w:rPr>
            </w:pPr>
            <w:r w:rsidRPr="000B4797">
              <w:rPr>
                <w:rFonts w:ascii="Arial Narrow" w:hAnsi="Arial Narrow" w:cs="Arial"/>
                <w:sz w:val="20"/>
                <w:szCs w:val="20"/>
              </w:rPr>
              <w:t>22</w:t>
            </w:r>
          </w:p>
        </w:tc>
        <w:tc>
          <w:tcPr>
            <w:tcW w:w="4427" w:type="dxa"/>
          </w:tcPr>
          <w:p w:rsidR="000B4797" w:rsidRPr="000B4797" w:rsidRDefault="000B4797" w:rsidP="000B4797">
            <w:pPr>
              <w:spacing w:before="20"/>
              <w:rPr>
                <w:rFonts w:ascii="Arial Narrow" w:hAnsi="Arial Narrow" w:cs="Arial"/>
                <w:sz w:val="20"/>
                <w:szCs w:val="20"/>
              </w:rPr>
            </w:pPr>
            <w:r w:rsidRPr="000B4797">
              <w:rPr>
                <w:rFonts w:ascii="Arial Narrow" w:hAnsi="Arial Narrow" w:cs="Arial"/>
                <w:sz w:val="20"/>
                <w:szCs w:val="20"/>
              </w:rPr>
              <w:t>Príspevky na dôchodkové sporenie</w:t>
            </w:r>
          </w:p>
        </w:tc>
      </w:tr>
      <w:tr w:rsidR="00047ABA" w:rsidRPr="000B4797" w:rsidTr="00B128E4">
        <w:trPr>
          <w:trHeight w:val="255"/>
        </w:trPr>
        <w:tc>
          <w:tcPr>
            <w:tcW w:w="255" w:type="dxa"/>
          </w:tcPr>
          <w:p w:rsidR="00047ABA" w:rsidRPr="000B4797" w:rsidRDefault="00047ABA" w:rsidP="00047ABA">
            <w:pPr>
              <w:spacing w:before="20"/>
              <w:jc w:val="right"/>
              <w:rPr>
                <w:rFonts w:ascii="Arial Narrow" w:hAnsi="Arial Narrow" w:cs="Arial"/>
                <w:sz w:val="20"/>
                <w:szCs w:val="20"/>
              </w:rPr>
            </w:pPr>
            <w:r w:rsidRPr="000B4797">
              <w:rPr>
                <w:rFonts w:ascii="Arial Narrow" w:hAnsi="Arial Narrow" w:cs="Arial"/>
                <w:sz w:val="20"/>
                <w:szCs w:val="20"/>
              </w:rPr>
              <w:t>11</w:t>
            </w:r>
          </w:p>
        </w:tc>
        <w:tc>
          <w:tcPr>
            <w:tcW w:w="4046" w:type="dxa"/>
          </w:tcPr>
          <w:p w:rsidR="00047ABA" w:rsidRPr="000B4797" w:rsidRDefault="00047ABA" w:rsidP="00047ABA">
            <w:pPr>
              <w:spacing w:before="20"/>
              <w:rPr>
                <w:rFonts w:ascii="Arial Narrow" w:hAnsi="Arial Narrow" w:cs="Arial"/>
                <w:sz w:val="20"/>
                <w:szCs w:val="20"/>
              </w:rPr>
            </w:pPr>
            <w:r w:rsidRPr="000B4797">
              <w:rPr>
                <w:rFonts w:ascii="Arial Narrow" w:hAnsi="Arial Narrow" w:cs="Arial"/>
                <w:sz w:val="20"/>
                <w:szCs w:val="20"/>
              </w:rPr>
              <w:t>Doplnkové dôchodkové sporenie</w:t>
            </w:r>
          </w:p>
        </w:tc>
        <w:tc>
          <w:tcPr>
            <w:tcW w:w="362" w:type="dxa"/>
            <w:vAlign w:val="center"/>
          </w:tcPr>
          <w:p w:rsidR="00047ABA" w:rsidRPr="00A2285F" w:rsidRDefault="00047ABA" w:rsidP="00047ABA">
            <w:pPr>
              <w:spacing w:before="20"/>
              <w:rPr>
                <w:rFonts w:ascii="Arial Narrow" w:hAnsi="Arial Narrow" w:cs="Arial"/>
                <w:sz w:val="20"/>
                <w:szCs w:val="20"/>
              </w:rPr>
            </w:pPr>
            <w:r w:rsidRPr="00A2285F">
              <w:rPr>
                <w:rFonts w:ascii="Arial Narrow" w:hAnsi="Arial Narrow" w:cs="Arial"/>
                <w:sz w:val="20"/>
                <w:szCs w:val="20"/>
              </w:rPr>
              <w:t>23</w:t>
            </w:r>
          </w:p>
        </w:tc>
        <w:tc>
          <w:tcPr>
            <w:tcW w:w="4427" w:type="dxa"/>
            <w:vAlign w:val="center"/>
          </w:tcPr>
          <w:p w:rsidR="00047ABA" w:rsidRPr="00A2285F" w:rsidRDefault="00047ABA" w:rsidP="00047ABA">
            <w:pPr>
              <w:spacing w:before="20"/>
              <w:rPr>
                <w:rFonts w:ascii="Arial Narrow" w:hAnsi="Arial Narrow" w:cs="Arial"/>
                <w:sz w:val="20"/>
                <w:szCs w:val="20"/>
              </w:rPr>
            </w:pPr>
            <w:r w:rsidRPr="00A2285F">
              <w:rPr>
                <w:rFonts w:ascii="Arial Narrow" w:hAnsi="Arial Narrow" w:cs="Arial"/>
                <w:sz w:val="20"/>
                <w:szCs w:val="20"/>
              </w:rPr>
              <w:t>Daňový bonus na dieťa</w:t>
            </w:r>
          </w:p>
        </w:tc>
      </w:tr>
      <w:tr w:rsidR="00047ABA" w:rsidRPr="000B4797" w:rsidTr="00B128E4">
        <w:trPr>
          <w:trHeight w:val="271"/>
        </w:trPr>
        <w:tc>
          <w:tcPr>
            <w:tcW w:w="255" w:type="dxa"/>
            <w:vAlign w:val="center"/>
          </w:tcPr>
          <w:p w:rsidR="00047ABA" w:rsidRPr="000B4797" w:rsidRDefault="00047ABA" w:rsidP="00047ABA">
            <w:pPr>
              <w:spacing w:before="20"/>
              <w:jc w:val="right"/>
              <w:rPr>
                <w:rFonts w:ascii="Arial Narrow" w:hAnsi="Arial Narrow" w:cs="Arial"/>
                <w:sz w:val="20"/>
                <w:szCs w:val="20"/>
              </w:rPr>
            </w:pPr>
            <w:r w:rsidRPr="000B4797">
              <w:rPr>
                <w:rFonts w:ascii="Arial Narrow" w:hAnsi="Arial Narrow" w:cs="Arial"/>
                <w:sz w:val="20"/>
                <w:szCs w:val="20"/>
              </w:rPr>
              <w:t>12</w:t>
            </w:r>
          </w:p>
        </w:tc>
        <w:tc>
          <w:tcPr>
            <w:tcW w:w="4046" w:type="dxa"/>
            <w:vAlign w:val="center"/>
          </w:tcPr>
          <w:p w:rsidR="00047ABA" w:rsidRPr="000B4797" w:rsidRDefault="00047ABA" w:rsidP="00170C3C">
            <w:pPr>
              <w:pStyle w:val="Pta"/>
              <w:rPr>
                <w:rFonts w:ascii="Arial Narrow" w:hAnsi="Arial Narrow" w:cs="Arial"/>
                <w:sz w:val="20"/>
                <w:szCs w:val="20"/>
                <w:lang w:val="sk-SK"/>
              </w:rPr>
            </w:pPr>
            <w:r w:rsidRPr="000B4797">
              <w:rPr>
                <w:rFonts w:ascii="Arial Narrow" w:hAnsi="Arial Narrow" w:cs="Arial"/>
                <w:sz w:val="20"/>
                <w:szCs w:val="20"/>
                <w:lang w:val="sk-SK"/>
              </w:rPr>
              <w:t xml:space="preserve">Sociálne služby </w:t>
            </w:r>
            <w:r w:rsidR="00170C3C">
              <w:rPr>
                <w:rFonts w:ascii="Arial Narrow" w:hAnsi="Arial Narrow" w:cs="Arial"/>
                <w:sz w:val="20"/>
                <w:szCs w:val="20"/>
                <w:lang w:val="sk-SK"/>
              </w:rPr>
              <w:t>-</w:t>
            </w:r>
            <w:r w:rsidRPr="000B4797">
              <w:rPr>
                <w:rFonts w:ascii="Arial Narrow" w:hAnsi="Arial Narrow" w:cs="Arial"/>
                <w:sz w:val="20"/>
                <w:szCs w:val="20"/>
                <w:lang w:val="sk-SK"/>
              </w:rPr>
              <w:t xml:space="preserve"> NISD a súkromný sektor</w:t>
            </w:r>
          </w:p>
        </w:tc>
        <w:tc>
          <w:tcPr>
            <w:tcW w:w="362" w:type="dxa"/>
            <w:shd w:val="clear" w:color="auto" w:fill="auto"/>
            <w:vAlign w:val="center"/>
          </w:tcPr>
          <w:p w:rsidR="00047ABA" w:rsidRPr="00A2285F" w:rsidRDefault="00047ABA" w:rsidP="00047ABA">
            <w:pPr>
              <w:spacing w:before="20"/>
              <w:rPr>
                <w:rFonts w:ascii="Arial Narrow" w:hAnsi="Arial Narrow" w:cs="Arial"/>
                <w:sz w:val="20"/>
                <w:szCs w:val="20"/>
              </w:rPr>
            </w:pPr>
          </w:p>
        </w:tc>
        <w:tc>
          <w:tcPr>
            <w:tcW w:w="4427" w:type="dxa"/>
            <w:shd w:val="clear" w:color="auto" w:fill="auto"/>
            <w:vAlign w:val="center"/>
          </w:tcPr>
          <w:p w:rsidR="00047ABA" w:rsidRPr="00A2285F" w:rsidRDefault="00047ABA" w:rsidP="00047ABA">
            <w:pPr>
              <w:spacing w:before="20"/>
              <w:rPr>
                <w:rFonts w:ascii="Arial Narrow" w:hAnsi="Arial Narrow" w:cs="Arial"/>
                <w:sz w:val="20"/>
                <w:szCs w:val="20"/>
              </w:rPr>
            </w:pPr>
          </w:p>
        </w:tc>
      </w:tr>
    </w:tbl>
    <w:p w:rsidR="002452FC" w:rsidRPr="009627B1" w:rsidRDefault="002452FC" w:rsidP="00245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hAnsi="Arial Narrow" w:cs="Courier New"/>
          <w:sz w:val="20"/>
          <w:szCs w:val="20"/>
          <w:lang w:eastAsia="sk-SK"/>
        </w:rPr>
      </w:pPr>
    </w:p>
    <w:p w:rsidR="002452FC" w:rsidRPr="00676D2B" w:rsidRDefault="002452FC" w:rsidP="0074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Courier New"/>
          <w:sz w:val="22"/>
          <w:szCs w:val="22"/>
          <w:lang w:eastAsia="sk-SK"/>
        </w:rPr>
      </w:pPr>
      <w:r w:rsidRPr="00676D2B">
        <w:rPr>
          <w:rFonts w:ascii="Arial Narrow" w:hAnsi="Arial Narrow" w:cs="Courier New"/>
          <w:sz w:val="22"/>
          <w:szCs w:val="22"/>
          <w:u w:val="single"/>
          <w:lang w:eastAsia="sk-SK"/>
        </w:rPr>
        <w:t>Príjmy programov sociálnej ochrany</w:t>
      </w:r>
      <w:r w:rsidRPr="00676D2B">
        <w:rPr>
          <w:rFonts w:ascii="Arial Narrow" w:hAnsi="Arial Narrow" w:cs="Courier New"/>
          <w:sz w:val="22"/>
          <w:szCs w:val="22"/>
          <w:lang w:eastAsia="sk-SK"/>
        </w:rPr>
        <w:t xml:space="preserve"> sú v "základnom systéme" ESSPROS klasifikované podľa </w:t>
      </w:r>
      <w:r w:rsidR="000B4797" w:rsidRPr="00676D2B">
        <w:rPr>
          <w:rFonts w:ascii="Arial Narrow" w:hAnsi="Arial Narrow" w:cs="Courier New"/>
          <w:sz w:val="22"/>
          <w:szCs w:val="22"/>
          <w:lang w:eastAsia="sk-SK"/>
        </w:rPr>
        <w:t>druhu</w:t>
      </w:r>
      <w:r w:rsidRPr="00676D2B">
        <w:rPr>
          <w:rFonts w:ascii="Arial Narrow" w:hAnsi="Arial Narrow" w:cs="Courier New"/>
          <w:sz w:val="22"/>
          <w:szCs w:val="22"/>
          <w:lang w:eastAsia="sk-SK"/>
        </w:rPr>
        <w:t xml:space="preserve"> (sociálne príspevky, </w:t>
      </w:r>
      <w:r w:rsidR="00AA2C13" w:rsidRPr="00676D2B">
        <w:rPr>
          <w:rFonts w:ascii="Arial Narrow" w:hAnsi="Arial Narrow" w:cs="Courier New"/>
          <w:sz w:val="22"/>
          <w:szCs w:val="22"/>
          <w:lang w:eastAsia="sk-SK"/>
        </w:rPr>
        <w:t>príspevky verejnej správy</w:t>
      </w:r>
      <w:r w:rsidRPr="00676D2B">
        <w:rPr>
          <w:rFonts w:ascii="Arial Narrow" w:hAnsi="Arial Narrow" w:cs="Courier New"/>
          <w:sz w:val="22"/>
          <w:szCs w:val="22"/>
          <w:lang w:eastAsia="sk-SK"/>
        </w:rPr>
        <w:t xml:space="preserve">, </w:t>
      </w:r>
      <w:r w:rsidR="00AA2C13" w:rsidRPr="00676D2B">
        <w:rPr>
          <w:rFonts w:ascii="Arial Narrow" w:hAnsi="Arial Narrow" w:cs="Courier New"/>
          <w:sz w:val="22"/>
          <w:szCs w:val="22"/>
          <w:lang w:eastAsia="sk-SK"/>
        </w:rPr>
        <w:t>transfery</w:t>
      </w:r>
      <w:r w:rsidRPr="00676D2B">
        <w:rPr>
          <w:rFonts w:ascii="Arial Narrow" w:hAnsi="Arial Narrow" w:cs="Courier New"/>
          <w:sz w:val="22"/>
          <w:szCs w:val="22"/>
          <w:lang w:eastAsia="sk-SK"/>
        </w:rPr>
        <w:t xml:space="preserve"> z iných programov a </w:t>
      </w:r>
      <w:r w:rsidR="006A60CC" w:rsidRPr="00676D2B">
        <w:rPr>
          <w:rFonts w:ascii="Arial Narrow" w:hAnsi="Arial Narrow" w:cs="Courier New"/>
          <w:sz w:val="22"/>
          <w:szCs w:val="22"/>
          <w:lang w:eastAsia="sk-SK"/>
        </w:rPr>
        <w:t>iné</w:t>
      </w:r>
      <w:r w:rsidRPr="00676D2B">
        <w:rPr>
          <w:rFonts w:ascii="Arial Narrow" w:hAnsi="Arial Narrow" w:cs="Courier New"/>
          <w:sz w:val="22"/>
          <w:szCs w:val="22"/>
          <w:lang w:eastAsia="sk-SK"/>
        </w:rPr>
        <w:t xml:space="preserve"> príjmy) a podľa pôvodu</w:t>
      </w:r>
      <w:r w:rsidR="00AA2C13" w:rsidRPr="00676D2B">
        <w:rPr>
          <w:rFonts w:ascii="Arial Narrow" w:hAnsi="Arial Narrow" w:cs="Courier New"/>
          <w:sz w:val="22"/>
          <w:szCs w:val="22"/>
          <w:lang w:eastAsia="sk-SK"/>
        </w:rPr>
        <w:t xml:space="preserve"> (podľa SNÚ číselníka)</w:t>
      </w:r>
      <w:r w:rsidRPr="00676D2B">
        <w:rPr>
          <w:rFonts w:ascii="Arial Narrow" w:hAnsi="Arial Narrow" w:cs="Courier New"/>
          <w:sz w:val="22"/>
          <w:szCs w:val="22"/>
          <w:lang w:eastAsia="sk-SK"/>
        </w:rPr>
        <w:t xml:space="preserve">, tzn., z ktorých inštitucionálnych sektorov pochádzajú. </w:t>
      </w:r>
    </w:p>
    <w:p w:rsidR="00DE7883" w:rsidRPr="00676D2B" w:rsidRDefault="00DE7883" w:rsidP="00DE7883">
      <w:pPr>
        <w:jc w:val="both"/>
        <w:rPr>
          <w:rFonts w:ascii="Arial Narrow" w:hAnsi="Arial Narrow" w:cs="Arial"/>
          <w:sz w:val="22"/>
          <w:szCs w:val="22"/>
        </w:rPr>
      </w:pPr>
    </w:p>
    <w:p w:rsidR="00053A0B" w:rsidRPr="00676D2B" w:rsidRDefault="00053A0B" w:rsidP="006E36DF">
      <w:pPr>
        <w:jc w:val="both"/>
        <w:rPr>
          <w:rFonts w:ascii="Arial Narrow" w:hAnsi="Arial Narrow" w:cs="Arial"/>
          <w:sz w:val="22"/>
          <w:szCs w:val="22"/>
        </w:rPr>
      </w:pPr>
      <w:r w:rsidRPr="00676D2B">
        <w:rPr>
          <w:rFonts w:ascii="Arial Narrow" w:hAnsi="Arial Narrow" w:cs="Arial"/>
          <w:b/>
          <w:bCs/>
          <w:sz w:val="22"/>
          <w:szCs w:val="22"/>
        </w:rPr>
        <w:t>Sociálne príspevky</w:t>
      </w:r>
      <w:r w:rsidRPr="00676D2B">
        <w:rPr>
          <w:rFonts w:ascii="Arial Narrow" w:hAnsi="Arial Narrow" w:cs="Arial"/>
          <w:sz w:val="22"/>
          <w:szCs w:val="22"/>
        </w:rPr>
        <w:t xml:space="preserve"> sú náklady, ktoré vznikajú zamestnávateľom v mene ich zamestnancov alebo chráneným osobám na zabezpečenie nároku na sociálne dávky.</w:t>
      </w:r>
    </w:p>
    <w:p w:rsidR="00536087" w:rsidRPr="00676D2B" w:rsidRDefault="00536087" w:rsidP="009627B1">
      <w:pPr>
        <w:jc w:val="both"/>
        <w:rPr>
          <w:rFonts w:ascii="Arial Narrow" w:hAnsi="Arial Narrow" w:cs="Arial"/>
          <w:sz w:val="22"/>
          <w:szCs w:val="22"/>
        </w:rPr>
      </w:pPr>
    </w:p>
    <w:p w:rsidR="00053A0B" w:rsidRPr="00676D2B" w:rsidRDefault="00053A0B" w:rsidP="006E36DF">
      <w:pPr>
        <w:jc w:val="both"/>
        <w:rPr>
          <w:rFonts w:ascii="Arial Narrow" w:hAnsi="Arial Narrow" w:cs="Arial"/>
          <w:sz w:val="22"/>
          <w:szCs w:val="22"/>
        </w:rPr>
      </w:pPr>
      <w:r w:rsidRPr="00676D2B">
        <w:rPr>
          <w:rFonts w:ascii="Arial Narrow" w:hAnsi="Arial Narrow" w:cs="Arial"/>
          <w:b/>
          <w:bCs/>
          <w:sz w:val="22"/>
          <w:szCs w:val="22"/>
        </w:rPr>
        <w:t>Príspevky verejnej správy</w:t>
      </w:r>
      <w:r w:rsidRPr="00676D2B">
        <w:rPr>
          <w:rFonts w:ascii="Arial Narrow" w:hAnsi="Arial Narrow" w:cs="Arial"/>
          <w:sz w:val="22"/>
          <w:szCs w:val="22"/>
        </w:rPr>
        <w:t xml:space="preserve"> sú náklady verejnej správy na riadenie verejných nepríspevkových programov a finančnej podpory, ktorú verejná správa poskytuje iným národným programom sociálnej ochrany.</w:t>
      </w:r>
    </w:p>
    <w:p w:rsidR="00F4730E" w:rsidRPr="00A2285F" w:rsidRDefault="00F4730E" w:rsidP="00F4730E">
      <w:pPr>
        <w:keepNext/>
        <w:outlineLvl w:val="3"/>
        <w:rPr>
          <w:rFonts w:ascii="Arial" w:hAnsi="Arial" w:cs="Arial"/>
          <w:b/>
          <w:bCs/>
        </w:rPr>
      </w:pPr>
      <w:r w:rsidRPr="00A2285F">
        <w:rPr>
          <w:rFonts w:ascii="Arial" w:hAnsi="Arial" w:cs="Arial"/>
          <w:b/>
          <w:bCs/>
          <w:sz w:val="28"/>
        </w:rPr>
        <w:t xml:space="preserve">                                         </w:t>
      </w:r>
    </w:p>
    <w:p w:rsidR="00F4730E" w:rsidRPr="00A2285F" w:rsidRDefault="00F4730E" w:rsidP="00F4730E">
      <w:pPr>
        <w:keepNext/>
        <w:outlineLvl w:val="3"/>
        <w:rPr>
          <w:rFonts w:ascii="Arial Narrow" w:hAnsi="Arial Narrow" w:cs="Arial"/>
          <w:b/>
          <w:bCs/>
          <w:sz w:val="20"/>
          <w:szCs w:val="20"/>
        </w:rPr>
      </w:pPr>
      <w:r w:rsidRPr="00A2285F">
        <w:rPr>
          <w:rFonts w:ascii="Arial" w:hAnsi="Arial" w:cs="Arial"/>
          <w:b/>
          <w:bCs/>
          <w:sz w:val="28"/>
        </w:rPr>
        <w:t xml:space="preserve">       </w:t>
      </w:r>
      <w:r>
        <w:rPr>
          <w:rFonts w:ascii="Arial" w:hAnsi="Arial" w:cs="Arial"/>
          <w:b/>
          <w:bCs/>
          <w:sz w:val="28"/>
        </w:rPr>
        <w:t xml:space="preserve">                          </w:t>
      </w:r>
      <w:r w:rsidRPr="00A2285F">
        <w:rPr>
          <w:rFonts w:ascii="Arial" w:hAnsi="Arial" w:cs="Arial"/>
          <w:b/>
          <w:bCs/>
          <w:sz w:val="28"/>
        </w:rPr>
        <w:t xml:space="preserve"> </w:t>
      </w:r>
      <w:r w:rsidRPr="00F4730E">
        <w:rPr>
          <w:rFonts w:ascii="Arial Narrow" w:hAnsi="Arial Narrow" w:cs="Arial"/>
          <w:b/>
          <w:bCs/>
          <w:sz w:val="20"/>
          <w:szCs w:val="20"/>
        </w:rPr>
        <w:t>Štruktúra položiek</w:t>
      </w:r>
      <w:r>
        <w:rPr>
          <w:rFonts w:ascii="Arial" w:hAnsi="Arial" w:cs="Arial"/>
          <w:b/>
          <w:bCs/>
          <w:sz w:val="28"/>
        </w:rPr>
        <w:t xml:space="preserve"> </w:t>
      </w:r>
      <w:r>
        <w:rPr>
          <w:rFonts w:ascii="Arial Narrow" w:hAnsi="Arial Narrow" w:cs="Arial"/>
          <w:b/>
          <w:bCs/>
          <w:sz w:val="20"/>
          <w:szCs w:val="20"/>
        </w:rPr>
        <w:t>p</w:t>
      </w:r>
      <w:r w:rsidRPr="00A2285F">
        <w:rPr>
          <w:rFonts w:ascii="Arial Narrow" w:hAnsi="Arial Narrow" w:cs="Arial"/>
          <w:b/>
          <w:bCs/>
          <w:sz w:val="20"/>
          <w:szCs w:val="20"/>
        </w:rPr>
        <w:t>rogram</w:t>
      </w:r>
      <w:r>
        <w:rPr>
          <w:rFonts w:ascii="Arial Narrow" w:hAnsi="Arial Narrow" w:cs="Arial"/>
          <w:b/>
          <w:bCs/>
          <w:sz w:val="20"/>
          <w:szCs w:val="20"/>
        </w:rPr>
        <w:t>ov</w:t>
      </w:r>
      <w:r w:rsidRPr="00A2285F">
        <w:rPr>
          <w:rFonts w:ascii="Arial Narrow" w:hAnsi="Arial Narrow" w:cs="Arial"/>
          <w:b/>
          <w:bCs/>
          <w:sz w:val="20"/>
          <w:szCs w:val="20"/>
        </w:rPr>
        <w:t xml:space="preserve"> sociálnej ochrany</w:t>
      </w:r>
    </w:p>
    <w:p w:rsidR="00F4730E" w:rsidRPr="00A2285F" w:rsidRDefault="00F4730E" w:rsidP="00F4730E">
      <w:pPr>
        <w:jc w:val="center"/>
        <w:rPr>
          <w:rFonts w:ascii="Arial Narrow" w:hAnsi="Arial Narrow" w:cs="Arial"/>
          <w:sz w:val="20"/>
          <w:szCs w:val="20"/>
        </w:rPr>
      </w:pPr>
      <w:r w:rsidRPr="00A2285F">
        <w:rPr>
          <w:noProof/>
          <w:lang w:eastAsia="sk-SK"/>
        </w:rPr>
        <mc:AlternateContent>
          <mc:Choice Requires="wps">
            <w:drawing>
              <wp:anchor distT="0" distB="0" distL="114300" distR="114300" simplePos="0" relativeHeight="251752448" behindDoc="0" locked="0" layoutInCell="1" allowOverlap="1" wp14:anchorId="48D00A7E" wp14:editId="702F71D7">
                <wp:simplePos x="0" y="0"/>
                <wp:positionH relativeFrom="column">
                  <wp:posOffset>2852420</wp:posOffset>
                </wp:positionH>
                <wp:positionV relativeFrom="paragraph">
                  <wp:posOffset>8255</wp:posOffset>
                </wp:positionV>
                <wp:extent cx="347980" cy="114300"/>
                <wp:effectExtent l="0" t="0" r="52070" b="76200"/>
                <wp:wrapNone/>
                <wp:docPr id="35"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8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6AAE5" id="Line 150"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6pt,.65pt" to="252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MZmMAIAAFEEAAAOAAAAZHJzL2Uyb0RvYy54bWysVE2P2jAQvVfqf7B8hyQQWIgIqyqBXmiL&#10;tNsfYGyHWHVsyzYEVPW/d2w+utteVqvm4Izj8Zs3b2ayeDx1Eh25dUKrEmfDFCOuqGZC7Uv8/Xk9&#10;mGHkPFGMSK14ic/c4cflxw+L3hR8pFstGbcIQJQrelPi1ntTJImjLe+IG2rDFRw22nbEw9buE2ZJ&#10;D+idTEZpOk16bZmxmnLn4Gt9OcTLiN80nPpvTeO4R7LEwM3H1cZ1F9ZkuSDF3hLTCnqlQd7BoiNC&#10;QdA7VE08QQcr/oHqBLXa6cYPqe4S3TSC8pgDZJOlf2Xz1BLDYy4gjjN3mdz/g6Vfj1uLBCvxeIKR&#10;Ih3UaCMUR9kkitMbV4BPpbY2pEdP6slsNP3hkNJVS9SeR5LPZwMXsyBn8upK2DgDIXb9F83Ahxy8&#10;jkqdGtsFSNAAnWJBzveC8JNHFD6O84f5DMpG4SjL8nEaOSWkuF021vnPXHcoGCWWwDyCk+PG+UCG&#10;FDeXEEvptZAy1lwq1Jd4PhlN4gWnpWDhMLg5u99V0qIjCV0Tn5gZnLx0s/qgWARrOWGrq+2JkGAj&#10;HyXxVoBIkuMQreMMI8lhUIJ1oSdViAgJA+GrdWmcn/N0vpqtZvkgH01Xgzyt68GndZUPpuvsYVKP&#10;66qqs1+BfJYXrWCMq8D/1sRZ/rYmuY7Tpf3ubXwXKnmNHhUFsrd3JB0rHoocps4VO83OWxuyCzvo&#10;2+h8nbEwGC/30evPn2D5GwAA//8DAFBLAwQUAAYACAAAACEAiRuMg98AAAAIAQAADwAAAGRycy9k&#10;b3ducmV2LnhtbEyPzU7DMBCE70i8g7VI3KjTNqA0xKkQUrm0FLVFCG5uvCQR8TqynTa8PcsJjqNv&#10;ND/FcrSdOKEPrSMF00kCAqlypqVawethdZOBCFGT0Z0jVPCNAZbl5UWhc+POtMPTPtaCQyjkWkET&#10;Y59LGaoGrQ4T1yMx+3Te6sjS19J4feZw28lZktxJq1vihkb3+Nhg9bUfrILdZrXO3tbDWPmPp+n2&#10;8LJ5fg+ZUtdX48M9iIhj/DPD73yeDiVvOrqBTBCdgjRdzNjKYA6C+W2S8rcj68UcZFnI/wfKHwAA&#10;AP//AwBQSwECLQAUAAYACAAAACEAtoM4kv4AAADhAQAAEwAAAAAAAAAAAAAAAAAAAAAAW0NvbnRl&#10;bnRfVHlwZXNdLnhtbFBLAQItABQABgAIAAAAIQA4/SH/1gAAAJQBAAALAAAAAAAAAAAAAAAAAC8B&#10;AABfcmVscy8ucmVsc1BLAQItABQABgAIAAAAIQAWbMZmMAIAAFEEAAAOAAAAAAAAAAAAAAAAAC4C&#10;AABkcnMvZTJvRG9jLnhtbFBLAQItABQABgAIAAAAIQCJG4yD3wAAAAgBAAAPAAAAAAAAAAAAAAAA&#10;AIoEAABkcnMvZG93bnJldi54bWxQSwUGAAAAAAQABADzAAAAlgUAAAAA&#10;">
                <v:stroke endarrow="block"/>
              </v:line>
            </w:pict>
          </mc:Fallback>
        </mc:AlternateContent>
      </w:r>
      <w:r w:rsidRPr="00A2285F">
        <w:rPr>
          <w:noProof/>
          <w:lang w:eastAsia="sk-SK"/>
        </w:rPr>
        <mc:AlternateContent>
          <mc:Choice Requires="wps">
            <w:drawing>
              <wp:anchor distT="0" distB="0" distL="114300" distR="114300" simplePos="0" relativeHeight="251751424" behindDoc="0" locked="0" layoutInCell="1" allowOverlap="1" wp14:anchorId="672F3EC9" wp14:editId="1A88A4A0">
                <wp:simplePos x="0" y="0"/>
                <wp:positionH relativeFrom="column">
                  <wp:posOffset>2004695</wp:posOffset>
                </wp:positionH>
                <wp:positionV relativeFrom="paragraph">
                  <wp:posOffset>8255</wp:posOffset>
                </wp:positionV>
                <wp:extent cx="304800" cy="114300"/>
                <wp:effectExtent l="38100" t="0" r="19050" b="57150"/>
                <wp:wrapNone/>
                <wp:docPr id="50"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B31C8" id="Line 149" o:spid="_x0000_s1026" style="position:absolute;flip:x;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85pt,.65pt" to="181.8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qyQNAIAAFsEAAAOAAAAZHJzL2Uyb0RvYy54bWysVMGO2jAQvVfqP1i+QxIIFCLCqiLQHugW&#10;abcfYGyHWHVsyzYEVPXfOzaBlvZSVeVgxp6ZN2+ex1k8nVuJTtw6oVWJs2GKEVdUM6EOJf7yuhnM&#10;MHKeKEakVrzEF+7w0/Ltm0VnCj7SjZaMWwQgyhWdKXHjvSmSxNGGt8QNteEKnLW2LfGwtYeEWdIB&#10;eiuTUZpOk05bZqym3Dk4ra5OvIz4dc2p/1zXjnskSwzcfFxtXPdhTZYLUhwsMY2gPQ3yDyxaIhQU&#10;vUNVxBN0tOIPqFZQq52u/ZDqNtF1LSiPPUA3WfpbNy8NMTz2AuI4c5fJ/T9Y+nzaWSRYiScgjyIt&#10;3NFWKI6yfB7E6YwrIGaldja0R8/qxWw1/eqQ0quGqAOPJF8vBhKzkJE8pISNM1Bi333SDGLI0euo&#10;1Lm2LaqlMB9DYgAHNdA5Xs3lfjX87BGFw3Gaz1JgSMGVZfkY7FCLFAEmJBvr/AeuWxSMEkvoIYKS&#10;09b5a+gtJIQrvRFSwjkppEJdieeT0SQmOC0FC87gc/awX0mLTiTMT/z1dR/CrD4qFsEaTti6tz0R&#10;EmzkozjeCpBLchyqtZxhJDk8mWBd6UkVKkLDQLi3riP0bZ7O17P1LB/ko+l6kKdVNXi/WeWD6SZ7&#10;N6nG1WpVZd8D+SwvGsEYV4H/bZyz/O/GpX9Y10G8D/RdqOQRPYoPZG//kXS8+3Dd18HZa3bZ2dBd&#10;GAOY4Bjcv7bwRH7dx6if34TlDwAAAP//AwBQSwMEFAAGAAgAAAAhALI9Y7ndAAAACAEAAA8AAABk&#10;cnMvZG93bnJldi54bWxMj8FOwzAQRO9I/IO1SNyoE0wLDXEqhEDihKBFSNzceElC43Ww3Sbw9Swn&#10;OD7NaPZtuZpcLw4YYudJQz7LQCDV3nbUaHjZ3J9dgYjJkDW9J9TwhRFW1fFRaQrrR3rGwzo1gkco&#10;FkZDm9JQSBnrFp2JMz8gcfbugzOJMTTSBjPyuOvleZYtpDMd8YXWDHjbYr1b752G5Wac+6ewe73I&#10;u8+377uPNDw8Jq1PT6abaxAJp/RXhl99VoeKnbZ+TzaKXoPK55dc5UCB4FwtFPOWealAVqX8/0D1&#10;AwAA//8DAFBLAQItABQABgAIAAAAIQC2gziS/gAAAOEBAAATAAAAAAAAAAAAAAAAAAAAAABbQ29u&#10;dGVudF9UeXBlc10ueG1sUEsBAi0AFAAGAAgAAAAhADj9If/WAAAAlAEAAAsAAAAAAAAAAAAAAAAA&#10;LwEAAF9yZWxzLy5yZWxzUEsBAi0AFAAGAAgAAAAhALgKrJA0AgAAWwQAAA4AAAAAAAAAAAAAAAAA&#10;LgIAAGRycy9lMm9Eb2MueG1sUEsBAi0AFAAGAAgAAAAhALI9Y7ndAAAACAEAAA8AAAAAAAAAAAAA&#10;AAAAjgQAAGRycy9kb3ducmV2LnhtbFBLBQYAAAAABAAEAPMAAACYBQAAAAA=&#10;">
                <v:stroke endarrow="block"/>
              </v:line>
            </w:pict>
          </mc:Fallback>
        </mc:AlternateContent>
      </w:r>
    </w:p>
    <w:p w:rsidR="00F4730E" w:rsidRPr="00A2285F" w:rsidRDefault="00F4730E" w:rsidP="00F4730E">
      <w:pPr>
        <w:rPr>
          <w:rFonts w:ascii="Arial Narrow" w:hAnsi="Arial Narrow" w:cs="Arial"/>
          <w:b/>
          <w:bCs/>
          <w:sz w:val="20"/>
          <w:szCs w:val="20"/>
        </w:rPr>
      </w:pPr>
      <w:r w:rsidRPr="00A2285F">
        <w:rPr>
          <w:noProof/>
          <w:lang w:eastAsia="sk-SK"/>
        </w:rPr>
        <mc:AlternateContent>
          <mc:Choice Requires="wps">
            <w:drawing>
              <wp:anchor distT="0" distB="0" distL="114300" distR="114300" simplePos="0" relativeHeight="251760640" behindDoc="0" locked="0" layoutInCell="1" allowOverlap="1" wp14:anchorId="07204E6B" wp14:editId="7D6D0C80">
                <wp:simplePos x="0" y="0"/>
                <wp:positionH relativeFrom="column">
                  <wp:posOffset>3890645</wp:posOffset>
                </wp:positionH>
                <wp:positionV relativeFrom="line">
                  <wp:posOffset>81915</wp:posOffset>
                </wp:positionV>
                <wp:extent cx="1409700" cy="1790700"/>
                <wp:effectExtent l="0" t="0" r="0" b="0"/>
                <wp:wrapNone/>
                <wp:docPr id="62" name="Arc 2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09700" cy="179070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F84B6" id="Arc 216" o:spid="_x0000_s1026" style="position:absolute;margin-left:306.35pt;margin-top:6.45pt;width:111pt;height:141pt;flip:x 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G8m9gMAAGUKAAAOAAAAZHJzL2Uyb0RvYy54bWzUVlmP4zYMfi/Q/yD4sYXHRxw7DiazyOXd&#10;ArMHsNO+K7IcG2NbrqQcs0X/e0n5iCc70y66fWkCGJT1meRHUqRu35yrkhy5VIWoF5Z341qE10yk&#10;Rb1fWL8+JPbMIkrTOqWlqPnCeuLKenP34w+3p2bOfZGLMuWSgJJazU/Nwsq1buaOo1jOK6puRMNr&#10;2MyErKiGpdw7qaQn0F6Vju+6oXMSMm2kYFwpeLtpN607oz/LONMfs0xxTcqFBb5p85TmucOnc3dL&#10;53tJm7xgnRv0X3hR0aIGo4OqDdWUHGTxlaqqYFIokekbJipHZFnBuOEAbDz3is3nnDbccIHgqGYI&#10;k/rv1LIPx0+SFOnCCn2L1LSCHC0lI74XYmxOjZoD5HPzSSI71dwL9qhgw3m2gwsFGLI7vRcpqKAH&#10;LUw8zpmsSFYWzTuoDstIv6GE2oA9OZtUPA2p4GdNGLz0AjeOXMgYgz0vil1coF06R5X4OTso/ZYL&#10;I9PjvdJtLlOQTCbSjs5b0JJVJaT1Z5u4+O+yPgDQsR4AxN0XQRCefwQ9DKZ+csDQCcPY+g2V0Zt7&#10;GMwZUP4yaDAHoNanV7RNer8G4CsagxHwVd+mI1BrdqQNgr/vw0vzPuLsXHchB4lQPPiuyW8jFOYX&#10;gwJJBNpt/gBl0vcyGHgjePJNYKCE4OkYDE5ePJLQAK6PvrQIHP1dWwQN1UgEHUKRnBZWmzOSD1JW&#10;lNA9auhf0NzOWh6w2X187GlW4sgfhNGgka8N+QWv+nK9bLPDrmAr/mUM9rzYjy948MLo6HwANXEY&#10;dfV6vdNiupiOVEMAkMrfUlJaikc4p5Ca/wEjOi/rcdDaghrz7/dZKRRvQ9LGoAuGSTFWxqhn1CKB&#10;xAIY1eNzeAHA9g03E6QvdIhUVyrYpUx3/yN24+1sOwvswA+3duBuNvYyWQd2mHjRdDPZrNcb7088&#10;DV4wz4s05TUa7SeNF3xbJ+9mXjsjhlmjRFmkqA6dV3K/W5eSHCnUamJ+3akYwZznbph2Clzw+xEl&#10;zw/clR/bSTiL7CAJpja04pntevEqDt0gDjbJc0r3Rc2/nxKevXjqT03vGDl9xc01v6+50bkUhzo1&#10;+cw5TbedrGlRtvKIPXr8MvtlMnWjYDKzo2g6sYPJ1rVXs2RtL9deGEbb1Xq1vUro1hQJtDpziYEI&#10;f09OxxU38rezcXEZSrQvRzOKcfq243on0ieYxFJoc7zhbgZCLuQXi5zgnrOw1O8HKqGVlb/UcJGI&#10;vSCA86TNIphGPizkeGc33qE1A1ULS1vQ6FFc6/YydWhksc/BUjvaa7GEG0BW4Ew2/rVedQu4yxgm&#10;3b0LL0vjtUFdbod3fwEAAP//AwBQSwMEFAAGAAgAAAAhALdjxoziAAAACgEAAA8AAABkcnMvZG93&#10;bnJldi54bWxMj01Lw0AQhu+C/2EZwZvdfJQ2idkULVRUKGIVvG6TMRvMzsbsto3+eseTHmfeh3ee&#10;KVeT7cURR985UhDPIhBItWs6ahW8vmyuMhA+aGp07wgVfKGHVXV+VuqicSd6xuMutIJLyBdagQlh&#10;KKT0tUGr/cwNSJy9u9HqwOPYymbUJy63vUyiaCGt7ogvGD3g2mD9sTtYBTXGjw/p5n69zb636d3T&#10;7bR8+zRKXV5MN9cgAk7hD4ZffVaHip327kCNF72CRZwsGeUgyUEwkKVzXuwVJPk8B1mV8v8L1Q8A&#10;AAD//wMAUEsBAi0AFAAGAAgAAAAhALaDOJL+AAAA4QEAABMAAAAAAAAAAAAAAAAAAAAAAFtDb250&#10;ZW50X1R5cGVzXS54bWxQSwECLQAUAAYACAAAACEAOP0h/9YAAACUAQAACwAAAAAAAAAAAAAAAAAv&#10;AQAAX3JlbHMvLnJlbHNQSwECLQAUAAYACAAAACEAWqxvJvYDAABlCgAADgAAAAAAAAAAAAAAAAAu&#10;AgAAZHJzL2Uyb0RvYy54bWxQSwECLQAUAAYACAAAACEAt2PGjOIAAAAKAQAADwAAAAAAAAAAAAAA&#10;AABQBgAAZHJzL2Rvd25yZXYueG1sUEsFBgAAAAAEAAQA8wAAAF8HAAAAAA==&#10;" path="m-1,nfc11929,,21600,9670,21600,21600em-1,nsc11929,,21600,9670,21600,21600l,21600,-1,xe" filled="f" stroked="f">
                <v:path arrowok="t" o:extrusionok="f" o:connecttype="custom" o:connectlocs="0,0;1409700,1790700;0,1790700" o:connectangles="0,0,0"/>
                <w10:wrap anchory="line"/>
              </v:shape>
            </w:pict>
          </mc:Fallback>
        </mc:AlternateContent>
      </w:r>
      <w:r w:rsidRPr="00A2285F">
        <w:rPr>
          <w:rFonts w:ascii="Arial Narrow" w:hAnsi="Arial Narrow" w:cs="Arial"/>
          <w:b/>
          <w:bCs/>
          <w:sz w:val="20"/>
          <w:szCs w:val="20"/>
        </w:rPr>
        <w:t xml:space="preserve">                                                              príjmy                                 výdavky</w:t>
      </w:r>
    </w:p>
    <w:p w:rsidR="00F4730E" w:rsidRPr="00A2285F" w:rsidRDefault="00F4730E" w:rsidP="00F4730E">
      <w:pPr>
        <w:rPr>
          <w:rFonts w:ascii="Arial Narrow" w:hAnsi="Arial Narrow" w:cs="Arial"/>
          <w:iCs/>
          <w:sz w:val="20"/>
          <w:szCs w:val="20"/>
          <w:u w:val="single"/>
        </w:rPr>
      </w:pPr>
      <w:r w:rsidRPr="00A2285F">
        <w:rPr>
          <w:noProof/>
          <w:lang w:eastAsia="sk-SK"/>
        </w:rPr>
        <mc:AlternateContent>
          <mc:Choice Requires="wps">
            <w:drawing>
              <wp:anchor distT="0" distB="0" distL="114299" distR="114299" simplePos="0" relativeHeight="251756544" behindDoc="0" locked="0" layoutInCell="1" allowOverlap="1" wp14:anchorId="5B857C17" wp14:editId="2AF66648">
                <wp:simplePos x="0" y="0"/>
                <wp:positionH relativeFrom="column">
                  <wp:posOffset>2804795</wp:posOffset>
                </wp:positionH>
                <wp:positionV relativeFrom="paragraph">
                  <wp:posOffset>111126</wp:posOffset>
                </wp:positionV>
                <wp:extent cx="0" cy="1409700"/>
                <wp:effectExtent l="0" t="0" r="19050" b="19050"/>
                <wp:wrapNone/>
                <wp:docPr id="63"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45F598" id="Line 154" o:spid="_x0000_s1026" style="position:absolute;z-index:251756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0.85pt,8.75pt" to="220.85pt,1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MlqFQIAACs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SzB4wU&#10;6UCjZ6E4yqZ5aE5vXAE+ldraUB49qVfzrOl3h5SuWqL2PJJ8OxsIzEJE8i4kbJyBFLv+i2bgQw5e&#10;x06dGtsFSOgBOkVBzjdB+MkjOhxSOM3ydPGYRrESUlwDjXX+M9cdCkaJJbCOwOT47HwgQoqrS8ij&#10;9EZIGfWWCvUlXkwn0xjgtBQsXAY3Z/e7Slp0JGFi4hergpt7N6sPikWwlhO2vtieCDnYkFyqgAel&#10;AJ2LNYzEj0W6WM/X83yUT2brUZ7W9ejTpspHs032OK0f6qqqs5+BWpYXrWCMq8DuOp5Z/nfyXx7K&#10;MFi3Ab21IXmPHvsFZK//SDpqGeQbBmGn2XlrrxrDREbny+sJI3+/B/v+ja9+AQAA//8DAFBLAwQU&#10;AAYACAAAACEAKAybPt4AAAAKAQAADwAAAGRycy9kb3ducmV2LnhtbEyPwU7DMAyG70i8Q2QkLhNL&#10;120MStMJAb1xYYC4eo1pKxqna7Kt8PQYcYCj/X/6/Tlfj65TBxpC69nAbJqAIq68bbk28PJcXlyB&#10;ChHZYueZDHxSgHVxepJjZv2Rn+iwibWSEg4ZGmhi7DOtQ9WQwzD1PbFk735wGGUcam0HPEq563Sa&#10;JJfaYctyocGe7hqqPjZ7ZyCUr7QrvybVJHmb157S3f3jAxpzfjbe3oCKNMY/GH70RR0Kcdr6Pdug&#10;OgOLxWwlqASrJSgBfhdbA+n8egm6yPX/F4pvAAAA//8DAFBLAQItABQABgAIAAAAIQC2gziS/gAA&#10;AOEBAAATAAAAAAAAAAAAAAAAAAAAAABbQ29udGVudF9UeXBlc10ueG1sUEsBAi0AFAAGAAgAAAAh&#10;ADj9If/WAAAAlAEAAAsAAAAAAAAAAAAAAAAALwEAAF9yZWxzLy5yZWxzUEsBAi0AFAAGAAgAAAAh&#10;AP2wyWoVAgAAKwQAAA4AAAAAAAAAAAAAAAAALgIAAGRycy9lMm9Eb2MueG1sUEsBAi0AFAAGAAgA&#10;AAAhACgMmz7eAAAACgEAAA8AAAAAAAAAAAAAAAAAbwQAAGRycy9kb3ducmV2LnhtbFBLBQYAAAAA&#10;BAAEAPMAAAB6BQAAAAA=&#10;"/>
            </w:pict>
          </mc:Fallback>
        </mc:AlternateContent>
      </w:r>
      <w:r w:rsidRPr="00A2285F">
        <w:rPr>
          <w:noProof/>
          <w:lang w:eastAsia="sk-SK"/>
        </w:rPr>
        <mc:AlternateContent>
          <mc:Choice Requires="wps">
            <w:drawing>
              <wp:anchor distT="0" distB="0" distL="114300" distR="114300" simplePos="0" relativeHeight="251748352" behindDoc="0" locked="0" layoutInCell="1" allowOverlap="1" wp14:anchorId="49BEAF86" wp14:editId="33607994">
                <wp:simplePos x="0" y="0"/>
                <wp:positionH relativeFrom="column">
                  <wp:posOffset>804546</wp:posOffset>
                </wp:positionH>
                <wp:positionV relativeFrom="paragraph">
                  <wp:posOffset>34925</wp:posOffset>
                </wp:positionV>
                <wp:extent cx="3314700" cy="1524000"/>
                <wp:effectExtent l="0" t="0" r="19050" b="19050"/>
                <wp:wrapNone/>
                <wp:docPr id="129"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0" cy="15240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62A0B" id="Rectangle 146" o:spid="_x0000_s1026" style="position:absolute;margin-left:63.35pt;margin-top:2.75pt;width:261pt;height:120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s5wegIAAAAFAAAOAAAAZHJzL2Uyb0RvYy54bWysVF9v2yAQf5+074B4T/2nTppYdaoqTqZJ&#10;3Vat2wcggGM0DAxInK7ad9+BkyxZX6ZpfsAcd9zd7+533N7tO4l23DqhVYWzqxQjrqhmQm0q/PXL&#10;ajTFyHmiGJFa8Qo/c4fv5m/f3Pam5LlutWTcInCiXNmbCrfemzJJHG15R9yVNlyBstG2Ix5Eu0mY&#10;JT1472SSp+kk6bVlxmrKnYPTelDiefTfNJz6T03juEeywpCbj6uN6zqsyfyWlBtLTCvoIQ3yD1l0&#10;RCgIenJVE0/Q1opXrjpBrXa68VdUd4luGkF5xABosvQPNE8tMTxigeI4cyqT+39u6cfdo0WCQe/y&#10;GUaKdNCkz1A2ojaSo6yYhBL1xpVg+WQebQDpzIOm3xxSetGCHb+3VvctJwwSy4J9cnEhCA6uonX/&#10;QTPwT7Zex2rtG9sFh1AHtI9NeT41he89onB4fZ0VNyn0joIuG+dFCkKIQcrjdWOdf8d1h8KmwhbS&#10;j+7J7sH5wfRoEqIpvRJSwjkppUJ9hWfjfBwvOC0FC8qI0m7WC2nRjgTuxO8Q98KsEx4YLEVX4enJ&#10;iJShHEvFYhRPhBz2kLRUwTmgg9wOu4EpL7N0tpwup8WoyCfLUZHW9eh+tShGk1V2M66v68Wizn6G&#10;PLOibAVjXIVUj6zNir9jxWF+Br6deHsByZ0jX8XvNfLkMo3YEEB1/Ed0kQeh9QOF1po9Aw2sHsYQ&#10;ng3YtNr+wKiHEayw+74llmMk3yug0iwrijCzUSjGNzkI9lyzPtcQRcFVhT1Gw3bhhznfGis2LUTK&#10;Yo+Vvgf6NSISI1BzyOpAWhiziODwJIQ5Ppej1e+Ha/4LAAD//wMAUEsDBBQABgAIAAAAIQBA0jro&#10;3AAAAAkBAAAPAAAAZHJzL2Rvd25yZXYueG1sTI/BTsMwEETvSPyDtUjcqEPUhCqNUwVEr5VokaA3&#10;N1nsqPE6it0m/D3LCY5vZzQ7U25m14srjqHzpOBxkYBAanzbkVHwftg+rECEqKnVvSdU8I0BNtXt&#10;TamL1k/0htd9NIJDKBRagY1xKKQMjUWnw8IPSKx9+dHpyDga2Y564nDXyzRJcul0R/zB6gFfLDbn&#10;/cUpeB2OuzozQdYf0X6e/fO0tTuj1P3dXK9BRJzjnxl+63N1qLjTyV+oDaJnTvMntirIMhCs58sV&#10;80lBuuSLrEr5f0H1AwAA//8DAFBLAQItABQABgAIAAAAIQC2gziS/gAAAOEBAAATAAAAAAAAAAAA&#10;AAAAAAAAAABbQ29udGVudF9UeXBlc10ueG1sUEsBAi0AFAAGAAgAAAAhADj9If/WAAAAlAEAAAsA&#10;AAAAAAAAAAAAAAAALwEAAF9yZWxzLy5yZWxzUEsBAi0AFAAGAAgAAAAhAFaGznB6AgAAAAUAAA4A&#10;AAAAAAAAAAAAAAAALgIAAGRycy9lMm9Eb2MueG1sUEsBAi0AFAAGAAgAAAAhAEDSOujcAAAACQEA&#10;AA8AAAAAAAAAAAAAAAAA1AQAAGRycy9kb3ducmV2LnhtbFBLBQYAAAAABAAEAPMAAADdBQAAAAA=&#10;" filled="f"/>
            </w:pict>
          </mc:Fallback>
        </mc:AlternateContent>
      </w:r>
      <w:r w:rsidRPr="00A2285F">
        <w:rPr>
          <w:rFonts w:ascii="Arial Narrow" w:hAnsi="Arial Narrow" w:cs="Arial"/>
          <w:iCs/>
          <w:sz w:val="20"/>
          <w:szCs w:val="20"/>
        </w:rPr>
        <w:t xml:space="preserve"> </w:t>
      </w:r>
      <w:r w:rsidRPr="00A2285F">
        <w:rPr>
          <w:rFonts w:ascii="Arial Narrow" w:hAnsi="Arial Narrow" w:cs="Arial"/>
          <w:sz w:val="20"/>
          <w:szCs w:val="20"/>
        </w:rPr>
        <w:t xml:space="preserve">  </w:t>
      </w:r>
    </w:p>
    <w:p w:rsidR="00F4730E" w:rsidRPr="00A2285F" w:rsidRDefault="00F4730E" w:rsidP="00F4730E">
      <w:pPr>
        <w:rPr>
          <w:rFonts w:ascii="Arial Narrow" w:hAnsi="Arial Narrow" w:cs="Arial"/>
          <w:b/>
          <w:bCs/>
          <w:sz w:val="20"/>
          <w:szCs w:val="20"/>
        </w:rPr>
      </w:pPr>
      <w:r w:rsidRPr="00A2285F">
        <w:rPr>
          <w:b/>
          <w:noProof/>
          <w:lang w:eastAsia="sk-SK"/>
        </w:rPr>
        <mc:AlternateContent>
          <mc:Choice Requires="wps">
            <w:drawing>
              <wp:anchor distT="0" distB="0" distL="114300" distR="114300" simplePos="0" relativeHeight="251750400" behindDoc="0" locked="0" layoutInCell="1" allowOverlap="1" wp14:anchorId="1724EAB3" wp14:editId="7E4C96E3">
                <wp:simplePos x="0" y="0"/>
                <wp:positionH relativeFrom="column">
                  <wp:posOffset>785495</wp:posOffset>
                </wp:positionH>
                <wp:positionV relativeFrom="paragraph">
                  <wp:posOffset>130175</wp:posOffset>
                </wp:positionV>
                <wp:extent cx="200025" cy="1066800"/>
                <wp:effectExtent l="57150" t="38100" r="28575" b="19050"/>
                <wp:wrapNone/>
                <wp:docPr id="131"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0025" cy="1066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783DF" id="Line 148" o:spid="_x0000_s1026" style="position:absolute;flip:x y;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85pt,10.25pt" to="77.6pt,9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3fWOQIAAGcEAAAOAAAAZHJzL2Uyb0RvYy54bWysVMFu2zAMvQ/YPwi6J7ZTJ0uNOsUQJ9uh&#10;2wK0212R5FiYLAmSGicY9u8jlTRdu8swzAeZssjHR/LJN7eHXpO99EFZU9NinFMiDbdCmV1Nvz6s&#10;R3NKQmRGMG2NrOlRBnq7ePvmZnCVnNjOaiE9ARATqsHVtIvRVVkWeCd7FsbWSQOHrfU9i7D1u0x4&#10;NgB6r7NJns+ywXrhvOUyBPjanA7pIuG3reTxS9sGGYmuKXCLafVp3eKaLW5YtfPMdYqfabB/YNEz&#10;ZSDpBaphkZFHr/6A6hX3Ntg2jrntM9u2istUA1RT5K+que+Yk6kWaE5wlzaF/wfLP+83nigBs7sq&#10;KDGshyHdKSNJUc6xO4MLFTgtzcZjffxg7t2d5d8DMXbZMbOTieXD0UFggRHZixDcBAc5tsMnK8CH&#10;PUabWnVofU9ardxHDEzWN7QwDTSGHNKUjpcpyUMkHD7C2PPJlBIOR0U+m83zNMaMVYiI0c6H+EHa&#10;nqBRUw3lJFS2vwsRGT67oLuxa6V1UoI2ZKjp9RTw8SRYrQQepo3fbZfakz1DLaUnlfvKzdtHIxJY&#10;J5lYne3IlAabxNSn6BV0TkuK2XopKNESrg9aJ3raYEaoGAifrZOcflzn16v5al6OyslsNSrzphm9&#10;Xy/L0WxdvJs2V81y2RQ/kXxRVp0SQhrk/yTtovw76Zwv2UmUF3FfGpW9RE8dBbJP70Q6yQAnf9LQ&#10;1orjxmN1qAhQc3I+3zy8Lr/vk9fz/2HxCwAA//8DAFBLAwQUAAYACAAAACEA3/46/N8AAAAKAQAA&#10;DwAAAGRycy9kb3ducmV2LnhtbEyPQU7DMBBF90jcwRokNhW1Y5QShThVhQRUbCpaDuDGQxKwx1Hs&#10;tOH2uCvYzdc8/XlTrWdn2QnH0HtSkC0FMKTGm55aBR+H57sCWIiajLaeUMEPBljX11eVLo0/0zue&#10;9rFlqYRCqRV0MQ4l56Hp0Omw9ANS2n360emY4thyM+pzKneWSyFW3Ome0oVOD/jUYfO9n5yCzbD7&#10;muQ2ezHiIBcLu11l/vVNqdubefMILOIc/2C46Cd1qJPT0U9kArMpy/uHhCqQIgd2AfJcAjumoShy&#10;4HXF/79Q/wIAAP//AwBQSwECLQAUAAYACAAAACEAtoM4kv4AAADhAQAAEwAAAAAAAAAAAAAAAAAA&#10;AAAAW0NvbnRlbnRfVHlwZXNdLnhtbFBLAQItABQABgAIAAAAIQA4/SH/1gAAAJQBAAALAAAAAAAA&#10;AAAAAAAAAC8BAABfcmVscy8ucmVsc1BLAQItABQABgAIAAAAIQDNg3fWOQIAAGcEAAAOAAAAAAAA&#10;AAAAAAAAAC4CAABkcnMvZTJvRG9jLnhtbFBLAQItABQABgAIAAAAIQDf/jr83wAAAAoBAAAPAAAA&#10;AAAAAAAAAAAAAJMEAABkcnMvZG93bnJldi54bWxQSwUGAAAAAAQABADzAAAAnwUAAAAA&#10;">
                <v:stroke endarrow="block"/>
              </v:line>
            </w:pict>
          </mc:Fallback>
        </mc:AlternateContent>
      </w:r>
      <w:r w:rsidRPr="00A2285F">
        <w:rPr>
          <w:b/>
          <w:noProof/>
          <w:lang w:eastAsia="sk-SK"/>
        </w:rPr>
        <mc:AlternateContent>
          <mc:Choice Requires="wps">
            <w:drawing>
              <wp:anchor distT="0" distB="0" distL="114300" distR="114300" simplePos="0" relativeHeight="251755520" behindDoc="0" locked="0" layoutInCell="1" allowOverlap="1" wp14:anchorId="5B4575B4" wp14:editId="12C1622B">
                <wp:simplePos x="0" y="0"/>
                <wp:positionH relativeFrom="column">
                  <wp:posOffset>3652520</wp:posOffset>
                </wp:positionH>
                <wp:positionV relativeFrom="paragraph">
                  <wp:posOffset>53975</wp:posOffset>
                </wp:positionV>
                <wp:extent cx="752475" cy="266700"/>
                <wp:effectExtent l="0" t="38100" r="47625" b="19050"/>
                <wp:wrapNone/>
                <wp:docPr id="137"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2475"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2813B" id="Line 153" o:spid="_x0000_s1026" style="position:absolute;flip: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6pt,4.25pt" to="346.8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rOUNwIAAFwEAAAOAAAAZHJzL2Uyb0RvYy54bWysVE2P2yAQvVfqf0DcE3/E+bLirKo46SVt&#10;I+22dwI4RsWAgMSJqv73DiSb3W0vVVUf8OCZebyZeXjxcO4kOnHrhFYVzoYpRlxRzYQ6VPjr02Yw&#10;w8h5ohiRWvEKX7jDD8v37xa9KXmuWy0ZtwhAlCt7U+HWe1MmiaMt74gbasMVOBttO+Jhaw8Js6QH&#10;9E4meZpOkl5bZqym3Dn4Wl+deBnxm4ZT/6VpHPdIVhi4+bjauO7DmiwXpDxYYlpBbzTIP7DoiFBw&#10;6B2qJp6goxV/QHWCWu1044dUd4luGkF5rAGqydLfqnlsieGxFmiOM/c2uf8HSz+fdhYJBrMbTTFS&#10;pIMhbYXiKBuPQnd640oIWqmdDfXRs3o0W02/O6T0qiXqwCPLp4uBxCxkJG9SwsYZOGPff9IMYsjR&#10;69iqc2M71EhhvoXEAA7tQOc4m8t9NvzsEYWP03FeTMcYUXDlk8k0jbNLSBlgQrKxzn/kukPBqLCE&#10;GiIoOW2dD7ReQkK40hshZRy/VKiv8Hycj2OC01Kw4Axhzh72K2nRiQQBxSfWCJ7XYVYfFYtgLSds&#10;fbM9ERJs5GNzvBXQLslxOK3jDCPJ4c4E60pPqnAiFAyEb9ZVQz/m6Xw9W8+KQZFP1oMirevBh82q&#10;GEw22XRcj+rVqs5+BvJZUbaCMa4C/2c9Z8Xf6eV2s65KvCv63qjkLXrsKJB9fkfScfZh3Ffh7DW7&#10;7GyoLsgAJByDb9ct3JHX+xj18lNY/gIAAP//AwBQSwMEFAAGAAgAAAAhABO4Su7fAAAACAEAAA8A&#10;AABkcnMvZG93bnJldi54bWxMj8tOwzAQRfdI/IM1SOyo04L7CHEqhEBihaBFSOzceEhC43Gw3Sbw&#10;9QwrWI7O1b1nivXoOnHEEFtPGqaTDARS5W1LtYaX7f3FEkRMhqzpPKGGL4ywLk9PCpNbP9AzHjep&#10;FlxCMTcampT6XMpYNehMnPgeidm7D84kPkMtbTADl7tOzrJsLp1piRca0+Ntg9V+c3AaVttB+aew&#10;f72atp9v33cfqX94TFqfn4031yASjukvDL/6rA4lO+38gWwUnQa1UDOOalgqEMznq8sFiB2DTIEs&#10;C/n/gfIHAAD//wMAUEsBAi0AFAAGAAgAAAAhALaDOJL+AAAA4QEAABMAAAAAAAAAAAAAAAAAAAAA&#10;AFtDb250ZW50X1R5cGVzXS54bWxQSwECLQAUAAYACAAAACEAOP0h/9YAAACUAQAACwAAAAAAAAAA&#10;AAAAAAAvAQAAX3JlbHMvLnJlbHNQSwECLQAUAAYACAAAACEA7RazlDcCAABcBAAADgAAAAAAAAAA&#10;AAAAAAAuAgAAZHJzL2Uyb0RvYy54bWxQSwECLQAUAAYACAAAACEAE7hK7t8AAAAIAQAADwAAAAAA&#10;AAAAAAAAAACRBAAAZHJzL2Rvd25yZXYueG1sUEsFBgAAAAAEAAQA8wAAAJ0FAAAAAA==&#10;">
                <v:stroke endarrow="block"/>
              </v:line>
            </w:pict>
          </mc:Fallback>
        </mc:AlternateContent>
      </w:r>
      <w:r w:rsidRPr="00A2285F">
        <w:rPr>
          <w:b/>
          <w:noProof/>
          <w:lang w:eastAsia="sk-SK"/>
        </w:rPr>
        <mc:AlternateContent>
          <mc:Choice Requires="wps">
            <w:drawing>
              <wp:anchor distT="0" distB="0" distL="114300" distR="114300" simplePos="0" relativeHeight="251749376" behindDoc="0" locked="0" layoutInCell="1" allowOverlap="1" wp14:anchorId="1FDFD50E" wp14:editId="68FD2DDC">
                <wp:simplePos x="0" y="0"/>
                <wp:positionH relativeFrom="column">
                  <wp:posOffset>585470</wp:posOffset>
                </wp:positionH>
                <wp:positionV relativeFrom="paragraph">
                  <wp:posOffset>43815</wp:posOffset>
                </wp:positionV>
                <wp:extent cx="314325" cy="156845"/>
                <wp:effectExtent l="38100" t="38100" r="28575" b="33655"/>
                <wp:wrapNone/>
                <wp:docPr id="140"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4325" cy="1568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9931E" id="Line 147" o:spid="_x0000_s1026" style="position:absolute;flip:x y;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1pt,3.45pt" to="70.8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rQOQIAAGYEAAAOAAAAZHJzL2Uyb0RvYy54bWysVMGO2jAQvVfqP1i+syFsYCHasKoItAfa&#10;Iu22d2M7xKpjW7YhoKr/3hnDst32UlXNwRnHM2/ezDzn/uHYaXKQPihrKprfDCmRhluhzK6iX55W&#10;gyklITIjmLZGVvQkA32Yv31z37tSjmxrtZCeAIgJZe8q2sboyiwLvJUdCzfWSQOHjfUdi7D1u0x4&#10;1gN6p7PRcDjJeuuF85bLEOBrfT6k84TfNJLHz00TZCS6osAtptWndYtrNr9n5c4z1yp+ocH+gUXH&#10;lIGkV6iaRUb2Xv0B1SnubbBNvOG2y2zTKC5TDVBNPvytmseWOZlqgeYEd21T+H+w/NNh44kSMLsC&#10;+mNYB0NaKyNJXtxhd3oXSnBamI3H+vjRPLq15d8CMXbRMrOTieXTyUFgjhHZqxDcBAc5tv1HK8CH&#10;7aNNrTo2viONVu4DBibrK1qYBhpDjmlKp+uU5DESDh9v8+J2NKaEw1E+nkyLccrKSgTEYOdDfC9t&#10;R9CoqIZqEig7rENEgi8u6G7sSmmdhKAN6Ss6GwM8ngSrlcDDtPG77UJ7cmAopfRc8r5y83ZvRAJr&#10;JRPLix2Z0mCTmNoUvYLGaUkxWycFJVrC7UHrTE8bzAgFA+GLdVbT99lwtpwup8WgGE2Wg2JY14N3&#10;q0UxmKzyu3F9Wy8Wdf4DyedF2SohpEH+z8rOi79TzuWOnTV51fa1Udlr9NRRIPv8TqSTCnDwZwlt&#10;rThtPFaHggAxJ+fLxcPb8us+eb38HuY/AQAA//8DAFBLAwQUAAYACAAAACEA4LV2x90AAAAHAQAA&#10;DwAAAGRycy9kb3ducmV2LnhtbEyOwU7DMBBE70j8g7VIXKrWsUGBhmyqCgmoekG0/QA3NknAXkex&#10;04a/xz3BcTSjN69cTc6ykxlC5wlBLDJghmqvO2oQDvuX+SOwEBVpZT0ZhB8TYFVdX5Wq0P5MH+a0&#10;iw1LEAqFQmhj7AvOQ90ap8LC94ZS9+kHp2KKQ8P1oM4J7iyXWZZzpzpKD63qzXNr6u/d6BDW/fvX&#10;KDfiVWd7OZvZTS782xbx9mZaPwGLZop/Y7joJ3WoktPRj6QDswhLKdMSIV8Cu9T34gHYEeFO5MCr&#10;kv/3r34BAAD//wMAUEsBAi0AFAAGAAgAAAAhALaDOJL+AAAA4QEAABMAAAAAAAAAAAAAAAAAAAAA&#10;AFtDb250ZW50X1R5cGVzXS54bWxQSwECLQAUAAYACAAAACEAOP0h/9YAAACUAQAACwAAAAAAAAAA&#10;AAAAAAAvAQAAX3JlbHMvLnJlbHNQSwECLQAUAAYACAAAACEA7EK60DkCAABmBAAADgAAAAAAAAAA&#10;AAAAAAAuAgAAZHJzL2Uyb0RvYy54bWxQSwECLQAUAAYACAAAACEA4LV2x90AAAAHAQAADwAAAAAA&#10;AAAAAAAAAACTBAAAZHJzL2Rvd25yZXYueG1sUEsFBgAAAAAEAAQA8wAAAJ0FAAAAAA==&#10;">
                <v:stroke endarrow="block"/>
              </v:line>
            </w:pict>
          </mc:Fallback>
        </mc:AlternateContent>
      </w:r>
      <w:r w:rsidRPr="00A2285F">
        <w:rPr>
          <w:rFonts w:ascii="Arial Narrow" w:hAnsi="Arial Narrow" w:cs="Arial"/>
          <w:b/>
          <w:sz w:val="20"/>
          <w:szCs w:val="20"/>
          <w:u w:val="single"/>
        </w:rPr>
        <w:t>Podľa SNÚ</w:t>
      </w:r>
      <w:r w:rsidRPr="00A2285F">
        <w:rPr>
          <w:rFonts w:ascii="Arial Narrow" w:hAnsi="Arial Narrow" w:cs="Arial"/>
          <w:sz w:val="20"/>
          <w:szCs w:val="20"/>
        </w:rPr>
        <w:t xml:space="preserve">                                 </w:t>
      </w:r>
      <w:r w:rsidRPr="00A2285F">
        <w:rPr>
          <w:rFonts w:ascii="Arial Narrow" w:hAnsi="Arial Narrow" w:cs="Arial"/>
          <w:b/>
          <w:bCs/>
          <w:sz w:val="20"/>
          <w:szCs w:val="20"/>
          <w:u w:val="single"/>
        </w:rPr>
        <w:t>Podľa druhu</w:t>
      </w:r>
      <w:r w:rsidRPr="00A2285F">
        <w:rPr>
          <w:rFonts w:ascii="Arial Narrow" w:hAnsi="Arial Narrow" w:cs="Arial"/>
          <w:b/>
          <w:bCs/>
          <w:sz w:val="20"/>
          <w:szCs w:val="20"/>
        </w:rPr>
        <w:t xml:space="preserve">                                   </w:t>
      </w:r>
      <w:r w:rsidRPr="00A2285F">
        <w:rPr>
          <w:rFonts w:ascii="Arial Narrow" w:hAnsi="Arial Narrow" w:cs="Arial"/>
          <w:b/>
          <w:bCs/>
          <w:sz w:val="20"/>
          <w:szCs w:val="20"/>
          <w:u w:val="single"/>
        </w:rPr>
        <w:t>Podľa druhu</w:t>
      </w:r>
      <w:r w:rsidRPr="00A2285F">
        <w:rPr>
          <w:rFonts w:ascii="Arial Narrow" w:hAnsi="Arial Narrow" w:cs="Arial"/>
          <w:b/>
          <w:bCs/>
          <w:sz w:val="20"/>
          <w:szCs w:val="20"/>
        </w:rPr>
        <w:t xml:space="preserve">                          </w:t>
      </w:r>
      <w:r w:rsidRPr="00A2285F">
        <w:rPr>
          <w:rFonts w:ascii="Arial Narrow" w:hAnsi="Arial Narrow" w:cs="Arial"/>
          <w:b/>
          <w:bCs/>
          <w:sz w:val="20"/>
          <w:szCs w:val="20"/>
          <w:u w:val="single"/>
        </w:rPr>
        <w:t>Podľa účelu</w:t>
      </w:r>
    </w:p>
    <w:p w:rsidR="00F4730E" w:rsidRPr="00F4730E" w:rsidRDefault="00F4730E" w:rsidP="00F4730E">
      <w:pPr>
        <w:spacing w:before="60"/>
        <w:rPr>
          <w:rFonts w:ascii="Arial Narrow" w:hAnsi="Arial Narrow" w:cs="Arial"/>
          <w:sz w:val="20"/>
          <w:szCs w:val="20"/>
          <w:u w:val="single"/>
        </w:rPr>
      </w:pPr>
      <w:r w:rsidRPr="00A2285F">
        <w:rPr>
          <w:noProof/>
          <w:lang w:eastAsia="sk-SK"/>
        </w:rPr>
        <mc:AlternateContent>
          <mc:Choice Requires="wps">
            <w:drawing>
              <wp:anchor distT="0" distB="0" distL="114300" distR="114300" simplePos="0" relativeHeight="251754496" behindDoc="0" locked="0" layoutInCell="1" allowOverlap="1" wp14:anchorId="53D53E77" wp14:editId="36CA4A80">
                <wp:simplePos x="0" y="0"/>
                <wp:positionH relativeFrom="column">
                  <wp:posOffset>4023995</wp:posOffset>
                </wp:positionH>
                <wp:positionV relativeFrom="paragraph">
                  <wp:posOffset>153035</wp:posOffset>
                </wp:positionV>
                <wp:extent cx="133350" cy="1800225"/>
                <wp:effectExtent l="76200" t="0" r="19050" b="47625"/>
                <wp:wrapNone/>
                <wp:docPr id="147"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18002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FD28B8" id="Line 152" o:spid="_x0000_s1026" style="position:absolute;flip:x;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6.85pt,12.05pt" to="327.35pt,1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YQaNQIAAF0EAAAOAAAAZHJzL2Uyb0RvYy54bWysVM2O2jAQvlfqO1i+QxIILESEVUWgPdAt&#10;0m4fwNgOserYlm0IqOq7d2yybGkvVdUcnHFm5ptv/rJ4PLcSnbh1QqsSZ8MUI66oZkIdSvz1ZTOY&#10;YeQ8UYxIrXiJL9zhx+X7d4vOFHykGy0ZtwhAlCs6U+LGe1MkiaMNb4kbasMVKGttW+Lhag8Js6QD&#10;9FYmozSdJp22zFhNuXPwtboq8TLi1zWn/ktdO+6RLDFw8/G08dyHM1kuSHGwxDSC9jTIP7BoiVAQ&#10;9AZVEU/Q0Yo/oFpBrXa69kOq20TXtaA85gDZZOlv2Tw3xPCYCxTHmVuZ3P+DpU+nnUWCQe/yB4wU&#10;aaFJW6E4yiajUJ3OuAKMVmpnQ370rJ7NVtNvDim9aog68Mjy5WLAMQseyZ1LuDgDMfbdZ83Ahhy9&#10;jqU617ZFtRTmU3AM4FAOdI69udx6w88eUfiYjcfjCXSQgiqbpeloNInBSBFwgrexzn/kukVBKLGE&#10;JCIqOW2dD7zeTIK50hshZey/VKgr8XwCkEHjtBQsKOPFHvYradGJhAmKTx/3zszqo2IRrOGErXvZ&#10;EyFBRj5Wx1sB9ZIch2gtZxhJDksTpCs9qUJEyBgI99J1iL7P0/l6tp7lg3w0XQ/ytKoGHzarfDDd&#10;ZA+TalytVlX2I5DP8qIRjHEV+L8OdJb/3cD0q3UdxdtI3wqV3KPHigLZ13ckHZsf+n2dnL1ml50N&#10;2YU5gBmOxv2+hSX59R6t3v4Ky58AAAD//wMAUEsDBBQABgAIAAAAIQAkSa294gAAAAoBAAAPAAAA&#10;ZHJzL2Rvd25yZXYueG1sTI/BTsMwDIbvSLxDZCRuLO3adaM0nRACiROCDU3iljWmLWuc0mRr4ekx&#10;Jzja/vT7+4v1ZDtxwsG3jhTEswgEUuVMS7WC1+3D1QqED5qM7hyhgi/0sC7PzwqdGzfSC542oRYc&#10;Qj7XCpoQ+lxKXzVotZ+5Holv726wOvA41NIMeuRw28l5FGXS6pb4Q6N7vGuwOmyOVsH1dly45+Gw&#10;S+P28+37/iP0j09BqcuL6fYGRMAp/MHwq8/qULLT3h3JeNEpyJJkyaiCeRqDYCBbpLzYK0iiZQay&#10;LOT/CuUPAAAA//8DAFBLAQItABQABgAIAAAAIQC2gziS/gAAAOEBAAATAAAAAAAAAAAAAAAAAAAA&#10;AABbQ29udGVudF9UeXBlc10ueG1sUEsBAi0AFAAGAAgAAAAhADj9If/WAAAAlAEAAAsAAAAAAAAA&#10;AAAAAAAALwEAAF9yZWxzLy5yZWxzUEsBAi0AFAAGAAgAAAAhAEithBo1AgAAXQQAAA4AAAAAAAAA&#10;AAAAAAAALgIAAGRycy9lMm9Eb2MueG1sUEsBAi0AFAAGAAgAAAAhACRJrb3iAAAACgEAAA8AAAAA&#10;AAAAAAAAAAAAjwQAAGRycy9kb3ducmV2LnhtbFBLBQYAAAAABAAEAPMAAACeBQAAAAA=&#10;">
                <v:stroke endarrow="block"/>
              </v:line>
            </w:pict>
          </mc:Fallback>
        </mc:AlternateContent>
      </w:r>
      <w:r w:rsidRPr="00A2285F">
        <w:rPr>
          <w:noProof/>
          <w:lang w:eastAsia="sk-SK"/>
        </w:rPr>
        <mc:AlternateContent>
          <mc:Choice Requires="wps">
            <w:drawing>
              <wp:anchor distT="0" distB="0" distL="114300" distR="114300" simplePos="0" relativeHeight="251759616" behindDoc="0" locked="0" layoutInCell="1" allowOverlap="1" wp14:anchorId="0998E03A" wp14:editId="48DECEBC">
                <wp:simplePos x="0" y="0"/>
                <wp:positionH relativeFrom="column">
                  <wp:posOffset>3402965</wp:posOffset>
                </wp:positionH>
                <wp:positionV relativeFrom="paragraph">
                  <wp:posOffset>49530</wp:posOffset>
                </wp:positionV>
                <wp:extent cx="1743075" cy="1314450"/>
                <wp:effectExtent l="0" t="0" r="0" b="0"/>
                <wp:wrapNone/>
                <wp:docPr id="148" name="AutoShap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1743075" cy="1314450"/>
                        </a:xfrm>
                        <a:prstGeom prst="bentConnector3">
                          <a:avLst>
                            <a:gd name="adj1" fmla="val 49981"/>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miter lim="800000"/>
                              <a:headEnd/>
                              <a:tailEnd type="triangle" w="med" len="me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DD63F20"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15" o:spid="_x0000_s1026" type="#_x0000_t34" style="position:absolute;margin-left:267.95pt;margin-top:3.9pt;width:137.25pt;height:103.5pt;rotation:180;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N/V0QIAABcGAAAOAAAAZHJzL2Uyb0RvYy54bWysVMlu2zAQvRfoPxC6K5JsyloQObC19JK2&#10;AZJ+AC1RFluJFEjWC4r+e4e04thpD0VTHQQuw5l5897M7d1h6NGOSsUEz5zgxncQ5bVoGN9mzpen&#10;yo0dpDThDekFp5lzpMq5W75/d7sfUzoTnegbKhE44Srdj5nTaT2mnqfqjg5E3YiRcrhshRyIhq3c&#10;eo0ke/A+9N7M9xfeXshmlKKmSsFpcbp0ltZ/29Jaf25bRTXqMwdy0/Yv7X9j/t7ylqRbScaO1VMa&#10;5B+yGAjjEPTsqiCaoO+S/eZqYLUUSrT6phaDJ9qW1dRiADSB/wrNY0dGarFAcdR4LpP6f27rT7sH&#10;iVgD3GGgipMBSFp918LGRrMgNCXajyoFy5w/SAOyPvDH8V7U3xTiIu8I31Jr/nQc4XVgXnhXT8xG&#10;jRBos/8oGrAhEMHW69DKAUkBvAR+7JvPHkNh0MGydDyzRA8a1XAYRHjuR6GDargL5gHGoeXRI6nx&#10;ZhIcpdIfqBiQWWTOhnKdC85BDULObQCyu1faEtZMoEnzNXBQO/TA/470CCdJfIJC0skaIjx7Nk+5&#10;qFjfWwX1/OoADE8n1EoQQlkrQDBFNVisPH4kflLGZYxdPFuULvaLwl1VOXYXVRCFxbzI8yL4aVIO&#10;cNqxpqHcBH2WaoD/TgpT05xEdhbrGYB37R3oIymkaDBdZBrMsL+eJW61iCMXVzh0k8iPXT9I1snC&#10;xwkuqutM7xmnb88U7TMnCWeh5U2JnjWmAiY3JbebvJcI6AKVnNRjtAc3l2YD0zBjejZkziQxy0ZH&#10;SVPyxq41YT2skbYK1pKBpnvqmNADbRzUU5huZmXdn6kwAP9crFUV+qDT2I2icO7ieem767jK3VUe&#10;LBZRuc7X5StaSysV9fZ6WdYudHdB7hTjJeUTz1aUtmNNk57afSOa44M0cE3zwvSxj6ZJacbb5d5a&#10;vczz5S8AAAD//wMAUEsDBBQABgAIAAAAIQCoPC5K3wAAAAkBAAAPAAAAZHJzL2Rvd25yZXYueG1s&#10;TI/dToNAFITvTXyHzTHxzi5UaBE5NP618cbEtj7AFo5Auj+E3RZ8e0+v9HIyk5lvitVktDjT4Dtn&#10;EeJZBIJs5erONghf+/VdBsIHZWulnSWEH/KwKq+vCpXXbrRbOu9CI7jE+lwhtCH0uZS+askoP3M9&#10;Wfa+3WBUYDk0sh7UyOVGy3kULaRRneWFVvX00lJ13J0Mgm+6z4/nfrN9e93I5Ji+r8dFphFvb6an&#10;RxCBpvAXhgs+o0PJTAd3srUXGiG9Tx84irDkB+xncZSAOCDM4yQDWRby/4PyFwAA//8DAFBLAQIt&#10;ABQABgAIAAAAIQC2gziS/gAAAOEBAAATAAAAAAAAAAAAAAAAAAAAAABbQ29udGVudF9UeXBlc10u&#10;eG1sUEsBAi0AFAAGAAgAAAAhADj9If/WAAAAlAEAAAsAAAAAAAAAAAAAAAAALwEAAF9yZWxzLy5y&#10;ZWxzUEsBAi0AFAAGAAgAAAAhAPlw39XRAgAAFwYAAA4AAAAAAAAAAAAAAAAALgIAAGRycy9lMm9E&#10;b2MueG1sUEsBAi0AFAAGAAgAAAAhAKg8LkrfAAAACQEAAA8AAAAAAAAAAAAAAAAAKwUAAGRycy9k&#10;b3ducmV2LnhtbFBLBQYAAAAABAAEAPMAAAA3BgAAAAA=&#10;" adj="10796" stroked="f">
                <v:stroke endarrow="block"/>
              </v:shape>
            </w:pict>
          </mc:Fallback>
        </mc:AlternateContent>
      </w:r>
      <w:r w:rsidRPr="00A2285F">
        <w:rPr>
          <w:noProof/>
          <w:lang w:eastAsia="sk-SK"/>
        </w:rPr>
        <mc:AlternateContent>
          <mc:Choice Requires="wps">
            <w:drawing>
              <wp:anchor distT="0" distB="0" distL="114300" distR="114300" simplePos="0" relativeHeight="251762688" behindDoc="0" locked="0" layoutInCell="1" allowOverlap="1" wp14:anchorId="26ADEEF2" wp14:editId="79B47BEC">
                <wp:simplePos x="0" y="0"/>
                <wp:positionH relativeFrom="column">
                  <wp:posOffset>3703218</wp:posOffset>
                </wp:positionH>
                <wp:positionV relativeFrom="paragraph">
                  <wp:posOffset>154000</wp:posOffset>
                </wp:positionV>
                <wp:extent cx="453009" cy="21666"/>
                <wp:effectExtent l="0" t="0" r="23495" b="35560"/>
                <wp:wrapNone/>
                <wp:docPr id="142" name="Rovná spojnica 142"/>
                <wp:cNvGraphicFramePr/>
                <a:graphic xmlns:a="http://schemas.openxmlformats.org/drawingml/2006/main">
                  <a:graphicData uri="http://schemas.microsoft.com/office/word/2010/wordprocessingShape">
                    <wps:wsp>
                      <wps:cNvCnPr/>
                      <wps:spPr>
                        <a:xfrm flipV="1">
                          <a:off x="0" y="0"/>
                          <a:ext cx="453009" cy="21666"/>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034936A" id="Rovná spojnica 142" o:spid="_x0000_s1026" style="position:absolute;flip:y;z-index:251762688;visibility:visible;mso-wrap-style:square;mso-wrap-distance-left:9pt;mso-wrap-distance-top:0;mso-wrap-distance-right:9pt;mso-wrap-distance-bottom:0;mso-position-horizontal:absolute;mso-position-horizontal-relative:text;mso-position-vertical:absolute;mso-position-vertical-relative:text" from="291.6pt,12.15pt" to="327.2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hOt3wEAAJYDAAAOAAAAZHJzL2Uyb0RvYy54bWysU0tu2zAQ3RfoHQjua8lOIqSC5SxipJui&#10;Ndqk+wlFWiz4A4eV7OP0LL1Yh5RruO0uiBfEfJ/nvRmt7w7WsFFG1N51fLmoOZNO+F67fcefHh/e&#10;3XKGCVwPxjvZ8aNEfrd5+2Y9hVau/OBNLyMjEIftFDo+pBTaqkIxSAu48EE6SiofLSRy477qI0yE&#10;bk21quummnzsQ/RCIlJ0Oyf5puArJUX6rBTKxEzHabZU3lje5/xWmzW0+whh0OI0BrxgCgva0Z+e&#10;obaQgP2I+j8oq0X06FVaCG8rr5QWsnAgNsv6HzZfBwiycCFxMJxlwteDFZ/GXWS6p91drzhzYGlJ&#10;X/zofv1kGPx3pwWwnCKhpoAt1d+7XTx5GHYxsz6oaJkyOnwjnKIDMWOHIvPxLLM8JCYoeH1zVdfv&#10;OROUWi2bpsng1YyS0ULE9EF6y7LRcaNdFgFaGD9imkv/lOSw8w/aGIpDaxybOt5c3dCqBdA5KQOJ&#10;TBuIILo9Z2D2dKcixYKI3ug+d+dmPOK9iWwEOhW6sN5PjzQxZwYwUYJolN9p2L9a8zhbwGFuLqlc&#10;Bq3Vic7baNvx28tu43JWlgM9kcrqznpm69n3xyJzlT1aflHodKj5ui59si8/p81vAAAA//8DAFBL&#10;AwQUAAYACAAAACEAYD1gY+EAAAAJAQAADwAAAGRycy9kb3ducmV2LnhtbEyPTU/CQBCG7yb+h82Y&#10;eJMthQKp3RKjMdw0ViFwG7pjt3E/mu4Wir/e9aTHmXnyzvMW69FodqLet84KmE4SYGRrJ1vbCPh4&#10;f75bAfMBrUTtLAm4kId1eX1VYC7d2b7RqQoNiyHW5yhAhdDlnPtakUE/cR3ZePt0vcEQx77hssdz&#10;DDeap0my4AZbGz8o7OhRUf1VDUbA4UVtNngYtuPr7jL93nNdtU9bIW5vxod7YIHG8AfDr35UhzI6&#10;Hd1gpWdaQLaapREVkM5nwCKwyOYZsGNcLJfAy4L/b1D+AAAA//8DAFBLAQItABQABgAIAAAAIQC2&#10;gziS/gAAAOEBAAATAAAAAAAAAAAAAAAAAAAAAABbQ29udGVudF9UeXBlc10ueG1sUEsBAi0AFAAG&#10;AAgAAAAhADj9If/WAAAAlAEAAAsAAAAAAAAAAAAAAAAALwEAAF9yZWxzLy5yZWxzUEsBAi0AFAAG&#10;AAgAAAAhAEiGE63fAQAAlgMAAA4AAAAAAAAAAAAAAAAALgIAAGRycy9lMm9Eb2MueG1sUEsBAi0A&#10;FAAGAAgAAAAhAGA9YGPhAAAACQEAAA8AAAAAAAAAAAAAAAAAOQQAAGRycy9kb3ducmV2LnhtbFBL&#10;BQYAAAAABAAEAPMAAABHBQAAAAA=&#10;" strokecolor="windowText" strokeweight=".5pt">
                <v:stroke joinstyle="miter"/>
              </v:line>
            </w:pict>
          </mc:Fallback>
        </mc:AlternateContent>
      </w:r>
      <w:r w:rsidRPr="00A2285F">
        <w:rPr>
          <w:noProof/>
          <w:lang w:eastAsia="sk-SK"/>
        </w:rPr>
        <mc:AlternateContent>
          <mc:Choice Requires="wps">
            <w:drawing>
              <wp:anchor distT="0" distB="0" distL="114300" distR="114300" simplePos="0" relativeHeight="251761664" behindDoc="0" locked="0" layoutInCell="1" allowOverlap="1" wp14:anchorId="1C030DEA" wp14:editId="3C39832E">
                <wp:simplePos x="0" y="0"/>
                <wp:positionH relativeFrom="column">
                  <wp:posOffset>3673958</wp:posOffset>
                </wp:positionH>
                <wp:positionV relativeFrom="paragraph">
                  <wp:posOffset>51181</wp:posOffset>
                </wp:positionV>
                <wp:extent cx="519379" cy="106502"/>
                <wp:effectExtent l="0" t="0" r="33655" b="27305"/>
                <wp:wrapNone/>
                <wp:docPr id="143" name="Rovná spojnica 143"/>
                <wp:cNvGraphicFramePr/>
                <a:graphic xmlns:a="http://schemas.openxmlformats.org/drawingml/2006/main">
                  <a:graphicData uri="http://schemas.microsoft.com/office/word/2010/wordprocessingShape">
                    <wps:wsp>
                      <wps:cNvCnPr/>
                      <wps:spPr>
                        <a:xfrm flipV="1">
                          <a:off x="0" y="0"/>
                          <a:ext cx="519379" cy="106502"/>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4D8D12E" id="Rovná spojnica 143" o:spid="_x0000_s1026" style="position:absolute;flip:y;z-index:251761664;visibility:visible;mso-wrap-style:square;mso-wrap-distance-left:9pt;mso-wrap-distance-top:0;mso-wrap-distance-right:9pt;mso-wrap-distance-bottom:0;mso-position-horizontal:absolute;mso-position-horizontal-relative:text;mso-position-vertical:absolute;mso-position-vertical-relative:text" from="289.3pt,4.05pt" to="330.2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Scm4AEAAJcDAAAOAAAAZHJzL2Uyb0RvYy54bWysU82O0zAQviPxDpbvNGlLy27UdA9bLRcE&#10;FSx7n3XsxMh/8pimfRyehRdj7IaqLDdED9b8fp3vm8nm7mgNO8iI2ruWz2c1Z9IJ32nXt/zr48Ob&#10;G84wgevAeCdbfpLI77avX23G0MiFH7zpZGQE4rAZQ8uHlEJTVSgGaQFnPkhHSeWjhURu7Ksuwkjo&#10;1lSLul5Xo49diF5IRIruzkm+LfhKSZE+KYUyMdNymi2VN5b3Ob/VdgNNHyEMWkxjwD9MYUE7+tML&#10;1A4SsO9R/wVltYgevUoz4W3lldJCFg7EZl6/YPNlgCALFxIHw0Um/H+w4uNhH5nuaHdvl5w5sLSk&#10;z/7gfv5gGPw3pwWwnCKhxoAN1d+7fZw8DPuYWR9VtEwZHZ4Ip+hAzNixyHy6yCyPiQkKrua3y3e3&#10;nAlKzev1ql5k9OoMk+FCxPReesuy0XKjXVYBGjh8wHQu/V2Sw84/aGMoDo1xbGz5ermiXQuge1IG&#10;Epk2EEN0PWdgejpUkWJBRG90l7tzM57w3kR2ALoVOrHOj480MmcGMFGCeJTfNOwfrXmcHeBwbi6p&#10;XAaN1Ynu22jb8pvrbuNyVpYLnUhlec+CZuvZd6eic5U92n5RaLrUfF7XPtnX39P2FwAAAP//AwBQ&#10;SwMEFAAGAAgAAAAhAKWArcPgAAAACAEAAA8AAABkcnMvZG93bnJldi54bWxMj81OwzAQhO9IvIO1&#10;SNyok6qEEOJUCIR6AzW0Fb1t4yWO8E8UO23K02NOcBzNaOabcjkZzY40+M5ZAeksAUa2cbKzrYDN&#10;+8tNDswHtBK1syTgTB6W1eVFiYV0J7umYx1aFkusL1CACqEvOPeNIoN+5nqy0ft0g8EQ5dByOeAp&#10;lhvN50mScYOdjQsKe3pS1HzVoxGwf1WrFe7H7fS2O6ffH1zX3fNWiOur6fEBWKAp/IXhFz+iQxWZ&#10;Dm600jMt4PYuz2JUQJ4Ci36WJQtgBwHzxT3wquT/D1Q/AAAA//8DAFBLAQItABQABgAIAAAAIQC2&#10;gziS/gAAAOEBAAATAAAAAAAAAAAAAAAAAAAAAABbQ29udGVudF9UeXBlc10ueG1sUEsBAi0AFAAG&#10;AAgAAAAhADj9If/WAAAAlAEAAAsAAAAAAAAAAAAAAAAALwEAAF9yZWxzLy5yZWxzUEsBAi0AFAAG&#10;AAgAAAAhAB6ZJybgAQAAlwMAAA4AAAAAAAAAAAAAAAAALgIAAGRycy9lMm9Eb2MueG1sUEsBAi0A&#10;FAAGAAgAAAAhAKWArcPgAAAACAEAAA8AAAAAAAAAAAAAAAAAOgQAAGRycy9kb3ducmV2LnhtbFBL&#10;BQYAAAAABAAEAPMAAABHBQAAAAA=&#10;" strokecolor="windowText" strokeweight=".5pt">
                <v:stroke joinstyle="miter"/>
              </v:line>
            </w:pict>
          </mc:Fallback>
        </mc:AlternateContent>
      </w:r>
      <w:r w:rsidRPr="00A2285F">
        <w:rPr>
          <w:noProof/>
          <w:lang w:eastAsia="sk-SK"/>
        </w:rPr>
        <mc:AlternateContent>
          <mc:Choice Requires="wps">
            <w:drawing>
              <wp:anchor distT="0" distB="0" distL="114300" distR="114300" simplePos="0" relativeHeight="251753472" behindDoc="0" locked="0" layoutInCell="1" allowOverlap="1" wp14:anchorId="056A45E5" wp14:editId="59080EEC">
                <wp:simplePos x="0" y="0"/>
                <wp:positionH relativeFrom="column">
                  <wp:posOffset>4186022</wp:posOffset>
                </wp:positionH>
                <wp:positionV relativeFrom="paragraph">
                  <wp:posOffset>40641</wp:posOffset>
                </wp:positionV>
                <wp:extent cx="329184" cy="1338682"/>
                <wp:effectExtent l="0" t="0" r="71120" b="52070"/>
                <wp:wrapNone/>
                <wp:docPr id="145"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184" cy="133868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698EAD" id="Line 151"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6pt,3.2pt" to="355.5pt,10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sIQLwIAAFMEAAAOAAAAZHJzL2Uyb0RvYy54bWysVMuu2jAQ3VfqP1jeQ0gINESEqyqBbm5b&#10;pHv7AcZ2iFXHtmxDQFX/vWPzaGk3VdUsnHE8c+bMmXGWT6deoiO3TmhV4XQ8wYgrqplQ+wp/ed2M&#10;CoycJ4oRqRWv8Jk7/LR6+2Y5mJJnutOScYsARLlyMBXuvDdlkjja8Z64sTZcwWGrbU88bO0+YZYM&#10;gN7LJJtM5smgLTNWU+4cfG0uh3gV8duWU/+5bR33SFYYuPm42rjuwpqslqTcW2I6Qa80yD+w6IlQ&#10;kPQO1RBP0MGKP6B6Qa12uvVjqvtEt62gPNYA1aST36p56YjhsRYQx5m7TO7/wdJPx61FgkHv8hlG&#10;ivTQpGehOEpnaVBnMK4Ep1ptbaiPntSLedb0q0NK1x1Rex5Zvp4NBMaI5CEkbJyBHLvho2bgQw5e&#10;R6lOre0DJIiATrEj53tH+MkjCh+n2SItcowoHKXTaTEvskAqIeUt2ljnP3Ddo2BUWAL1iE6Oz85f&#10;XG8uIZnSGyFl7LpUaKjwYpbNYoDTUrBwGNyc3e9qadGRhLmJzzXvg5vVB8UiWMcJW19tT4QEG/mo&#10;ibcCVJIch2w9ZxhJDlclWBd6UoWMUDEQvlqX0fm2mCzWxbrIR3k2X4/ySdOM3m/qfDTfpO9mzbSp&#10;6yb9HsinedkJxrgK/G9jnOZ/NybXC3UZwPsg34VKHtGj+ED29o6kY8tDly/zstPsvLWhutB9mNzo&#10;fL1l4Wr8uo9eP/8Fqx8AAAD//wMAUEsDBBQABgAIAAAAIQB2nPww4QAAAAkBAAAPAAAAZHJzL2Rv&#10;d25yZXYueG1sTI/BTsMwEETvSPyDtUjcqJMI2hDiVAipXFpAbRGCmxsvSUS8jmynDX/PcoLbjmY0&#10;+6ZcTrYXR/Shc6QgnSUgkGpnOmoUvO5XVzmIEDUZ3TtCBd8YYFmdn5W6MO5EWzzuYiO4hEKhFbQx&#10;DoWUoW7R6jBzAxJ7n85bHVn6RhqvT1xue5klyVxa3RF/aPWADy3WX7vRKthuVuv8bT1Otf94TJ/3&#10;L5un95ArdXkx3d+BiDjFvzD84jM6VMx0cCOZIHoF85vbjKN8XINgf5GmvO2gIEsXGciqlP8XVD8A&#10;AAD//wMAUEsBAi0AFAAGAAgAAAAhALaDOJL+AAAA4QEAABMAAAAAAAAAAAAAAAAAAAAAAFtDb250&#10;ZW50X1R5cGVzXS54bWxQSwECLQAUAAYACAAAACEAOP0h/9YAAACUAQAACwAAAAAAAAAAAAAAAAAv&#10;AQAAX3JlbHMvLnJlbHNQSwECLQAUAAYACAAAACEADxbCEC8CAABTBAAADgAAAAAAAAAAAAAAAAAu&#10;AgAAZHJzL2Uyb0RvYy54bWxQSwECLQAUAAYACAAAACEAdpz8MOEAAAAJAQAADwAAAAAAAAAAAAAA&#10;AACJBAAAZHJzL2Rvd25yZXYueG1sUEsFBgAAAAAEAAQA8wAAAJcFAAAAAA==&#10;">
                <v:stroke endarrow="block"/>
              </v:line>
            </w:pict>
          </mc:Fallback>
        </mc:AlternateContent>
      </w:r>
      <w:r w:rsidRPr="00A2285F">
        <w:rPr>
          <w:rFonts w:ascii="Arial Narrow" w:hAnsi="Arial Narrow" w:cs="Arial"/>
          <w:sz w:val="20"/>
          <w:szCs w:val="20"/>
        </w:rPr>
        <w:t xml:space="preserve">- korporácie            - </w:t>
      </w:r>
      <w:r w:rsidRPr="00A2285F">
        <w:rPr>
          <w:rFonts w:ascii="Arial Narrow" w:hAnsi="Arial Narrow" w:cs="Arial"/>
          <w:sz w:val="20"/>
          <w:szCs w:val="20"/>
          <w:u w:val="single"/>
        </w:rPr>
        <w:t>sociálne príspevky</w:t>
      </w:r>
      <w:r w:rsidRPr="00A2285F">
        <w:rPr>
          <w:rFonts w:ascii="Arial Narrow" w:hAnsi="Arial Narrow" w:cs="Arial"/>
          <w:sz w:val="20"/>
          <w:szCs w:val="20"/>
        </w:rPr>
        <w:t xml:space="preserve">      </w:t>
      </w:r>
      <w:r>
        <w:rPr>
          <w:rFonts w:ascii="Arial Narrow" w:hAnsi="Arial Narrow" w:cs="Arial"/>
          <w:sz w:val="20"/>
          <w:szCs w:val="20"/>
        </w:rPr>
        <w:t xml:space="preserve">                               </w:t>
      </w:r>
      <w:r w:rsidRPr="00A2285F">
        <w:rPr>
          <w:rFonts w:ascii="Arial Narrow" w:hAnsi="Arial Narrow" w:cs="Arial"/>
          <w:sz w:val="20"/>
          <w:szCs w:val="20"/>
        </w:rPr>
        <w:t xml:space="preserve">- </w:t>
      </w:r>
      <w:r w:rsidRPr="00A2285F">
        <w:rPr>
          <w:rFonts w:ascii="Arial Narrow" w:hAnsi="Arial Narrow" w:cs="Arial"/>
          <w:sz w:val="20"/>
          <w:szCs w:val="20"/>
          <w:u w:val="single"/>
        </w:rPr>
        <w:t xml:space="preserve"> sociálne dávky</w:t>
      </w:r>
      <w:r>
        <w:rPr>
          <w:rFonts w:ascii="Arial Narrow" w:hAnsi="Arial Narrow" w:cs="Arial"/>
          <w:sz w:val="20"/>
          <w:szCs w:val="20"/>
        </w:rPr>
        <w:t xml:space="preserve">                        - choroba/zdrav. </w:t>
      </w:r>
      <w:r w:rsidRPr="00A2285F">
        <w:rPr>
          <w:rFonts w:ascii="Arial Narrow" w:hAnsi="Arial Narrow" w:cs="Arial"/>
          <w:sz w:val="20"/>
          <w:szCs w:val="20"/>
        </w:rPr>
        <w:t>starostlivosť</w:t>
      </w:r>
    </w:p>
    <w:p w:rsidR="00F4730E" w:rsidRPr="00A2285F" w:rsidRDefault="00F4730E" w:rsidP="00F4730E">
      <w:pPr>
        <w:rPr>
          <w:rFonts w:ascii="Arial Narrow" w:hAnsi="Arial Narrow" w:cs="Arial"/>
          <w:sz w:val="20"/>
          <w:szCs w:val="20"/>
        </w:rPr>
      </w:pPr>
      <w:r>
        <w:rPr>
          <w:rFonts w:ascii="Arial Narrow" w:hAnsi="Arial Narrow" w:cs="Arial"/>
          <w:sz w:val="20"/>
          <w:szCs w:val="20"/>
        </w:rPr>
        <w:t xml:space="preserve">- verejná správa      </w:t>
      </w:r>
      <w:r w:rsidRPr="00A2285F">
        <w:rPr>
          <w:rFonts w:ascii="Arial Narrow" w:hAnsi="Arial Narrow" w:cs="Arial"/>
          <w:sz w:val="20"/>
          <w:szCs w:val="20"/>
        </w:rPr>
        <w:t xml:space="preserve"> - sociálne príspevky zamestnávateľov     </w:t>
      </w:r>
      <w:r>
        <w:rPr>
          <w:rFonts w:ascii="Arial Narrow" w:hAnsi="Arial Narrow" w:cs="Arial"/>
          <w:sz w:val="20"/>
          <w:szCs w:val="20"/>
        </w:rPr>
        <w:t xml:space="preserve"> </w:t>
      </w:r>
      <w:r w:rsidRPr="00A2285F">
        <w:rPr>
          <w:rFonts w:ascii="Arial Narrow" w:hAnsi="Arial Narrow" w:cs="Arial"/>
          <w:sz w:val="20"/>
          <w:szCs w:val="20"/>
        </w:rPr>
        <w:t xml:space="preserve"> - administratívne výdavky               - invalidita </w:t>
      </w:r>
    </w:p>
    <w:p w:rsidR="00F4730E" w:rsidRPr="00A2285F" w:rsidRDefault="00F4730E" w:rsidP="00F4730E">
      <w:pPr>
        <w:rPr>
          <w:rFonts w:ascii="Arial Narrow" w:hAnsi="Arial Narrow" w:cs="Arial"/>
          <w:sz w:val="20"/>
          <w:szCs w:val="20"/>
        </w:rPr>
      </w:pPr>
      <w:r>
        <w:rPr>
          <w:rFonts w:ascii="Arial Narrow" w:hAnsi="Arial Narrow" w:cs="Arial"/>
          <w:sz w:val="20"/>
          <w:szCs w:val="20"/>
        </w:rPr>
        <w:t xml:space="preserve">- domácnosti            </w:t>
      </w:r>
      <w:r w:rsidR="00CC4C97">
        <w:rPr>
          <w:rFonts w:ascii="Arial Narrow" w:hAnsi="Arial Narrow" w:cs="Arial"/>
          <w:sz w:val="20"/>
          <w:szCs w:val="20"/>
        </w:rPr>
        <w:t xml:space="preserve"> </w:t>
      </w:r>
      <w:r w:rsidRPr="00A2285F">
        <w:rPr>
          <w:rFonts w:ascii="Arial Narrow" w:hAnsi="Arial Narrow" w:cs="Arial"/>
          <w:sz w:val="20"/>
          <w:szCs w:val="20"/>
        </w:rPr>
        <w:t xml:space="preserve">- sociálne príspevky zamestnancov          </w:t>
      </w:r>
      <w:r>
        <w:rPr>
          <w:rFonts w:ascii="Arial Narrow" w:hAnsi="Arial Narrow" w:cs="Arial"/>
          <w:sz w:val="20"/>
          <w:szCs w:val="20"/>
        </w:rPr>
        <w:t xml:space="preserve"> </w:t>
      </w:r>
      <w:r w:rsidRPr="00A2285F">
        <w:rPr>
          <w:rFonts w:ascii="Arial Narrow" w:hAnsi="Arial Narrow" w:cs="Arial"/>
          <w:sz w:val="20"/>
          <w:szCs w:val="20"/>
        </w:rPr>
        <w:t xml:space="preserve">- </w:t>
      </w:r>
      <w:r w:rsidRPr="00A2285F">
        <w:rPr>
          <w:rFonts w:ascii="Arial Narrow" w:hAnsi="Arial Narrow" w:cs="Arial"/>
          <w:i/>
          <w:sz w:val="20"/>
          <w:szCs w:val="20"/>
        </w:rPr>
        <w:t xml:space="preserve">transfery do  iných </w:t>
      </w:r>
      <w:r w:rsidRPr="00A2285F">
        <w:rPr>
          <w:rFonts w:ascii="Arial Narrow" w:hAnsi="Arial Narrow" w:cs="Arial"/>
          <w:sz w:val="20"/>
          <w:szCs w:val="20"/>
        </w:rPr>
        <w:t xml:space="preserve">                      - staroba     </w:t>
      </w:r>
    </w:p>
    <w:p w:rsidR="00F4730E" w:rsidRPr="00A2285F" w:rsidRDefault="00F4730E" w:rsidP="00F4730E">
      <w:pPr>
        <w:tabs>
          <w:tab w:val="left" w:pos="7088"/>
        </w:tabs>
        <w:jc w:val="both"/>
        <w:rPr>
          <w:rFonts w:ascii="Arial Narrow" w:hAnsi="Arial Narrow" w:cs="Arial"/>
          <w:sz w:val="20"/>
          <w:szCs w:val="20"/>
        </w:rPr>
      </w:pPr>
      <w:r>
        <w:rPr>
          <w:rFonts w:ascii="Arial Narrow" w:hAnsi="Arial Narrow" w:cs="Arial"/>
          <w:sz w:val="20"/>
          <w:szCs w:val="20"/>
        </w:rPr>
        <w:t xml:space="preserve">- NISD                      </w:t>
      </w:r>
      <w:r w:rsidR="00CC4C97">
        <w:rPr>
          <w:rFonts w:ascii="Arial Narrow" w:hAnsi="Arial Narrow" w:cs="Arial"/>
          <w:sz w:val="20"/>
          <w:szCs w:val="20"/>
        </w:rPr>
        <w:t xml:space="preserve"> </w:t>
      </w:r>
      <w:r w:rsidRPr="00A2285F">
        <w:rPr>
          <w:rFonts w:ascii="Arial Narrow" w:hAnsi="Arial Narrow" w:cs="Arial"/>
          <w:sz w:val="20"/>
          <w:szCs w:val="20"/>
        </w:rPr>
        <w:t xml:space="preserve">-  sociálne príspevky chránených osôb            </w:t>
      </w:r>
      <w:r>
        <w:rPr>
          <w:rFonts w:ascii="Arial Narrow" w:hAnsi="Arial Narrow" w:cs="Arial"/>
          <w:sz w:val="20"/>
          <w:szCs w:val="20"/>
        </w:rPr>
        <w:t xml:space="preserve">     </w:t>
      </w:r>
      <w:r w:rsidRPr="00A2285F">
        <w:rPr>
          <w:rFonts w:ascii="Arial Narrow" w:hAnsi="Arial Narrow" w:cs="Arial"/>
          <w:i/>
          <w:sz w:val="20"/>
          <w:szCs w:val="20"/>
        </w:rPr>
        <w:t>programov</w:t>
      </w:r>
      <w:r>
        <w:rPr>
          <w:rFonts w:ascii="Arial Narrow" w:hAnsi="Arial Narrow" w:cs="Arial"/>
          <w:sz w:val="20"/>
          <w:szCs w:val="20"/>
        </w:rPr>
        <w:t xml:space="preserve">                         </w:t>
      </w:r>
      <w:r w:rsidRPr="00A2285F">
        <w:rPr>
          <w:rFonts w:ascii="Arial Narrow" w:hAnsi="Arial Narrow" w:cs="Arial"/>
          <w:sz w:val="20"/>
          <w:szCs w:val="20"/>
        </w:rPr>
        <w:t xml:space="preserve"> - pozostalí                         </w:t>
      </w:r>
    </w:p>
    <w:p w:rsidR="00F4730E" w:rsidRPr="00A2285F" w:rsidRDefault="00F4730E" w:rsidP="00F4730E">
      <w:pPr>
        <w:jc w:val="both"/>
        <w:rPr>
          <w:rFonts w:ascii="Arial Narrow" w:hAnsi="Arial Narrow" w:cs="Arial"/>
          <w:sz w:val="20"/>
          <w:szCs w:val="20"/>
        </w:rPr>
      </w:pPr>
      <w:r w:rsidRPr="00A2285F">
        <w:rPr>
          <w:rFonts w:ascii="Arial Narrow" w:hAnsi="Arial Narrow" w:cs="Arial"/>
          <w:sz w:val="20"/>
          <w:szCs w:val="20"/>
        </w:rPr>
        <w:t xml:space="preserve">- zvyšok sveta         - </w:t>
      </w:r>
      <w:r w:rsidRPr="00A2285F">
        <w:rPr>
          <w:rFonts w:ascii="Arial Narrow" w:hAnsi="Arial Narrow" w:cs="Arial"/>
          <w:sz w:val="20"/>
          <w:szCs w:val="20"/>
          <w:u w:val="single"/>
        </w:rPr>
        <w:t>príspevky verejnej správy</w:t>
      </w:r>
      <w:r w:rsidRPr="00A2285F">
        <w:rPr>
          <w:rFonts w:ascii="Arial Narrow" w:hAnsi="Arial Narrow" w:cs="Arial"/>
          <w:sz w:val="20"/>
          <w:szCs w:val="20"/>
        </w:rPr>
        <w:t xml:space="preserve">            </w:t>
      </w:r>
      <w:r w:rsidRPr="00A2285F">
        <w:rPr>
          <w:rFonts w:ascii="Arial Narrow" w:hAnsi="Arial Narrow" w:cs="Arial"/>
          <w:sz w:val="20"/>
          <w:szCs w:val="20"/>
        </w:rPr>
        <w:tab/>
        <w:t xml:space="preserve">        - iné výdavky                                 - rodina/deti      </w:t>
      </w:r>
    </w:p>
    <w:p w:rsidR="00F4730E" w:rsidRPr="00A2285F" w:rsidRDefault="00F4730E" w:rsidP="00F4730E">
      <w:pPr>
        <w:tabs>
          <w:tab w:val="left" w:pos="7088"/>
        </w:tabs>
        <w:jc w:val="both"/>
        <w:rPr>
          <w:rFonts w:ascii="Arial Narrow" w:hAnsi="Arial Narrow" w:cs="Arial"/>
          <w:sz w:val="20"/>
          <w:szCs w:val="20"/>
        </w:rPr>
      </w:pPr>
      <w:r w:rsidRPr="00A2285F">
        <w:rPr>
          <w:rFonts w:ascii="Arial Narrow" w:hAnsi="Arial Narrow" w:cs="Arial"/>
          <w:sz w:val="20"/>
          <w:szCs w:val="20"/>
        </w:rPr>
        <w:t xml:space="preserve">                                </w:t>
      </w:r>
      <w:r w:rsidRPr="00A2285F">
        <w:rPr>
          <w:rFonts w:ascii="Arial Narrow" w:hAnsi="Arial Narrow" w:cs="Arial"/>
          <w:i/>
          <w:sz w:val="20"/>
          <w:szCs w:val="20"/>
        </w:rPr>
        <w:t>- transfery z iných programov</w:t>
      </w:r>
      <w:r w:rsidRPr="00A2285F">
        <w:rPr>
          <w:rFonts w:ascii="Arial Narrow" w:hAnsi="Arial Narrow" w:cs="Arial"/>
          <w:sz w:val="20"/>
          <w:szCs w:val="20"/>
        </w:rPr>
        <w:t xml:space="preserve">                                                                             - nezamestnanosť</w:t>
      </w:r>
    </w:p>
    <w:p w:rsidR="00F4730E" w:rsidRPr="00A2285F" w:rsidRDefault="00F4730E" w:rsidP="00F4730E">
      <w:pPr>
        <w:tabs>
          <w:tab w:val="left" w:pos="6804"/>
          <w:tab w:val="left" w:pos="7088"/>
          <w:tab w:val="left" w:pos="7230"/>
        </w:tabs>
        <w:jc w:val="both"/>
        <w:rPr>
          <w:rFonts w:ascii="Arial Narrow" w:hAnsi="Arial Narrow" w:cs="Arial"/>
          <w:sz w:val="20"/>
          <w:szCs w:val="20"/>
        </w:rPr>
      </w:pPr>
      <w:r w:rsidRPr="00A2285F">
        <w:rPr>
          <w:rFonts w:ascii="Arial Narrow" w:hAnsi="Arial Narrow" w:cs="Arial"/>
          <w:sz w:val="20"/>
          <w:szCs w:val="20"/>
        </w:rPr>
        <w:t xml:space="preserve">                                 - </w:t>
      </w:r>
      <w:r w:rsidRPr="00A2285F">
        <w:rPr>
          <w:rFonts w:ascii="Arial Narrow" w:hAnsi="Arial Narrow" w:cs="Arial"/>
          <w:sz w:val="20"/>
          <w:szCs w:val="20"/>
          <w:u w:val="single"/>
        </w:rPr>
        <w:t>iné príjmy</w:t>
      </w:r>
      <w:r w:rsidRPr="00A2285F">
        <w:rPr>
          <w:rFonts w:ascii="Arial Narrow" w:hAnsi="Arial Narrow" w:cs="Arial"/>
          <w:sz w:val="20"/>
          <w:szCs w:val="20"/>
        </w:rPr>
        <w:t xml:space="preserve">                                                                         </w:t>
      </w:r>
      <w:r>
        <w:rPr>
          <w:rFonts w:ascii="Arial Narrow" w:hAnsi="Arial Narrow" w:cs="Arial"/>
          <w:sz w:val="20"/>
          <w:szCs w:val="20"/>
        </w:rPr>
        <w:t xml:space="preserve">                               </w:t>
      </w:r>
      <w:r w:rsidRPr="00A2285F">
        <w:rPr>
          <w:rFonts w:ascii="Arial Narrow" w:hAnsi="Arial Narrow" w:cs="Arial"/>
          <w:sz w:val="20"/>
          <w:szCs w:val="20"/>
        </w:rPr>
        <w:t xml:space="preserve"> - bývanie</w:t>
      </w:r>
    </w:p>
    <w:p w:rsidR="00F4730E" w:rsidRPr="00A2285F" w:rsidRDefault="00F4730E" w:rsidP="00F4730E">
      <w:pPr>
        <w:tabs>
          <w:tab w:val="left" w:pos="2340"/>
          <w:tab w:val="left" w:pos="7088"/>
        </w:tabs>
        <w:jc w:val="both"/>
        <w:rPr>
          <w:rFonts w:ascii="Arial Narrow" w:hAnsi="Arial Narrow" w:cs="Arial"/>
          <w:sz w:val="20"/>
          <w:szCs w:val="20"/>
        </w:rPr>
      </w:pPr>
      <w:r w:rsidRPr="00A2285F">
        <w:rPr>
          <w:noProof/>
          <w:lang w:eastAsia="sk-SK"/>
        </w:rPr>
        <mc:AlternateContent>
          <mc:Choice Requires="wps">
            <w:drawing>
              <wp:anchor distT="0" distB="0" distL="114300" distR="114300" simplePos="0" relativeHeight="251757568" behindDoc="0" locked="0" layoutInCell="1" allowOverlap="1" wp14:anchorId="25315E6F" wp14:editId="720094F9">
                <wp:simplePos x="0" y="0"/>
                <wp:positionH relativeFrom="column">
                  <wp:posOffset>5233670</wp:posOffset>
                </wp:positionH>
                <wp:positionV relativeFrom="line">
                  <wp:posOffset>148590</wp:posOffset>
                </wp:positionV>
                <wp:extent cx="600075" cy="228600"/>
                <wp:effectExtent l="0" t="0" r="0" b="0"/>
                <wp:wrapNone/>
                <wp:docPr id="150"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0075" cy="228600"/>
                        </a:xfrm>
                        <a:prstGeom prst="bentConnector3">
                          <a:avLst>
                            <a:gd name="adj1" fmla="val 49949"/>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miter lim="800000"/>
                              <a:headEnd/>
                              <a:tailEnd type="triangle" w="med" len="me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CDA3237" id="AutoShape 213" o:spid="_x0000_s1026" type="#_x0000_t34" style="position:absolute;margin-left:412.1pt;margin-top:11.7pt;width:47.25pt;height:18pt;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tZ9yQIAABAGAAAOAAAAZHJzL2Uyb0RvYy54bWysVMuO0zAU3SPxD1b2mTya5qVJR23SsBlg&#10;pBnYu4nTGBw7sk3bEeLfuXZDHwMLxJCFFdv3nvs4x/f27jAwtCNSUcELJ7jxHUR4I1rKt4Xz6al2&#10;UwcpjXmLmeCkcJ6Jcu4Wb9/c7sechKIXrCUSAQhX+X4snF7rMfc81fRkwOpGjITDZSfkgDVs5dZr&#10;Jd4D+sC80Pdjby9kO0rREKXgtDpeOguL33Wk0R+7ThGNWOFAbtqu0q4bs3qLW5xvJR572kxp4H/I&#10;YsCUQ9ATVIU1Rt8k/Q1qoI0USnT6phGDJ7qONsTWANUE/otqHns8ElsLNEeNpzap/wfbfNg9SERb&#10;4G4O/eF4AJKW37SwsVEYzEyL9qPKwbLkD9IU2Rz443gvmq8KcVH2mG+JNX96HsE7MB7elYvZqBEC&#10;bfbvRQs2GCLYfh06OaCO0fGzcTTg0BN0sAQ9nwgiB40aOIx930/mDmrgKgxT2NpYODcwxnmUSr8j&#10;YkDmp3A2hOtScA4yEHJm4fHuXmnLVDtVi9svgYO6gQHxO8xQlGVRNuFO1t4Z2bhyUVPGrHQYvzoA&#10;w+MJsdqDUNYK8p+imkqsLr5nfrZO12nkRmG8diO/qtxlXUZuXAfJvJpVZVkFP0zKQZT3tG0JN0F/&#10;aTSI/k4D02s5quuk0lMB3jU68IZzSNHUdJFpEEb+KszcOk4TN6qjuZslfur6QbbKYj/Koqq+zvSe&#10;cvL6TNG+cLJ5OLe8KcFoazpgclNyuymZREAXaMR+E2FXZgPVMFwYHQonPRnhvCe4XfPWMqMxZfCP&#10;tJWulhTEzIhjQg+kdRAjMNbMn9H0uVmmwD83a1nP/SSapW6SzGduNFv77iqtS3dZBnGcrFflav2C&#10;1rWVinp9vyxrF7q7yHeKcU75yLMVpX2q5nUe3/lGtM8P0pRrXi2MHes0jUgz1y731uo8yBc/AQAA&#10;//8DAFBLAwQUAAYACAAAACEAdW/29uAAAAAJAQAADwAAAGRycy9kb3ducmV2LnhtbEyPy07DMBBF&#10;90j8gzVI7KjTNJQ0zaRCrdiwow9V7NxkiKPG4xC7Tfh7zKosR/fo3jP5ajStuFLvGssI00kEgri0&#10;VcM1wn739pSCcF5xpVrLhPBDDlbF/V2ussoO/EHXra9FKGGXKQTtfZdJ6UpNRrmJ7YhD9mV7o3w4&#10;+1pWvRpCuWllHEVzaVTDYUGrjtaayvP2YhAOs6P+PgzrYaft53Gcl5vmfb9BfHwYX5cgPI3+BsOf&#10;flCHIjid7IUrJ1qENE7igCLEswREABbT9AXECeF5kYAscvn/g+IXAAD//wMAUEsBAi0AFAAGAAgA&#10;AAAhALaDOJL+AAAA4QEAABMAAAAAAAAAAAAAAAAAAAAAAFtDb250ZW50X1R5cGVzXS54bWxQSwEC&#10;LQAUAAYACAAAACEAOP0h/9YAAACUAQAACwAAAAAAAAAAAAAAAAAvAQAAX3JlbHMvLnJlbHNQSwEC&#10;LQAUAAYACAAAACEATUrWfckCAAAQBgAADgAAAAAAAAAAAAAAAAAuAgAAZHJzL2Uyb0RvYy54bWxQ&#10;SwECLQAUAAYACAAAACEAdW/29uAAAAAJAQAADwAAAAAAAAAAAAAAAAAjBQAAZHJzL2Rvd25yZXYu&#10;eG1sUEsFBgAAAAAEAAQA8wAAADAGAAAAAA==&#10;" adj="10789" stroked="f">
                <v:stroke endarrow="block"/>
                <w10:wrap anchory="line"/>
              </v:shape>
            </w:pict>
          </mc:Fallback>
        </mc:AlternateContent>
      </w:r>
      <w:r w:rsidRPr="00A2285F">
        <w:rPr>
          <w:rFonts w:ascii="Arial Narrow" w:hAnsi="Arial Narrow" w:cs="Arial"/>
          <w:sz w:val="20"/>
          <w:szCs w:val="20"/>
        </w:rPr>
        <w:tab/>
        <w:t xml:space="preserve">                                                                                                      </w:t>
      </w:r>
      <w:r>
        <w:rPr>
          <w:rFonts w:ascii="Arial Narrow" w:hAnsi="Arial Narrow" w:cs="Arial"/>
          <w:sz w:val="20"/>
          <w:szCs w:val="20"/>
        </w:rPr>
        <w:t xml:space="preserve">   </w:t>
      </w:r>
      <w:r w:rsidRPr="00A2285F">
        <w:rPr>
          <w:rFonts w:ascii="Arial Narrow" w:hAnsi="Arial Narrow" w:cs="Arial"/>
          <w:sz w:val="20"/>
          <w:szCs w:val="20"/>
        </w:rPr>
        <w:t>- sociálne vylúčenie</w:t>
      </w:r>
    </w:p>
    <w:p w:rsidR="00F4730E" w:rsidRPr="00A2285F" w:rsidRDefault="00F4730E" w:rsidP="00F4730E">
      <w:pPr>
        <w:jc w:val="both"/>
        <w:rPr>
          <w:rFonts w:ascii="Arial Narrow" w:hAnsi="Arial Narrow" w:cs="Arial"/>
          <w:b/>
          <w:bCs/>
          <w:sz w:val="10"/>
          <w:szCs w:val="10"/>
        </w:rPr>
      </w:pPr>
    </w:p>
    <w:p w:rsidR="00F4730E" w:rsidRPr="00A2285F" w:rsidRDefault="00F4730E" w:rsidP="00F4730E">
      <w:pPr>
        <w:jc w:val="both"/>
        <w:rPr>
          <w:rFonts w:ascii="Arial Narrow" w:hAnsi="Arial Narrow" w:cs="Arial"/>
          <w:b/>
          <w:bCs/>
          <w:sz w:val="20"/>
          <w:szCs w:val="20"/>
          <w:u w:val="single"/>
        </w:rPr>
      </w:pPr>
      <w:r w:rsidRPr="00A2285F">
        <w:rPr>
          <w:rFonts w:ascii="Arial Narrow" w:hAnsi="Arial Narrow" w:cs="Arial"/>
          <w:b/>
          <w:bCs/>
          <w:sz w:val="20"/>
          <w:szCs w:val="20"/>
        </w:rPr>
        <w:t xml:space="preserve">                                                                                                         </w:t>
      </w:r>
      <w:r w:rsidRPr="00A2285F">
        <w:rPr>
          <w:rFonts w:ascii="Arial Narrow" w:hAnsi="Arial Narrow" w:cs="Arial"/>
          <w:b/>
          <w:bCs/>
          <w:sz w:val="20"/>
          <w:szCs w:val="20"/>
        </w:rPr>
        <w:tab/>
      </w:r>
      <w:r w:rsidRPr="00A2285F">
        <w:rPr>
          <w:rFonts w:ascii="Arial Narrow" w:hAnsi="Arial Narrow" w:cs="Arial"/>
          <w:b/>
          <w:bCs/>
          <w:sz w:val="20"/>
          <w:szCs w:val="20"/>
        </w:rPr>
        <w:tab/>
      </w:r>
      <w:r w:rsidRPr="00A2285F">
        <w:rPr>
          <w:rFonts w:ascii="Arial Narrow" w:hAnsi="Arial Narrow" w:cs="Arial"/>
          <w:b/>
          <w:bCs/>
          <w:sz w:val="20"/>
          <w:szCs w:val="20"/>
        </w:rPr>
        <w:tab/>
      </w:r>
      <w:r w:rsidRPr="00A2285F">
        <w:rPr>
          <w:rFonts w:ascii="Arial Narrow" w:hAnsi="Arial Narrow" w:cs="Arial"/>
          <w:b/>
          <w:bCs/>
          <w:sz w:val="20"/>
          <w:szCs w:val="20"/>
        </w:rPr>
        <w:tab/>
        <w:t xml:space="preserve">   </w:t>
      </w:r>
      <w:r w:rsidRPr="00A2285F">
        <w:rPr>
          <w:rFonts w:ascii="Arial Narrow" w:hAnsi="Arial Narrow" w:cs="Arial"/>
          <w:b/>
          <w:bCs/>
          <w:sz w:val="20"/>
          <w:szCs w:val="20"/>
          <w:u w:val="single"/>
        </w:rPr>
        <w:t>Podľa typu</w:t>
      </w:r>
    </w:p>
    <w:p w:rsidR="00F4730E" w:rsidRPr="00A2285F" w:rsidRDefault="00F4730E" w:rsidP="00F4730E">
      <w:pPr>
        <w:tabs>
          <w:tab w:val="left" w:pos="6946"/>
          <w:tab w:val="left" w:pos="7088"/>
          <w:tab w:val="left" w:pos="7655"/>
        </w:tabs>
        <w:jc w:val="both"/>
        <w:rPr>
          <w:rFonts w:ascii="Arial Narrow" w:hAnsi="Arial Narrow" w:cs="Arial"/>
          <w:bCs/>
          <w:sz w:val="20"/>
          <w:szCs w:val="20"/>
        </w:rPr>
      </w:pPr>
      <w:r w:rsidRPr="00A2285F">
        <w:rPr>
          <w:noProof/>
          <w:lang w:eastAsia="sk-SK"/>
        </w:rPr>
        <mc:AlternateContent>
          <mc:Choice Requires="wps">
            <w:drawing>
              <wp:anchor distT="0" distB="0" distL="114299" distR="114299" simplePos="0" relativeHeight="251758592" behindDoc="0" locked="0" layoutInCell="1" allowOverlap="1" wp14:anchorId="1B600DB2" wp14:editId="4EFA1518">
                <wp:simplePos x="0" y="0"/>
                <wp:positionH relativeFrom="column">
                  <wp:posOffset>5285739</wp:posOffset>
                </wp:positionH>
                <wp:positionV relativeFrom="line">
                  <wp:posOffset>107950</wp:posOffset>
                </wp:positionV>
                <wp:extent cx="28575" cy="0"/>
                <wp:effectExtent l="0" t="0" r="0" b="0"/>
                <wp:wrapNone/>
                <wp:docPr id="151"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28575" cy="0"/>
                        </a:xfrm>
                        <a:prstGeom prst="straightConnector1">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B3EFD0A" id="_x0000_t32" coordsize="21600,21600" o:spt="32" o:oned="t" path="m,l21600,21600e" filled="f">
                <v:path arrowok="t" fillok="f" o:connecttype="none"/>
                <o:lock v:ext="edit" shapetype="t"/>
              </v:shapetype>
              <v:shape id="AutoShape 214" o:spid="_x0000_s1026" type="#_x0000_t32" style="position:absolute;margin-left:416.2pt;margin-top:8.5pt;width:2.25pt;height:0;rotation:-90;z-index:2517585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lin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M42pwIAANkFAAAOAAAAZHJzL2Uyb0RvYy54bWysVMlu2zAQvRfoPxC8K1qsHbEDW0svaRsg&#10;6QfQEmURlUiBZLyg6L93SDuOnfZQNNWBIKlZ3sx7w9u7/TigLZWKCT7H/o2HEeWNaBnfzPG3p9pJ&#10;MVKa8JYMgtM5PlCF7xYfP9zuppwGohdDSyWCIFzlu2mOe62n3HVV09ORqBsxUQ4/OyFHouEoN24r&#10;yQ6ij4MbeF7s7oRsJykaqhTclsefeGHjdx1t9NeuU1SjYY4Bm7artOvarO7iluQbSaaeNScY5B9Q&#10;jIRxSHoOVRJN0LNkv4UaWSOFEp2+acToiq5jDbU1QDW+96aax55M1NYCzVHTuU3q/4VtvmwfJGIt&#10;cBf5GHEyAknLZy1sbhT4oWnRblI5WBb8QZoimz1/nO5F810hLoqe8A215k+HCbx94+FeuZiDmiDR&#10;evdZtGBDIIPt176TI5ICePFj4BM+ew2NQXvL0uHMEt1r1MBlkEZJhFHz8scluYligE1S6U9UjMhs&#10;5lhpSdim14XgHJQgpG+Dk+290gbjq4Nx5qJmw2AFMfCrCzA83lCrqKM3yQEQbI2lgWbZ/pF5WZVW&#10;aeiEQVw5oVeWzrIuQieu/SQqZ2VRlP5Pg8IP8561LeUm6Yvy/PDvmD3NwFEzZ+2dC3Cvo9tKAeIb&#10;pH4Qeqsgc+o4TZywDiMnS7zU8fxslcVemIVlfY30nnH6fqRoN8dZFESWCiUG1poOGGxKbtbFINGW&#10;mGE9iuFI05WZFM+8tTT1lLTVaa8JG2CPtNWglgxUOVBsso20xWig8D6ZnY147r6p6c/9WdaRl4Sz&#10;1EmSaOaEs8pzVmldOMvCj+OkWhWr6g2TlVWHen+LLFEXUrvg85TjFTJo80WHdubMmB0Hdi3aw4M0&#10;5Zrxg/fDOp3eOvNAXZ6t1euLvPgFAAD//wMAUEsDBBQABgAIAAAAIQCv3Xxo2QAAAAkBAAAPAAAA&#10;ZHJzL2Rvd25yZXYueG1sTI9BT8MwDIXvSPyHyEjcWMKYYCtNJ4RA4soGEse08dpqiRM1aVf+PZ44&#10;wMnye0/Pn8vt7J2YcEh9IA23CwUCqQm2p1bDx/71Zg0iZUPWuECo4RsTbKvLi9IUNpzoHaddbgWX&#10;UCqMhi7nWEiZmg69SYsQkdg7hMGbzOvQSjuYE5d7J5dK3UtveuILnYn43GFz3I1eg6JsY310o/uU&#10;X6sX5d6mFIPW11fz0yOIjHP+C8MZn9GhYqY6jGSTcBrWd6sHjrJxnhz4FWoWNkuQVSn/f1D9AAAA&#10;//8DAFBLAQItABQABgAIAAAAIQC2gziS/gAAAOEBAAATAAAAAAAAAAAAAAAAAAAAAABbQ29udGVu&#10;dF9UeXBlc10ueG1sUEsBAi0AFAAGAAgAAAAhADj9If/WAAAAlAEAAAsAAAAAAAAAAAAAAAAALwEA&#10;AF9yZWxzLy5yZWxzUEsBAi0AFAAGAAgAAAAhACCYzjanAgAA2QUAAA4AAAAAAAAAAAAAAAAALgIA&#10;AGRycy9lMm9Eb2MueG1sUEsBAi0AFAAGAAgAAAAhAK/dfGjZAAAACQEAAA8AAAAAAAAAAAAAAAAA&#10;AQUAAGRycy9kb3ducmV2LnhtbFBLBQYAAAAABAAEAPMAAAAHBgAAAAA=&#10;" stroked="f">
                <v:stroke endarrow="block"/>
                <w10:wrap anchory="line"/>
              </v:shape>
            </w:pict>
          </mc:Fallback>
        </mc:AlternateContent>
      </w:r>
      <w:r w:rsidRPr="00A2285F">
        <w:rPr>
          <w:rFonts w:ascii="Arial Narrow" w:hAnsi="Arial Narrow" w:cs="Arial"/>
          <w:bCs/>
          <w:sz w:val="20"/>
          <w:szCs w:val="20"/>
        </w:rPr>
        <w:t xml:space="preserve">                                                                                                                                                             - peňažné</w:t>
      </w:r>
    </w:p>
    <w:p w:rsidR="00F4730E" w:rsidRPr="00A2285F" w:rsidRDefault="00F4730E" w:rsidP="00F4730E">
      <w:pPr>
        <w:tabs>
          <w:tab w:val="left" w:pos="7088"/>
        </w:tabs>
        <w:rPr>
          <w:rFonts w:ascii="Arial Narrow" w:hAnsi="Arial Narrow" w:cs="Arial"/>
          <w:bCs/>
          <w:sz w:val="20"/>
          <w:szCs w:val="20"/>
        </w:rPr>
      </w:pPr>
      <w:r w:rsidRPr="00A2285F">
        <w:rPr>
          <w:rFonts w:ascii="Arial Narrow" w:hAnsi="Arial Narrow" w:cs="Arial"/>
          <w:bCs/>
          <w:sz w:val="20"/>
          <w:szCs w:val="20"/>
        </w:rPr>
        <w:t xml:space="preserve">                                                                                                                                                                   - periodické </w:t>
      </w:r>
    </w:p>
    <w:p w:rsidR="00F4730E" w:rsidRPr="00A2285F" w:rsidRDefault="00F4730E" w:rsidP="00F4730E">
      <w:pPr>
        <w:tabs>
          <w:tab w:val="left" w:pos="7088"/>
        </w:tabs>
        <w:rPr>
          <w:rFonts w:ascii="Arial Narrow" w:hAnsi="Arial Narrow" w:cs="Arial"/>
          <w:bCs/>
          <w:sz w:val="20"/>
          <w:szCs w:val="20"/>
        </w:rPr>
      </w:pPr>
      <w:r w:rsidRPr="00A2285F">
        <w:rPr>
          <w:rFonts w:ascii="Arial Narrow" w:hAnsi="Arial Narrow" w:cs="Arial"/>
          <w:bCs/>
          <w:sz w:val="20"/>
          <w:szCs w:val="20"/>
        </w:rPr>
        <w:t xml:space="preserve">                                                                                                                                                                   - jednorazové </w:t>
      </w:r>
    </w:p>
    <w:p w:rsidR="00F4730E" w:rsidRPr="00A2285F" w:rsidRDefault="00F4730E" w:rsidP="00F4730E">
      <w:pPr>
        <w:tabs>
          <w:tab w:val="left" w:pos="7088"/>
        </w:tabs>
        <w:rPr>
          <w:rFonts w:ascii="Arial Narrow" w:hAnsi="Arial Narrow" w:cs="Arial"/>
          <w:bCs/>
          <w:sz w:val="20"/>
          <w:szCs w:val="20"/>
        </w:rPr>
      </w:pPr>
      <w:r w:rsidRPr="00A2285F">
        <w:rPr>
          <w:rFonts w:ascii="Arial Narrow" w:hAnsi="Arial Narrow" w:cs="Arial"/>
          <w:bCs/>
          <w:sz w:val="20"/>
          <w:szCs w:val="20"/>
        </w:rPr>
        <w:t xml:space="preserve">                                                                                                                                                             - vecné</w:t>
      </w:r>
    </w:p>
    <w:p w:rsidR="00F4730E" w:rsidRPr="00A2285F" w:rsidRDefault="00F4730E" w:rsidP="00F4730E">
      <w:pPr>
        <w:jc w:val="both"/>
        <w:rPr>
          <w:rFonts w:ascii="Arial Narrow" w:hAnsi="Arial Narrow" w:cs="Arial"/>
          <w:bCs/>
          <w:sz w:val="20"/>
          <w:szCs w:val="20"/>
          <w:u w:val="single"/>
        </w:rPr>
      </w:pPr>
      <w:r w:rsidRPr="00A2285F">
        <w:rPr>
          <w:rFonts w:ascii="Arial Narrow" w:hAnsi="Arial Narrow" w:cs="Arial"/>
          <w:bCs/>
          <w:sz w:val="20"/>
          <w:szCs w:val="20"/>
        </w:rPr>
        <w:t xml:space="preserve">                                                                                                                                     </w:t>
      </w:r>
      <w:r w:rsidR="00CC4C97">
        <w:rPr>
          <w:rFonts w:ascii="Arial Narrow" w:hAnsi="Arial Narrow" w:cs="Arial"/>
          <w:bCs/>
          <w:sz w:val="20"/>
          <w:szCs w:val="20"/>
        </w:rPr>
        <w:t xml:space="preserve">      </w:t>
      </w:r>
      <w:r w:rsidRPr="00A2285F">
        <w:rPr>
          <w:rFonts w:ascii="Arial Narrow" w:hAnsi="Arial Narrow" w:cs="Arial"/>
          <w:bCs/>
          <w:sz w:val="20"/>
          <w:szCs w:val="20"/>
        </w:rPr>
        <w:t xml:space="preserve">  - </w:t>
      </w:r>
      <w:r w:rsidRPr="00A2285F">
        <w:rPr>
          <w:rFonts w:ascii="Arial Narrow" w:hAnsi="Arial Narrow" w:cs="Arial"/>
          <w:bCs/>
          <w:sz w:val="20"/>
          <w:szCs w:val="20"/>
          <w:u w:val="single"/>
        </w:rPr>
        <w:t>testované a netestované na príjem</w:t>
      </w:r>
    </w:p>
    <w:p w:rsidR="00240206" w:rsidRPr="00AA7B25" w:rsidRDefault="000B4797" w:rsidP="00DE7883">
      <w:pPr>
        <w:jc w:val="both"/>
        <w:rPr>
          <w:rFonts w:ascii="Arial Narrow" w:hAnsi="Arial Narrow" w:cs="Arial"/>
          <w:b/>
        </w:rPr>
      </w:pPr>
      <w:r w:rsidRPr="00AA7B25">
        <w:rPr>
          <w:rFonts w:ascii="Arial Narrow" w:hAnsi="Arial Narrow" w:cs="Arial"/>
          <w:b/>
        </w:rPr>
        <w:lastRenderedPageBreak/>
        <w:t>1.1</w:t>
      </w:r>
      <w:r w:rsidR="00EB6171" w:rsidRPr="00AA7B25">
        <w:rPr>
          <w:rFonts w:ascii="Arial Narrow" w:hAnsi="Arial Narrow" w:cs="Arial"/>
          <w:b/>
        </w:rPr>
        <w:t xml:space="preserve">  </w:t>
      </w:r>
      <w:r w:rsidR="00240206" w:rsidRPr="00AA7B25">
        <w:rPr>
          <w:rFonts w:ascii="Arial Narrow" w:hAnsi="Arial Narrow" w:cs="Arial"/>
          <w:b/>
        </w:rPr>
        <w:t>PRÍJMY NA SOCIÁLNU OCHRANU V SR</w:t>
      </w:r>
    </w:p>
    <w:p w:rsidR="00240206" w:rsidRDefault="00240206" w:rsidP="00752AB8">
      <w:pPr>
        <w:jc w:val="both"/>
        <w:rPr>
          <w:rFonts w:ascii="Arial Narrow" w:hAnsi="Arial Narrow" w:cs="Arial"/>
          <w:sz w:val="20"/>
          <w:szCs w:val="20"/>
        </w:rPr>
      </w:pPr>
    </w:p>
    <w:p w:rsidR="00A400B9" w:rsidRPr="00676D2B" w:rsidRDefault="00240206" w:rsidP="00620D58">
      <w:pPr>
        <w:ind w:firstLine="708"/>
        <w:jc w:val="both"/>
        <w:rPr>
          <w:rFonts w:ascii="Arial Narrow" w:hAnsi="Arial Narrow" w:cs="Arial"/>
          <w:sz w:val="22"/>
          <w:szCs w:val="22"/>
        </w:rPr>
      </w:pPr>
      <w:r w:rsidRPr="00676D2B">
        <w:rPr>
          <w:rFonts w:ascii="Arial Narrow" w:hAnsi="Arial Narrow" w:cs="Arial"/>
          <w:sz w:val="22"/>
          <w:szCs w:val="22"/>
        </w:rPr>
        <w:t>Príjmy na systém sociálnej ochrany v úhrne v SR v roku 201</w:t>
      </w:r>
      <w:r w:rsidR="008C27FB" w:rsidRPr="00676D2B">
        <w:rPr>
          <w:rFonts w:ascii="Arial Narrow" w:hAnsi="Arial Narrow" w:cs="Arial"/>
          <w:sz w:val="22"/>
          <w:szCs w:val="22"/>
        </w:rPr>
        <w:t>9</w:t>
      </w:r>
      <w:r w:rsidRPr="00676D2B">
        <w:rPr>
          <w:rFonts w:ascii="Arial Narrow" w:hAnsi="Arial Narrow" w:cs="Arial"/>
          <w:sz w:val="22"/>
          <w:szCs w:val="22"/>
        </w:rPr>
        <w:t xml:space="preserve"> dosiahli </w:t>
      </w:r>
      <w:r w:rsidR="008C27FB" w:rsidRPr="00676D2B">
        <w:rPr>
          <w:rFonts w:ascii="Arial Narrow" w:hAnsi="Arial Narrow" w:cs="Arial"/>
          <w:sz w:val="22"/>
          <w:szCs w:val="22"/>
        </w:rPr>
        <w:t>18</w:t>
      </w:r>
      <w:r w:rsidR="005F0308" w:rsidRPr="00676D2B">
        <w:rPr>
          <w:rFonts w:ascii="Arial Narrow" w:hAnsi="Arial Narrow" w:cs="Arial"/>
          <w:sz w:val="22"/>
          <w:szCs w:val="22"/>
        </w:rPr>
        <w:t> </w:t>
      </w:r>
      <w:r w:rsidR="008C27FB" w:rsidRPr="00676D2B">
        <w:rPr>
          <w:rFonts w:ascii="Arial Narrow" w:hAnsi="Arial Narrow" w:cs="Arial"/>
          <w:sz w:val="22"/>
          <w:szCs w:val="22"/>
        </w:rPr>
        <w:t>059</w:t>
      </w:r>
      <w:r w:rsidR="005F0308" w:rsidRPr="00676D2B">
        <w:rPr>
          <w:rFonts w:ascii="Arial Narrow" w:hAnsi="Arial Narrow" w:cs="Arial"/>
          <w:sz w:val="22"/>
          <w:szCs w:val="22"/>
        </w:rPr>
        <w:t>,</w:t>
      </w:r>
      <w:r w:rsidR="008C27FB" w:rsidRPr="00676D2B">
        <w:rPr>
          <w:rFonts w:ascii="Arial Narrow" w:hAnsi="Arial Narrow" w:cs="Arial"/>
          <w:sz w:val="22"/>
          <w:szCs w:val="22"/>
        </w:rPr>
        <w:t>2</w:t>
      </w:r>
      <w:r w:rsidRPr="00676D2B">
        <w:rPr>
          <w:rFonts w:ascii="Arial Narrow" w:hAnsi="Arial Narrow" w:cs="Arial"/>
          <w:sz w:val="22"/>
          <w:szCs w:val="22"/>
        </w:rPr>
        <w:t xml:space="preserve"> mil. eur (</w:t>
      </w:r>
      <w:r w:rsidR="001D6921" w:rsidRPr="00676D2B">
        <w:rPr>
          <w:rFonts w:ascii="Arial Narrow" w:hAnsi="Arial Narrow" w:cs="Arial"/>
          <w:sz w:val="22"/>
          <w:szCs w:val="22"/>
        </w:rPr>
        <w:t>1</w:t>
      </w:r>
      <w:r w:rsidR="008C27FB" w:rsidRPr="00676D2B">
        <w:rPr>
          <w:rFonts w:ascii="Arial Narrow" w:hAnsi="Arial Narrow" w:cs="Arial"/>
          <w:sz w:val="22"/>
          <w:szCs w:val="22"/>
        </w:rPr>
        <w:t>9</w:t>
      </w:r>
      <w:r w:rsidR="00620D58" w:rsidRPr="00676D2B">
        <w:rPr>
          <w:rFonts w:ascii="Arial Narrow" w:hAnsi="Arial Narrow" w:cs="Arial"/>
          <w:sz w:val="22"/>
          <w:szCs w:val="22"/>
        </w:rPr>
        <w:t>,</w:t>
      </w:r>
      <w:r w:rsidR="008C27FB" w:rsidRPr="00676D2B">
        <w:rPr>
          <w:rFonts w:ascii="Arial Narrow" w:hAnsi="Arial Narrow" w:cs="Arial"/>
          <w:sz w:val="22"/>
          <w:szCs w:val="22"/>
        </w:rPr>
        <w:t>2</w:t>
      </w:r>
      <w:r w:rsidR="000C7EE5" w:rsidRPr="00676D2B">
        <w:rPr>
          <w:rFonts w:ascii="Arial Narrow" w:hAnsi="Arial Narrow" w:cs="Arial"/>
          <w:sz w:val="22"/>
          <w:szCs w:val="22"/>
        </w:rPr>
        <w:t xml:space="preserve"> % z HDP)</w:t>
      </w:r>
      <w:r w:rsidR="002939AC" w:rsidRPr="00676D2B">
        <w:rPr>
          <w:rFonts w:ascii="Arial Narrow" w:hAnsi="Arial Narrow" w:cs="Arial"/>
          <w:sz w:val="22"/>
          <w:szCs w:val="22"/>
        </w:rPr>
        <w:t xml:space="preserve"> </w:t>
      </w:r>
      <w:r w:rsidR="00983012" w:rsidRPr="00676D2B">
        <w:rPr>
          <w:rFonts w:ascii="Arial Narrow" w:hAnsi="Arial Narrow" w:cs="Arial"/>
          <w:sz w:val="22"/>
          <w:szCs w:val="22"/>
        </w:rPr>
        <w:br/>
      </w:r>
      <w:r w:rsidR="002939AC" w:rsidRPr="00676D2B">
        <w:rPr>
          <w:rFonts w:ascii="Arial Narrow" w:hAnsi="Arial Narrow" w:cs="Arial"/>
          <w:sz w:val="22"/>
          <w:szCs w:val="22"/>
        </w:rPr>
        <w:t>a</w:t>
      </w:r>
      <w:r w:rsidR="001D6921" w:rsidRPr="00676D2B">
        <w:rPr>
          <w:rFonts w:ascii="Arial Narrow" w:hAnsi="Arial Narrow" w:cs="Arial"/>
          <w:sz w:val="22"/>
          <w:szCs w:val="22"/>
        </w:rPr>
        <w:t> </w:t>
      </w:r>
      <w:r w:rsidR="008C27FB" w:rsidRPr="00676D2B">
        <w:rPr>
          <w:rFonts w:ascii="Arial Narrow" w:hAnsi="Arial Narrow" w:cs="Arial"/>
          <w:sz w:val="22"/>
          <w:szCs w:val="22"/>
        </w:rPr>
        <w:t>15</w:t>
      </w:r>
      <w:r w:rsidR="001D6921" w:rsidRPr="00676D2B">
        <w:rPr>
          <w:rFonts w:ascii="Arial Narrow" w:hAnsi="Arial Narrow" w:cs="Arial"/>
          <w:sz w:val="22"/>
          <w:szCs w:val="22"/>
        </w:rPr>
        <w:t> </w:t>
      </w:r>
      <w:r w:rsidR="008C27FB" w:rsidRPr="00676D2B">
        <w:rPr>
          <w:rFonts w:ascii="Arial Narrow" w:hAnsi="Arial Narrow" w:cs="Arial"/>
          <w:sz w:val="22"/>
          <w:szCs w:val="22"/>
        </w:rPr>
        <w:t>5</w:t>
      </w:r>
      <w:r w:rsidR="005F0308" w:rsidRPr="00676D2B">
        <w:rPr>
          <w:rFonts w:ascii="Arial Narrow" w:hAnsi="Arial Narrow" w:cs="Arial"/>
          <w:sz w:val="22"/>
          <w:szCs w:val="22"/>
        </w:rPr>
        <w:t>8</w:t>
      </w:r>
      <w:r w:rsidR="008C27FB" w:rsidRPr="00676D2B">
        <w:rPr>
          <w:rFonts w:ascii="Arial Narrow" w:hAnsi="Arial Narrow" w:cs="Arial"/>
          <w:sz w:val="22"/>
          <w:szCs w:val="22"/>
        </w:rPr>
        <w:t>8</w:t>
      </w:r>
      <w:r w:rsidR="001D6921" w:rsidRPr="00676D2B">
        <w:rPr>
          <w:rFonts w:ascii="Arial Narrow" w:hAnsi="Arial Narrow" w:cs="Arial"/>
          <w:sz w:val="22"/>
          <w:szCs w:val="22"/>
        </w:rPr>
        <w:t>,</w:t>
      </w:r>
      <w:r w:rsidR="008C27FB" w:rsidRPr="00676D2B">
        <w:rPr>
          <w:rFonts w:ascii="Arial Narrow" w:hAnsi="Arial Narrow" w:cs="Arial"/>
          <w:sz w:val="22"/>
          <w:szCs w:val="22"/>
        </w:rPr>
        <w:t>7</w:t>
      </w:r>
      <w:r w:rsidR="002939AC" w:rsidRPr="00676D2B">
        <w:rPr>
          <w:rFonts w:ascii="Arial Narrow" w:hAnsi="Arial Narrow" w:cs="Arial"/>
          <w:sz w:val="22"/>
          <w:szCs w:val="22"/>
        </w:rPr>
        <w:t xml:space="preserve"> mil. eur v </w:t>
      </w:r>
      <w:r w:rsidR="009C19A4" w:rsidRPr="00676D2B">
        <w:rPr>
          <w:rFonts w:ascii="Arial Narrow" w:hAnsi="Arial Narrow" w:cs="Arial"/>
          <w:sz w:val="22"/>
          <w:szCs w:val="22"/>
        </w:rPr>
        <w:t>stálych</w:t>
      </w:r>
      <w:r w:rsidR="002939AC" w:rsidRPr="00676D2B">
        <w:rPr>
          <w:rFonts w:ascii="Arial Narrow" w:hAnsi="Arial Narrow" w:cs="Arial"/>
          <w:sz w:val="22"/>
          <w:szCs w:val="22"/>
        </w:rPr>
        <w:t xml:space="preserve"> cenách roku 2010.</w:t>
      </w:r>
    </w:p>
    <w:p w:rsidR="000C7EE5" w:rsidRDefault="000C7EE5" w:rsidP="005419A2">
      <w:pPr>
        <w:jc w:val="both"/>
        <w:rPr>
          <w:rFonts w:ascii="Arial Narrow" w:hAnsi="Arial Narrow" w:cs="Arial"/>
          <w:color w:val="C45911" w:themeColor="accent2" w:themeShade="BF"/>
          <w:sz w:val="22"/>
          <w:szCs w:val="22"/>
        </w:rPr>
      </w:pPr>
    </w:p>
    <w:p w:rsidR="000C7EE5" w:rsidRPr="00AA7B25" w:rsidRDefault="000C7EE5" w:rsidP="005419A2">
      <w:pPr>
        <w:jc w:val="both"/>
        <w:rPr>
          <w:rFonts w:ascii="Arial Narrow" w:hAnsi="Arial Narrow" w:cs="Arial"/>
          <w:b/>
          <w:color w:val="000000" w:themeColor="text1"/>
          <w:sz w:val="22"/>
          <w:szCs w:val="22"/>
        </w:rPr>
      </w:pPr>
      <w:r w:rsidRPr="00AA7B25">
        <w:rPr>
          <w:rFonts w:ascii="Arial Narrow" w:hAnsi="Arial Narrow" w:cs="Arial"/>
          <w:b/>
          <w:color w:val="000000" w:themeColor="text1"/>
          <w:sz w:val="22"/>
          <w:szCs w:val="22"/>
        </w:rPr>
        <w:t>Tab. 1</w:t>
      </w:r>
      <w:r w:rsidR="002A5885" w:rsidRPr="00AA7B25">
        <w:rPr>
          <w:rFonts w:ascii="Arial Narrow" w:hAnsi="Arial Narrow" w:cs="Arial"/>
          <w:b/>
          <w:color w:val="000000" w:themeColor="text1"/>
          <w:sz w:val="22"/>
          <w:szCs w:val="22"/>
        </w:rPr>
        <w:t>.</w:t>
      </w:r>
      <w:r w:rsidR="003256DA" w:rsidRPr="00AA7B25">
        <w:rPr>
          <w:rFonts w:ascii="Arial Narrow" w:hAnsi="Arial Narrow" w:cs="Arial"/>
          <w:b/>
          <w:color w:val="000000" w:themeColor="text1"/>
          <w:sz w:val="22"/>
          <w:szCs w:val="22"/>
        </w:rPr>
        <w:t>1</w:t>
      </w:r>
      <w:r w:rsidRPr="00AA7B25">
        <w:rPr>
          <w:rFonts w:ascii="Arial Narrow" w:hAnsi="Arial Narrow" w:cs="Arial"/>
          <w:b/>
          <w:color w:val="000000" w:themeColor="text1"/>
          <w:sz w:val="22"/>
          <w:szCs w:val="22"/>
        </w:rPr>
        <w:t xml:space="preserve"> </w:t>
      </w:r>
      <w:r w:rsidR="00CA152F" w:rsidRPr="00AA7B25">
        <w:rPr>
          <w:rFonts w:ascii="Arial Narrow" w:hAnsi="Arial Narrow" w:cs="Arial"/>
          <w:b/>
          <w:color w:val="000000" w:themeColor="text1"/>
          <w:sz w:val="22"/>
          <w:szCs w:val="22"/>
        </w:rPr>
        <w:t xml:space="preserve"> </w:t>
      </w:r>
      <w:r w:rsidRPr="00AA7B25">
        <w:rPr>
          <w:rFonts w:ascii="Arial Narrow" w:hAnsi="Arial Narrow" w:cs="Arial"/>
          <w:b/>
          <w:color w:val="000000" w:themeColor="text1"/>
          <w:sz w:val="22"/>
          <w:szCs w:val="22"/>
        </w:rPr>
        <w:t>Príjmy na sociálnu ochranu v SR podľa druhu</w:t>
      </w:r>
      <w:r w:rsidR="00006CEE" w:rsidRPr="00AA7B25">
        <w:rPr>
          <w:rFonts w:ascii="Arial Narrow" w:hAnsi="Arial Narrow" w:cs="Arial"/>
          <w:b/>
          <w:color w:val="000000" w:themeColor="text1"/>
          <w:sz w:val="22"/>
          <w:szCs w:val="22"/>
        </w:rPr>
        <w:t xml:space="preserve"> v SR</w:t>
      </w:r>
      <w:r w:rsidRPr="00AA7B25">
        <w:rPr>
          <w:rFonts w:ascii="Arial Narrow" w:hAnsi="Arial Narrow" w:cs="Arial"/>
          <w:b/>
          <w:color w:val="000000" w:themeColor="text1"/>
          <w:sz w:val="22"/>
          <w:szCs w:val="22"/>
        </w:rPr>
        <w:t>, 201</w:t>
      </w:r>
      <w:r w:rsidR="002D3EAB" w:rsidRPr="00AA7B25">
        <w:rPr>
          <w:rFonts w:ascii="Arial Narrow" w:hAnsi="Arial Narrow" w:cs="Arial"/>
          <w:b/>
          <w:color w:val="000000" w:themeColor="text1"/>
          <w:sz w:val="22"/>
          <w:szCs w:val="22"/>
        </w:rPr>
        <w:t>9</w:t>
      </w:r>
    </w:p>
    <w:p w:rsidR="00AA7B25" w:rsidRPr="00AA7B25" w:rsidRDefault="00AA7B25" w:rsidP="005419A2">
      <w:pPr>
        <w:jc w:val="both"/>
        <w:rPr>
          <w:rFonts w:ascii="Arial Narrow" w:hAnsi="Arial Narrow" w:cs="Arial"/>
          <w:b/>
          <w:color w:val="000000" w:themeColor="text1"/>
          <w:sz w:val="10"/>
          <w:szCs w:val="10"/>
        </w:rPr>
      </w:pPr>
    </w:p>
    <w:tbl>
      <w:tblPr>
        <w:tblW w:w="9072" w:type="dxa"/>
        <w:tblInd w:w="70" w:type="dxa"/>
        <w:tblCellMar>
          <w:left w:w="70" w:type="dxa"/>
          <w:right w:w="70" w:type="dxa"/>
        </w:tblCellMar>
        <w:tblLook w:val="04A0" w:firstRow="1" w:lastRow="0" w:firstColumn="1" w:lastColumn="0" w:noHBand="0" w:noVBand="1"/>
      </w:tblPr>
      <w:tblGrid>
        <w:gridCol w:w="799"/>
        <w:gridCol w:w="487"/>
        <w:gridCol w:w="185"/>
        <w:gridCol w:w="976"/>
        <w:gridCol w:w="976"/>
        <w:gridCol w:w="836"/>
        <w:gridCol w:w="696"/>
        <w:gridCol w:w="734"/>
        <w:gridCol w:w="850"/>
        <w:gridCol w:w="709"/>
        <w:gridCol w:w="709"/>
        <w:gridCol w:w="520"/>
        <w:gridCol w:w="897"/>
      </w:tblGrid>
      <w:tr w:rsidR="005F0308" w:rsidTr="004610AF">
        <w:trPr>
          <w:trHeight w:val="555"/>
        </w:trPr>
        <w:tc>
          <w:tcPr>
            <w:tcW w:w="497" w:type="dxa"/>
            <w:tcBorders>
              <w:top w:val="nil"/>
              <w:left w:val="nil"/>
              <w:bottom w:val="single" w:sz="4" w:space="0" w:color="FF0000"/>
              <w:right w:val="nil"/>
            </w:tcBorders>
            <w:shd w:val="clear" w:color="000000" w:fill="A9D08E"/>
            <w:noWrap/>
            <w:vAlign w:val="center"/>
            <w:hideMark/>
          </w:tcPr>
          <w:p w:rsidR="005F0308" w:rsidRDefault="005F0308">
            <w:pPr>
              <w:rPr>
                <w:rFonts w:ascii="Arial Narrow" w:hAnsi="Arial Narrow"/>
                <w:color w:val="000000"/>
                <w:sz w:val="16"/>
                <w:szCs w:val="16"/>
                <w:lang w:eastAsia="sk-SK"/>
              </w:rPr>
            </w:pPr>
            <w:r>
              <w:rPr>
                <w:rFonts w:ascii="Arial Narrow" w:hAnsi="Arial Narrow"/>
                <w:color w:val="000000"/>
                <w:sz w:val="16"/>
                <w:szCs w:val="16"/>
              </w:rPr>
              <w:t>Ukazovateľ</w:t>
            </w:r>
          </w:p>
        </w:tc>
        <w:tc>
          <w:tcPr>
            <w:tcW w:w="487" w:type="dxa"/>
            <w:tcBorders>
              <w:top w:val="nil"/>
              <w:left w:val="nil"/>
              <w:bottom w:val="single" w:sz="4" w:space="0" w:color="FF0000"/>
              <w:right w:val="nil"/>
            </w:tcBorders>
            <w:shd w:val="clear" w:color="000000" w:fill="A9D08E"/>
            <w:noWrap/>
            <w:vAlign w:val="center"/>
            <w:hideMark/>
          </w:tcPr>
          <w:p w:rsidR="005F0308" w:rsidRDefault="005F0308">
            <w:pPr>
              <w:rPr>
                <w:rFonts w:ascii="Arial" w:hAnsi="Arial" w:cs="Arial"/>
                <w:color w:val="000000"/>
                <w:sz w:val="16"/>
                <w:szCs w:val="16"/>
              </w:rPr>
            </w:pPr>
            <w:r>
              <w:rPr>
                <w:rFonts w:ascii="Arial" w:hAnsi="Arial" w:cs="Arial"/>
                <w:color w:val="000000"/>
                <w:sz w:val="16"/>
                <w:szCs w:val="16"/>
              </w:rPr>
              <w:t> </w:t>
            </w:r>
          </w:p>
        </w:tc>
        <w:tc>
          <w:tcPr>
            <w:tcW w:w="185" w:type="dxa"/>
            <w:tcBorders>
              <w:top w:val="nil"/>
              <w:left w:val="nil"/>
              <w:bottom w:val="single" w:sz="4" w:space="0" w:color="FF0000"/>
              <w:right w:val="nil"/>
            </w:tcBorders>
            <w:shd w:val="clear" w:color="000000" w:fill="A9D08E"/>
            <w:noWrap/>
            <w:vAlign w:val="center"/>
            <w:hideMark/>
          </w:tcPr>
          <w:p w:rsidR="005F0308" w:rsidRDefault="005F0308">
            <w:pPr>
              <w:rPr>
                <w:rFonts w:ascii="Arial" w:hAnsi="Arial" w:cs="Arial"/>
                <w:color w:val="000000"/>
                <w:sz w:val="16"/>
                <w:szCs w:val="16"/>
              </w:rPr>
            </w:pPr>
            <w:r>
              <w:rPr>
                <w:rFonts w:ascii="Arial" w:hAnsi="Arial" w:cs="Arial"/>
                <w:color w:val="000000"/>
                <w:sz w:val="16"/>
                <w:szCs w:val="16"/>
              </w:rPr>
              <w:t> </w:t>
            </w:r>
          </w:p>
        </w:tc>
        <w:tc>
          <w:tcPr>
            <w:tcW w:w="976" w:type="dxa"/>
            <w:tcBorders>
              <w:top w:val="nil"/>
              <w:left w:val="nil"/>
              <w:bottom w:val="single" w:sz="4" w:space="0" w:color="FF0000"/>
              <w:right w:val="nil"/>
            </w:tcBorders>
            <w:shd w:val="clear" w:color="000000" w:fill="A9D08E"/>
            <w:noWrap/>
            <w:vAlign w:val="center"/>
            <w:hideMark/>
          </w:tcPr>
          <w:p w:rsidR="005F0308" w:rsidRDefault="005F0308">
            <w:pPr>
              <w:rPr>
                <w:rFonts w:ascii="Arial" w:hAnsi="Arial" w:cs="Arial"/>
                <w:color w:val="000000"/>
                <w:sz w:val="16"/>
                <w:szCs w:val="16"/>
              </w:rPr>
            </w:pPr>
            <w:r>
              <w:rPr>
                <w:rFonts w:ascii="Arial" w:hAnsi="Arial" w:cs="Arial"/>
                <w:color w:val="000000"/>
                <w:sz w:val="16"/>
                <w:szCs w:val="16"/>
              </w:rPr>
              <w:t> </w:t>
            </w:r>
          </w:p>
        </w:tc>
        <w:tc>
          <w:tcPr>
            <w:tcW w:w="976" w:type="dxa"/>
            <w:tcBorders>
              <w:top w:val="nil"/>
              <w:left w:val="nil"/>
              <w:bottom w:val="single" w:sz="4" w:space="0" w:color="FF0000"/>
              <w:right w:val="nil"/>
            </w:tcBorders>
            <w:shd w:val="clear" w:color="000000" w:fill="A9D08E"/>
            <w:noWrap/>
            <w:vAlign w:val="center"/>
            <w:hideMark/>
          </w:tcPr>
          <w:p w:rsidR="005F0308" w:rsidRDefault="005F0308">
            <w:pPr>
              <w:rPr>
                <w:rFonts w:ascii="Arial" w:hAnsi="Arial" w:cs="Arial"/>
                <w:color w:val="000000"/>
                <w:sz w:val="16"/>
                <w:szCs w:val="16"/>
              </w:rPr>
            </w:pPr>
            <w:r>
              <w:rPr>
                <w:rFonts w:ascii="Arial" w:hAnsi="Arial" w:cs="Arial"/>
                <w:color w:val="000000"/>
                <w:sz w:val="16"/>
                <w:szCs w:val="16"/>
              </w:rPr>
              <w:t> </w:t>
            </w:r>
          </w:p>
        </w:tc>
        <w:tc>
          <w:tcPr>
            <w:tcW w:w="836" w:type="dxa"/>
            <w:tcBorders>
              <w:top w:val="nil"/>
              <w:left w:val="nil"/>
              <w:bottom w:val="single" w:sz="4" w:space="0" w:color="FF0000"/>
              <w:right w:val="single" w:sz="4" w:space="0" w:color="FF0000"/>
            </w:tcBorders>
            <w:shd w:val="clear" w:color="000000" w:fill="A9D08E"/>
            <w:noWrap/>
            <w:vAlign w:val="center"/>
            <w:hideMark/>
          </w:tcPr>
          <w:p w:rsidR="005F0308" w:rsidRDefault="005F0308">
            <w:pPr>
              <w:rPr>
                <w:rFonts w:ascii="Arial" w:hAnsi="Arial" w:cs="Arial"/>
                <w:color w:val="000000"/>
                <w:sz w:val="16"/>
                <w:szCs w:val="16"/>
              </w:rPr>
            </w:pPr>
            <w:r>
              <w:rPr>
                <w:rFonts w:ascii="Arial" w:hAnsi="Arial" w:cs="Arial"/>
                <w:color w:val="000000"/>
                <w:sz w:val="16"/>
                <w:szCs w:val="16"/>
              </w:rPr>
              <w:t> </w:t>
            </w:r>
          </w:p>
        </w:tc>
        <w:tc>
          <w:tcPr>
            <w:tcW w:w="696" w:type="dxa"/>
            <w:tcBorders>
              <w:top w:val="nil"/>
              <w:left w:val="nil"/>
              <w:bottom w:val="single" w:sz="4" w:space="0" w:color="FF0000"/>
              <w:right w:val="single" w:sz="4" w:space="0" w:color="FF0000"/>
            </w:tcBorders>
            <w:shd w:val="clear" w:color="000000" w:fill="A9D08E"/>
            <w:noWrap/>
            <w:vAlign w:val="center"/>
            <w:hideMark/>
          </w:tcPr>
          <w:p w:rsidR="005F0308" w:rsidRDefault="005F0308">
            <w:pPr>
              <w:jc w:val="center"/>
              <w:rPr>
                <w:rFonts w:ascii="Arial Narrow" w:hAnsi="Arial Narrow"/>
                <w:color w:val="000000"/>
                <w:sz w:val="16"/>
                <w:szCs w:val="16"/>
              </w:rPr>
            </w:pPr>
            <w:r>
              <w:rPr>
                <w:rFonts w:ascii="Arial Narrow" w:hAnsi="Arial Narrow"/>
                <w:color w:val="000000"/>
                <w:sz w:val="16"/>
                <w:szCs w:val="16"/>
              </w:rPr>
              <w:t>mil. EUR</w:t>
            </w:r>
          </w:p>
        </w:tc>
        <w:tc>
          <w:tcPr>
            <w:tcW w:w="734" w:type="dxa"/>
            <w:tcBorders>
              <w:top w:val="nil"/>
              <w:left w:val="nil"/>
              <w:bottom w:val="single" w:sz="4" w:space="0" w:color="FF0000"/>
              <w:right w:val="single" w:sz="4" w:space="0" w:color="FF0000"/>
            </w:tcBorders>
            <w:shd w:val="clear" w:color="000000" w:fill="A9D08E"/>
            <w:vAlign w:val="center"/>
            <w:hideMark/>
          </w:tcPr>
          <w:p w:rsidR="005F0308" w:rsidRDefault="005F0308">
            <w:pPr>
              <w:jc w:val="center"/>
              <w:rPr>
                <w:rFonts w:ascii="Arial Narrow" w:hAnsi="Arial Narrow"/>
                <w:color w:val="000000"/>
                <w:sz w:val="16"/>
                <w:szCs w:val="16"/>
              </w:rPr>
            </w:pPr>
            <w:r>
              <w:rPr>
                <w:rFonts w:ascii="Arial Narrow" w:hAnsi="Arial Narrow"/>
                <w:color w:val="000000"/>
                <w:sz w:val="16"/>
                <w:szCs w:val="16"/>
              </w:rPr>
              <w:t xml:space="preserve">mil. EUR </w:t>
            </w:r>
            <w:proofErr w:type="spellStart"/>
            <w:r>
              <w:rPr>
                <w:rFonts w:ascii="Arial Narrow" w:hAnsi="Arial Narrow"/>
                <w:color w:val="000000"/>
                <w:sz w:val="16"/>
                <w:szCs w:val="16"/>
              </w:rPr>
              <w:t>s.c</w:t>
            </w:r>
            <w:proofErr w:type="spellEnd"/>
            <w:r>
              <w:rPr>
                <w:rFonts w:ascii="Arial Narrow" w:hAnsi="Arial Narrow"/>
                <w:color w:val="000000"/>
                <w:sz w:val="16"/>
                <w:szCs w:val="16"/>
              </w:rPr>
              <w:t>. 2010</w:t>
            </w:r>
          </w:p>
        </w:tc>
        <w:tc>
          <w:tcPr>
            <w:tcW w:w="850" w:type="dxa"/>
            <w:tcBorders>
              <w:top w:val="nil"/>
              <w:left w:val="nil"/>
              <w:bottom w:val="single" w:sz="4" w:space="0" w:color="FF0000"/>
              <w:right w:val="single" w:sz="4" w:space="0" w:color="FF0000"/>
            </w:tcBorders>
            <w:shd w:val="clear" w:color="000000" w:fill="A9D08E"/>
            <w:vAlign w:val="center"/>
            <w:hideMark/>
          </w:tcPr>
          <w:p w:rsidR="005F0308" w:rsidRDefault="005F0308">
            <w:pPr>
              <w:jc w:val="center"/>
              <w:rPr>
                <w:rFonts w:ascii="Arial Narrow" w:hAnsi="Arial Narrow"/>
                <w:color w:val="000000"/>
                <w:sz w:val="16"/>
                <w:szCs w:val="16"/>
              </w:rPr>
            </w:pPr>
            <w:r>
              <w:rPr>
                <w:rFonts w:ascii="Arial Narrow" w:hAnsi="Arial Narrow"/>
                <w:color w:val="000000"/>
                <w:sz w:val="16"/>
                <w:szCs w:val="16"/>
              </w:rPr>
              <w:t>EUR na obyv.</w:t>
            </w:r>
          </w:p>
        </w:tc>
        <w:tc>
          <w:tcPr>
            <w:tcW w:w="709" w:type="dxa"/>
            <w:tcBorders>
              <w:top w:val="nil"/>
              <w:left w:val="nil"/>
              <w:bottom w:val="single" w:sz="4" w:space="0" w:color="FF0000"/>
              <w:right w:val="single" w:sz="4" w:space="0" w:color="FF0000"/>
            </w:tcBorders>
            <w:shd w:val="clear" w:color="000000" w:fill="A9D08E"/>
            <w:vAlign w:val="center"/>
            <w:hideMark/>
          </w:tcPr>
          <w:p w:rsidR="005F0308" w:rsidRDefault="005F0308">
            <w:pPr>
              <w:jc w:val="center"/>
              <w:rPr>
                <w:rFonts w:ascii="Arial Narrow" w:hAnsi="Arial Narrow"/>
                <w:color w:val="000000"/>
                <w:sz w:val="16"/>
                <w:szCs w:val="16"/>
              </w:rPr>
            </w:pPr>
            <w:r>
              <w:rPr>
                <w:rFonts w:ascii="Arial Narrow" w:hAnsi="Arial Narrow"/>
                <w:color w:val="000000"/>
                <w:sz w:val="16"/>
                <w:szCs w:val="16"/>
              </w:rPr>
              <w:t>PPS na obyv.</w:t>
            </w:r>
          </w:p>
        </w:tc>
        <w:tc>
          <w:tcPr>
            <w:tcW w:w="709" w:type="dxa"/>
            <w:tcBorders>
              <w:top w:val="nil"/>
              <w:left w:val="nil"/>
              <w:bottom w:val="single" w:sz="4" w:space="0" w:color="FF0000"/>
              <w:right w:val="single" w:sz="4" w:space="0" w:color="FF0000"/>
            </w:tcBorders>
            <w:shd w:val="clear" w:color="000000" w:fill="A9D08E"/>
            <w:vAlign w:val="center"/>
            <w:hideMark/>
          </w:tcPr>
          <w:p w:rsidR="005F0308" w:rsidRDefault="005F0308">
            <w:pPr>
              <w:jc w:val="center"/>
              <w:rPr>
                <w:rFonts w:ascii="Arial Narrow" w:hAnsi="Arial Narrow"/>
                <w:color w:val="000000"/>
                <w:sz w:val="16"/>
                <w:szCs w:val="16"/>
              </w:rPr>
            </w:pPr>
            <w:r>
              <w:rPr>
                <w:rFonts w:ascii="Arial Narrow" w:hAnsi="Arial Narrow"/>
                <w:color w:val="000000"/>
                <w:sz w:val="16"/>
                <w:szCs w:val="16"/>
              </w:rPr>
              <w:t>% z príjmov spolu</w:t>
            </w:r>
          </w:p>
        </w:tc>
        <w:tc>
          <w:tcPr>
            <w:tcW w:w="520" w:type="dxa"/>
            <w:tcBorders>
              <w:top w:val="nil"/>
              <w:left w:val="nil"/>
              <w:bottom w:val="single" w:sz="4" w:space="0" w:color="FF0000"/>
              <w:right w:val="single" w:sz="4" w:space="0" w:color="FF0000"/>
            </w:tcBorders>
            <w:shd w:val="clear" w:color="000000" w:fill="A9D08E"/>
            <w:vAlign w:val="center"/>
            <w:hideMark/>
          </w:tcPr>
          <w:p w:rsidR="005F0308" w:rsidRDefault="005F0308">
            <w:pPr>
              <w:jc w:val="center"/>
              <w:rPr>
                <w:rFonts w:ascii="Arial Narrow" w:hAnsi="Arial Narrow"/>
                <w:color w:val="000000"/>
                <w:sz w:val="16"/>
                <w:szCs w:val="16"/>
              </w:rPr>
            </w:pPr>
            <w:r>
              <w:rPr>
                <w:rFonts w:ascii="Arial Narrow" w:hAnsi="Arial Narrow"/>
                <w:color w:val="000000"/>
                <w:sz w:val="16"/>
                <w:szCs w:val="16"/>
              </w:rPr>
              <w:t>% HDP</w:t>
            </w:r>
          </w:p>
        </w:tc>
        <w:tc>
          <w:tcPr>
            <w:tcW w:w="897" w:type="dxa"/>
            <w:tcBorders>
              <w:top w:val="nil"/>
              <w:left w:val="nil"/>
              <w:bottom w:val="single" w:sz="4" w:space="0" w:color="FF0000"/>
              <w:right w:val="nil"/>
            </w:tcBorders>
            <w:shd w:val="clear" w:color="000000" w:fill="A9D08E"/>
            <w:vAlign w:val="center"/>
            <w:hideMark/>
          </w:tcPr>
          <w:p w:rsidR="005F0308" w:rsidRPr="002D53C5" w:rsidRDefault="002D53C5" w:rsidP="002D53C5">
            <w:pPr>
              <w:jc w:val="center"/>
              <w:rPr>
                <w:rFonts w:ascii="Arial Narrow" w:hAnsi="Arial Narrow" w:cs="Arial"/>
                <w:sz w:val="16"/>
                <w:szCs w:val="16"/>
              </w:rPr>
            </w:pPr>
            <w:r>
              <w:rPr>
                <w:rFonts w:ascii="Arial Narrow" w:hAnsi="Arial Narrow" w:cs="Arial"/>
                <w:sz w:val="16"/>
                <w:szCs w:val="16"/>
              </w:rPr>
              <w:t>Index 2019</w:t>
            </w:r>
            <w:r w:rsidR="005F0308" w:rsidRPr="002D53C5">
              <w:rPr>
                <w:rFonts w:ascii="Arial Narrow" w:hAnsi="Arial Narrow" w:cs="Arial"/>
                <w:sz w:val="16"/>
                <w:szCs w:val="16"/>
              </w:rPr>
              <w:t>/201</w:t>
            </w:r>
            <w:r>
              <w:rPr>
                <w:rFonts w:ascii="Arial Narrow" w:hAnsi="Arial Narrow" w:cs="Arial"/>
                <w:sz w:val="16"/>
                <w:szCs w:val="16"/>
              </w:rPr>
              <w:t>8</w:t>
            </w:r>
          </w:p>
        </w:tc>
      </w:tr>
      <w:tr w:rsidR="005F0308" w:rsidTr="004610AF">
        <w:trPr>
          <w:trHeight w:val="278"/>
        </w:trPr>
        <w:tc>
          <w:tcPr>
            <w:tcW w:w="3957" w:type="dxa"/>
            <w:gridSpan w:val="6"/>
            <w:tcBorders>
              <w:top w:val="single" w:sz="4" w:space="0" w:color="FF0000"/>
              <w:left w:val="nil"/>
              <w:bottom w:val="nil"/>
              <w:right w:val="single" w:sz="4" w:space="0" w:color="FF0000"/>
            </w:tcBorders>
            <w:shd w:val="clear" w:color="auto" w:fill="A8D08D" w:themeFill="accent6" w:themeFillTint="99"/>
            <w:noWrap/>
            <w:vAlign w:val="center"/>
            <w:hideMark/>
          </w:tcPr>
          <w:p w:rsidR="005F0308" w:rsidRDefault="005F0308">
            <w:pPr>
              <w:rPr>
                <w:rFonts w:ascii="Arial Narrow" w:hAnsi="Arial Narrow"/>
                <w:b/>
                <w:bCs/>
                <w:sz w:val="16"/>
                <w:szCs w:val="16"/>
              </w:rPr>
            </w:pPr>
            <w:r>
              <w:rPr>
                <w:rFonts w:ascii="Arial Narrow" w:hAnsi="Arial Narrow"/>
                <w:b/>
                <w:bCs/>
                <w:sz w:val="16"/>
                <w:szCs w:val="16"/>
              </w:rPr>
              <w:t>Celkové príjmy</w:t>
            </w:r>
          </w:p>
        </w:tc>
        <w:tc>
          <w:tcPr>
            <w:tcW w:w="696" w:type="dxa"/>
            <w:tcBorders>
              <w:top w:val="nil"/>
              <w:left w:val="nil"/>
              <w:bottom w:val="nil"/>
              <w:right w:val="single" w:sz="4" w:space="0" w:color="FF0000"/>
            </w:tcBorders>
            <w:shd w:val="clear" w:color="auto" w:fill="A8D08D" w:themeFill="accent6" w:themeFillTint="99"/>
            <w:noWrap/>
            <w:vAlign w:val="bottom"/>
            <w:hideMark/>
          </w:tcPr>
          <w:p w:rsidR="005F0308" w:rsidRDefault="005F0308" w:rsidP="002D53C5">
            <w:pPr>
              <w:jc w:val="right"/>
              <w:rPr>
                <w:rFonts w:ascii="Arial Narrow" w:hAnsi="Arial Narrow"/>
                <w:b/>
                <w:bCs/>
                <w:color w:val="000000"/>
                <w:sz w:val="16"/>
                <w:szCs w:val="16"/>
              </w:rPr>
            </w:pPr>
            <w:r>
              <w:rPr>
                <w:rFonts w:ascii="Arial Narrow" w:hAnsi="Arial Narrow"/>
                <w:b/>
                <w:bCs/>
                <w:color w:val="000000"/>
                <w:sz w:val="16"/>
                <w:szCs w:val="16"/>
              </w:rPr>
              <w:t>1</w:t>
            </w:r>
            <w:r w:rsidR="002D53C5">
              <w:rPr>
                <w:rFonts w:ascii="Arial Narrow" w:hAnsi="Arial Narrow"/>
                <w:b/>
                <w:bCs/>
                <w:color w:val="000000"/>
                <w:sz w:val="16"/>
                <w:szCs w:val="16"/>
              </w:rPr>
              <w:t>8</w:t>
            </w:r>
            <w:r>
              <w:rPr>
                <w:rFonts w:ascii="Arial Narrow" w:hAnsi="Arial Narrow"/>
                <w:b/>
                <w:bCs/>
                <w:color w:val="000000"/>
                <w:sz w:val="16"/>
                <w:szCs w:val="16"/>
              </w:rPr>
              <w:t xml:space="preserve"> </w:t>
            </w:r>
            <w:r w:rsidR="002D53C5">
              <w:rPr>
                <w:rFonts w:ascii="Arial Narrow" w:hAnsi="Arial Narrow"/>
                <w:b/>
                <w:bCs/>
                <w:color w:val="000000"/>
                <w:sz w:val="16"/>
                <w:szCs w:val="16"/>
              </w:rPr>
              <w:t>0</w:t>
            </w:r>
            <w:r>
              <w:rPr>
                <w:rFonts w:ascii="Arial Narrow" w:hAnsi="Arial Narrow"/>
                <w:b/>
                <w:bCs/>
                <w:color w:val="000000"/>
                <w:sz w:val="16"/>
                <w:szCs w:val="16"/>
              </w:rPr>
              <w:t>5</w:t>
            </w:r>
            <w:r w:rsidR="002D53C5">
              <w:rPr>
                <w:rFonts w:ascii="Arial Narrow" w:hAnsi="Arial Narrow"/>
                <w:b/>
                <w:bCs/>
                <w:color w:val="000000"/>
                <w:sz w:val="16"/>
                <w:szCs w:val="16"/>
              </w:rPr>
              <w:t>9</w:t>
            </w:r>
            <w:r>
              <w:rPr>
                <w:rFonts w:ascii="Arial Narrow" w:hAnsi="Arial Narrow"/>
                <w:b/>
                <w:bCs/>
                <w:color w:val="000000"/>
                <w:sz w:val="16"/>
                <w:szCs w:val="16"/>
              </w:rPr>
              <w:t>,</w:t>
            </w:r>
            <w:r w:rsidR="002D53C5">
              <w:rPr>
                <w:rFonts w:ascii="Arial Narrow" w:hAnsi="Arial Narrow"/>
                <w:b/>
                <w:bCs/>
                <w:color w:val="000000"/>
                <w:sz w:val="16"/>
                <w:szCs w:val="16"/>
              </w:rPr>
              <w:t>2</w:t>
            </w:r>
          </w:p>
        </w:tc>
        <w:tc>
          <w:tcPr>
            <w:tcW w:w="734" w:type="dxa"/>
            <w:tcBorders>
              <w:top w:val="nil"/>
              <w:left w:val="nil"/>
              <w:bottom w:val="nil"/>
              <w:right w:val="single" w:sz="4" w:space="0" w:color="FF0000"/>
            </w:tcBorders>
            <w:shd w:val="clear" w:color="auto" w:fill="A8D08D" w:themeFill="accent6" w:themeFillTint="99"/>
            <w:noWrap/>
            <w:vAlign w:val="bottom"/>
            <w:hideMark/>
          </w:tcPr>
          <w:p w:rsidR="005F0308" w:rsidRDefault="005F0308" w:rsidP="002D53C5">
            <w:pPr>
              <w:jc w:val="right"/>
              <w:rPr>
                <w:rFonts w:ascii="Arial Narrow" w:hAnsi="Arial Narrow"/>
                <w:b/>
                <w:bCs/>
                <w:color w:val="000000"/>
                <w:sz w:val="16"/>
                <w:szCs w:val="16"/>
              </w:rPr>
            </w:pPr>
            <w:r>
              <w:rPr>
                <w:rFonts w:ascii="Arial Narrow" w:hAnsi="Arial Narrow"/>
                <w:b/>
                <w:bCs/>
                <w:color w:val="000000"/>
                <w:sz w:val="16"/>
                <w:szCs w:val="16"/>
              </w:rPr>
              <w:t>1</w:t>
            </w:r>
            <w:r w:rsidR="002D53C5">
              <w:rPr>
                <w:rFonts w:ascii="Arial Narrow" w:hAnsi="Arial Narrow"/>
                <w:b/>
                <w:bCs/>
                <w:color w:val="000000"/>
                <w:sz w:val="16"/>
                <w:szCs w:val="16"/>
              </w:rPr>
              <w:t>5</w:t>
            </w:r>
            <w:r>
              <w:rPr>
                <w:rFonts w:ascii="Arial Narrow" w:hAnsi="Arial Narrow"/>
                <w:b/>
                <w:bCs/>
                <w:color w:val="000000"/>
                <w:sz w:val="16"/>
                <w:szCs w:val="16"/>
              </w:rPr>
              <w:t xml:space="preserve"> </w:t>
            </w:r>
            <w:r w:rsidR="002D53C5">
              <w:rPr>
                <w:rFonts w:ascii="Arial Narrow" w:hAnsi="Arial Narrow"/>
                <w:b/>
                <w:bCs/>
                <w:color w:val="000000"/>
                <w:sz w:val="16"/>
                <w:szCs w:val="16"/>
              </w:rPr>
              <w:t>5</w:t>
            </w:r>
            <w:r>
              <w:rPr>
                <w:rFonts w:ascii="Arial Narrow" w:hAnsi="Arial Narrow"/>
                <w:b/>
                <w:bCs/>
                <w:color w:val="000000"/>
                <w:sz w:val="16"/>
                <w:szCs w:val="16"/>
              </w:rPr>
              <w:t>8</w:t>
            </w:r>
            <w:r w:rsidR="002D53C5">
              <w:rPr>
                <w:rFonts w:ascii="Arial Narrow" w:hAnsi="Arial Narrow"/>
                <w:b/>
                <w:bCs/>
                <w:color w:val="000000"/>
                <w:sz w:val="16"/>
                <w:szCs w:val="16"/>
              </w:rPr>
              <w:t>8</w:t>
            </w:r>
            <w:r>
              <w:rPr>
                <w:rFonts w:ascii="Arial Narrow" w:hAnsi="Arial Narrow"/>
                <w:b/>
                <w:bCs/>
                <w:color w:val="000000"/>
                <w:sz w:val="16"/>
                <w:szCs w:val="16"/>
              </w:rPr>
              <w:t>,</w:t>
            </w:r>
            <w:r w:rsidR="002D53C5">
              <w:rPr>
                <w:rFonts w:ascii="Arial Narrow" w:hAnsi="Arial Narrow"/>
                <w:b/>
                <w:bCs/>
                <w:color w:val="000000"/>
                <w:sz w:val="16"/>
                <w:szCs w:val="16"/>
              </w:rPr>
              <w:t>7</w:t>
            </w:r>
          </w:p>
        </w:tc>
        <w:tc>
          <w:tcPr>
            <w:tcW w:w="850" w:type="dxa"/>
            <w:tcBorders>
              <w:top w:val="nil"/>
              <w:left w:val="nil"/>
              <w:bottom w:val="nil"/>
              <w:right w:val="single" w:sz="4" w:space="0" w:color="FF0000"/>
            </w:tcBorders>
            <w:shd w:val="clear" w:color="auto" w:fill="A8D08D" w:themeFill="accent6" w:themeFillTint="99"/>
            <w:noWrap/>
            <w:vAlign w:val="bottom"/>
            <w:hideMark/>
          </w:tcPr>
          <w:p w:rsidR="005F0308" w:rsidRDefault="005F0308" w:rsidP="002D53C5">
            <w:pPr>
              <w:jc w:val="right"/>
              <w:rPr>
                <w:rFonts w:ascii="Arial Narrow" w:hAnsi="Arial Narrow"/>
                <w:b/>
                <w:bCs/>
                <w:color w:val="000000"/>
                <w:sz w:val="16"/>
                <w:szCs w:val="16"/>
              </w:rPr>
            </w:pPr>
            <w:r>
              <w:rPr>
                <w:rFonts w:ascii="Arial Narrow" w:hAnsi="Arial Narrow"/>
                <w:b/>
                <w:bCs/>
                <w:color w:val="000000"/>
                <w:sz w:val="16"/>
                <w:szCs w:val="16"/>
              </w:rPr>
              <w:t xml:space="preserve">3 </w:t>
            </w:r>
            <w:r w:rsidR="002D53C5">
              <w:rPr>
                <w:rFonts w:ascii="Arial Narrow" w:hAnsi="Arial Narrow"/>
                <w:b/>
                <w:bCs/>
                <w:color w:val="000000"/>
                <w:sz w:val="16"/>
                <w:szCs w:val="16"/>
              </w:rPr>
              <w:t>311</w:t>
            </w:r>
            <w:r>
              <w:rPr>
                <w:rFonts w:ascii="Arial Narrow" w:hAnsi="Arial Narrow"/>
                <w:b/>
                <w:bCs/>
                <w:color w:val="000000"/>
                <w:sz w:val="16"/>
                <w:szCs w:val="16"/>
              </w:rPr>
              <w:t>,</w:t>
            </w:r>
            <w:r w:rsidR="002D53C5">
              <w:rPr>
                <w:rFonts w:ascii="Arial Narrow" w:hAnsi="Arial Narrow"/>
                <w:b/>
                <w:bCs/>
                <w:color w:val="000000"/>
                <w:sz w:val="16"/>
                <w:szCs w:val="16"/>
              </w:rPr>
              <w:t>1</w:t>
            </w:r>
          </w:p>
        </w:tc>
        <w:tc>
          <w:tcPr>
            <w:tcW w:w="709" w:type="dxa"/>
            <w:tcBorders>
              <w:top w:val="nil"/>
              <w:left w:val="nil"/>
              <w:bottom w:val="nil"/>
              <w:right w:val="single" w:sz="4" w:space="0" w:color="FF0000"/>
            </w:tcBorders>
            <w:shd w:val="clear" w:color="auto" w:fill="A8D08D" w:themeFill="accent6" w:themeFillTint="99"/>
            <w:noWrap/>
            <w:vAlign w:val="bottom"/>
            <w:hideMark/>
          </w:tcPr>
          <w:p w:rsidR="005F0308" w:rsidRDefault="005F0308" w:rsidP="002D53C5">
            <w:pPr>
              <w:jc w:val="right"/>
              <w:rPr>
                <w:rFonts w:ascii="Arial Narrow" w:hAnsi="Arial Narrow"/>
                <w:b/>
                <w:bCs/>
                <w:color w:val="000000"/>
                <w:sz w:val="16"/>
                <w:szCs w:val="16"/>
              </w:rPr>
            </w:pPr>
            <w:r>
              <w:rPr>
                <w:rFonts w:ascii="Arial Narrow" w:hAnsi="Arial Narrow"/>
                <w:b/>
                <w:bCs/>
                <w:color w:val="000000"/>
                <w:sz w:val="16"/>
                <w:szCs w:val="16"/>
              </w:rPr>
              <w:t xml:space="preserve">4 </w:t>
            </w:r>
            <w:r w:rsidR="002D53C5">
              <w:rPr>
                <w:rFonts w:ascii="Arial Narrow" w:hAnsi="Arial Narrow"/>
                <w:b/>
                <w:bCs/>
                <w:color w:val="000000"/>
                <w:sz w:val="16"/>
                <w:szCs w:val="16"/>
              </w:rPr>
              <w:t>559</w:t>
            </w:r>
            <w:r>
              <w:rPr>
                <w:rFonts w:ascii="Arial Narrow" w:hAnsi="Arial Narrow"/>
                <w:b/>
                <w:bCs/>
                <w:color w:val="000000"/>
                <w:sz w:val="16"/>
                <w:szCs w:val="16"/>
              </w:rPr>
              <w:t>,</w:t>
            </w:r>
            <w:r w:rsidR="002D53C5">
              <w:rPr>
                <w:rFonts w:ascii="Arial Narrow" w:hAnsi="Arial Narrow"/>
                <w:b/>
                <w:bCs/>
                <w:color w:val="000000"/>
                <w:sz w:val="16"/>
                <w:szCs w:val="16"/>
              </w:rPr>
              <w:t>3</w:t>
            </w:r>
          </w:p>
        </w:tc>
        <w:tc>
          <w:tcPr>
            <w:tcW w:w="709" w:type="dxa"/>
            <w:tcBorders>
              <w:top w:val="nil"/>
              <w:left w:val="nil"/>
              <w:bottom w:val="nil"/>
              <w:right w:val="nil"/>
            </w:tcBorders>
            <w:shd w:val="clear" w:color="auto" w:fill="A8D08D" w:themeFill="accent6" w:themeFillTint="99"/>
            <w:noWrap/>
            <w:vAlign w:val="bottom"/>
            <w:hideMark/>
          </w:tcPr>
          <w:p w:rsidR="005F0308" w:rsidRDefault="005F0308">
            <w:pPr>
              <w:jc w:val="right"/>
              <w:rPr>
                <w:rFonts w:ascii="Arial Narrow" w:hAnsi="Arial Narrow"/>
                <w:b/>
                <w:bCs/>
                <w:sz w:val="16"/>
                <w:szCs w:val="16"/>
              </w:rPr>
            </w:pPr>
            <w:r>
              <w:rPr>
                <w:rFonts w:ascii="Arial Narrow" w:hAnsi="Arial Narrow"/>
                <w:b/>
                <w:bCs/>
                <w:sz w:val="16"/>
                <w:szCs w:val="16"/>
              </w:rPr>
              <w:t>100,0</w:t>
            </w:r>
          </w:p>
        </w:tc>
        <w:tc>
          <w:tcPr>
            <w:tcW w:w="520" w:type="dxa"/>
            <w:tcBorders>
              <w:top w:val="nil"/>
              <w:left w:val="single" w:sz="4" w:space="0" w:color="FF0000"/>
              <w:bottom w:val="nil"/>
              <w:right w:val="single" w:sz="4" w:space="0" w:color="FF0000"/>
            </w:tcBorders>
            <w:shd w:val="clear" w:color="auto" w:fill="A8D08D" w:themeFill="accent6" w:themeFillTint="99"/>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1</w:t>
            </w:r>
            <w:r w:rsidR="002D53C5">
              <w:rPr>
                <w:rFonts w:ascii="Arial Narrow" w:hAnsi="Arial Narrow"/>
                <w:b/>
                <w:bCs/>
                <w:sz w:val="16"/>
                <w:szCs w:val="16"/>
              </w:rPr>
              <w:t>9</w:t>
            </w:r>
            <w:r>
              <w:rPr>
                <w:rFonts w:ascii="Arial Narrow" w:hAnsi="Arial Narrow"/>
                <w:b/>
                <w:bCs/>
                <w:sz w:val="16"/>
                <w:szCs w:val="16"/>
              </w:rPr>
              <w:t>,</w:t>
            </w:r>
            <w:r w:rsidR="002D53C5">
              <w:rPr>
                <w:rFonts w:ascii="Arial Narrow" w:hAnsi="Arial Narrow"/>
                <w:b/>
                <w:bCs/>
                <w:sz w:val="16"/>
                <w:szCs w:val="16"/>
              </w:rPr>
              <w:t>2</w:t>
            </w:r>
          </w:p>
        </w:tc>
        <w:tc>
          <w:tcPr>
            <w:tcW w:w="897" w:type="dxa"/>
            <w:tcBorders>
              <w:top w:val="nil"/>
              <w:left w:val="nil"/>
              <w:bottom w:val="nil"/>
              <w:right w:val="nil"/>
            </w:tcBorders>
            <w:shd w:val="clear" w:color="auto" w:fill="A8D08D" w:themeFill="accent6" w:themeFillTint="99"/>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1</w:t>
            </w:r>
            <w:r w:rsidR="002D53C5">
              <w:rPr>
                <w:rFonts w:ascii="Arial Narrow" w:hAnsi="Arial Narrow"/>
                <w:b/>
                <w:bCs/>
                <w:sz w:val="16"/>
                <w:szCs w:val="16"/>
              </w:rPr>
              <w:t>1</w:t>
            </w:r>
            <w:r>
              <w:rPr>
                <w:rFonts w:ascii="Arial Narrow" w:hAnsi="Arial Narrow"/>
                <w:b/>
                <w:bCs/>
                <w:sz w:val="16"/>
                <w:szCs w:val="16"/>
              </w:rPr>
              <w:t>0,</w:t>
            </w:r>
            <w:r w:rsidR="002D53C5">
              <w:rPr>
                <w:rFonts w:ascii="Arial Narrow" w:hAnsi="Arial Narrow"/>
                <w:b/>
                <w:bCs/>
                <w:sz w:val="16"/>
                <w:szCs w:val="16"/>
              </w:rPr>
              <w:t>4</w:t>
            </w:r>
          </w:p>
        </w:tc>
      </w:tr>
      <w:tr w:rsidR="005F0308" w:rsidTr="005F0308">
        <w:trPr>
          <w:trHeight w:val="203"/>
        </w:trPr>
        <w:tc>
          <w:tcPr>
            <w:tcW w:w="3121" w:type="dxa"/>
            <w:gridSpan w:val="5"/>
            <w:tcBorders>
              <w:top w:val="nil"/>
              <w:left w:val="nil"/>
              <w:bottom w:val="nil"/>
              <w:right w:val="nil"/>
            </w:tcBorders>
            <w:shd w:val="clear" w:color="000000" w:fill="E2EFDA"/>
            <w:noWrap/>
            <w:vAlign w:val="center"/>
            <w:hideMark/>
          </w:tcPr>
          <w:p w:rsidR="005F0308" w:rsidRDefault="004610AF">
            <w:pPr>
              <w:rPr>
                <w:rFonts w:ascii="Arial Narrow" w:hAnsi="Arial Narrow"/>
                <w:b/>
                <w:bCs/>
                <w:sz w:val="16"/>
                <w:szCs w:val="16"/>
              </w:rPr>
            </w:pPr>
            <w:r>
              <w:rPr>
                <w:rFonts w:ascii="Arial Narrow" w:hAnsi="Arial Narrow"/>
                <w:b/>
                <w:bCs/>
                <w:sz w:val="16"/>
                <w:szCs w:val="16"/>
              </w:rPr>
              <w:t xml:space="preserve">       </w:t>
            </w:r>
            <w:r w:rsidR="005F0308">
              <w:rPr>
                <w:rFonts w:ascii="Arial Narrow" w:hAnsi="Arial Narrow"/>
                <w:b/>
                <w:bCs/>
                <w:sz w:val="16"/>
                <w:szCs w:val="16"/>
              </w:rPr>
              <w:t xml:space="preserve">Príjmy podľa druhu </w:t>
            </w:r>
          </w:p>
        </w:tc>
        <w:tc>
          <w:tcPr>
            <w:tcW w:w="836" w:type="dxa"/>
            <w:tcBorders>
              <w:top w:val="nil"/>
              <w:left w:val="nil"/>
              <w:bottom w:val="nil"/>
              <w:right w:val="nil"/>
            </w:tcBorders>
            <w:shd w:val="clear" w:color="000000" w:fill="E2EFDA"/>
            <w:noWrap/>
            <w:vAlign w:val="center"/>
            <w:hideMark/>
          </w:tcPr>
          <w:p w:rsidR="005F0308" w:rsidRDefault="005F0308">
            <w:pPr>
              <w:rPr>
                <w:rFonts w:ascii="Arial Narrow" w:hAnsi="Arial Narrow"/>
                <w:b/>
                <w:bCs/>
                <w:sz w:val="16"/>
                <w:szCs w:val="16"/>
              </w:rPr>
            </w:pPr>
            <w:r>
              <w:rPr>
                <w:rFonts w:ascii="Arial Narrow" w:hAnsi="Arial Narrow"/>
                <w:b/>
                <w:bCs/>
                <w:sz w:val="16"/>
                <w:szCs w:val="16"/>
              </w:rPr>
              <w:t> </w:t>
            </w:r>
          </w:p>
        </w:tc>
        <w:tc>
          <w:tcPr>
            <w:tcW w:w="696" w:type="dxa"/>
            <w:tcBorders>
              <w:top w:val="nil"/>
              <w:left w:val="single" w:sz="4" w:space="0" w:color="FF0000"/>
              <w:bottom w:val="nil"/>
              <w:right w:val="single" w:sz="4" w:space="0" w:color="FF0000"/>
            </w:tcBorders>
            <w:shd w:val="clear" w:color="000000" w:fill="E2EFDA"/>
            <w:noWrap/>
            <w:vAlign w:val="bottom"/>
            <w:hideMark/>
          </w:tcPr>
          <w:p w:rsidR="005F0308" w:rsidRDefault="005F0308">
            <w:pPr>
              <w:rPr>
                <w:rFonts w:ascii="Arial Narrow" w:hAnsi="Arial Narrow"/>
                <w:b/>
                <w:bCs/>
                <w:sz w:val="16"/>
                <w:szCs w:val="16"/>
              </w:rPr>
            </w:pPr>
            <w:r>
              <w:rPr>
                <w:rFonts w:ascii="Arial Narrow" w:hAnsi="Arial Narrow"/>
                <w:b/>
                <w:bCs/>
                <w:sz w:val="16"/>
                <w:szCs w:val="16"/>
              </w:rPr>
              <w:t> </w:t>
            </w:r>
          </w:p>
        </w:tc>
        <w:tc>
          <w:tcPr>
            <w:tcW w:w="734" w:type="dxa"/>
            <w:tcBorders>
              <w:top w:val="nil"/>
              <w:left w:val="nil"/>
              <w:bottom w:val="nil"/>
              <w:right w:val="single" w:sz="4" w:space="0" w:color="FF0000"/>
            </w:tcBorders>
            <w:shd w:val="clear" w:color="000000" w:fill="E2EFDA"/>
            <w:noWrap/>
            <w:vAlign w:val="bottom"/>
            <w:hideMark/>
          </w:tcPr>
          <w:p w:rsidR="005F0308" w:rsidRDefault="005F0308">
            <w:pPr>
              <w:rPr>
                <w:rFonts w:ascii="Arial Narrow" w:hAnsi="Arial Narrow"/>
                <w:b/>
                <w:bCs/>
                <w:sz w:val="16"/>
                <w:szCs w:val="16"/>
              </w:rPr>
            </w:pPr>
            <w:r>
              <w:rPr>
                <w:rFonts w:ascii="Arial Narrow" w:hAnsi="Arial Narrow"/>
                <w:b/>
                <w:bCs/>
                <w:sz w:val="16"/>
                <w:szCs w:val="16"/>
              </w:rPr>
              <w:t> </w:t>
            </w:r>
          </w:p>
        </w:tc>
        <w:tc>
          <w:tcPr>
            <w:tcW w:w="850" w:type="dxa"/>
            <w:tcBorders>
              <w:top w:val="nil"/>
              <w:left w:val="nil"/>
              <w:bottom w:val="nil"/>
              <w:right w:val="single" w:sz="4" w:space="0" w:color="FF0000"/>
            </w:tcBorders>
            <w:shd w:val="clear" w:color="000000" w:fill="E2EFDA"/>
            <w:noWrap/>
            <w:vAlign w:val="bottom"/>
            <w:hideMark/>
          </w:tcPr>
          <w:p w:rsidR="005F0308" w:rsidRDefault="005F0308">
            <w:pPr>
              <w:rPr>
                <w:rFonts w:ascii="Arial Narrow" w:hAnsi="Arial Narrow"/>
                <w:b/>
                <w:bCs/>
                <w:sz w:val="16"/>
                <w:szCs w:val="16"/>
              </w:rPr>
            </w:pPr>
            <w:r>
              <w:rPr>
                <w:rFonts w:ascii="Arial Narrow" w:hAnsi="Arial Narrow"/>
                <w:b/>
                <w:bCs/>
                <w:sz w:val="16"/>
                <w:szCs w:val="16"/>
              </w:rPr>
              <w:t> </w:t>
            </w:r>
          </w:p>
        </w:tc>
        <w:tc>
          <w:tcPr>
            <w:tcW w:w="709" w:type="dxa"/>
            <w:tcBorders>
              <w:top w:val="nil"/>
              <w:left w:val="nil"/>
              <w:bottom w:val="nil"/>
              <w:right w:val="single" w:sz="4" w:space="0" w:color="FF0000"/>
            </w:tcBorders>
            <w:shd w:val="clear" w:color="000000" w:fill="E2EFDA"/>
            <w:noWrap/>
            <w:vAlign w:val="bottom"/>
            <w:hideMark/>
          </w:tcPr>
          <w:p w:rsidR="005F0308" w:rsidRDefault="005F0308">
            <w:pPr>
              <w:rPr>
                <w:rFonts w:ascii="Arial Narrow" w:hAnsi="Arial Narrow"/>
                <w:b/>
                <w:bCs/>
                <w:sz w:val="16"/>
                <w:szCs w:val="16"/>
              </w:rPr>
            </w:pPr>
            <w:r>
              <w:rPr>
                <w:rFonts w:ascii="Arial Narrow" w:hAnsi="Arial Narrow"/>
                <w:b/>
                <w:bCs/>
                <w:sz w:val="16"/>
                <w:szCs w:val="16"/>
              </w:rPr>
              <w:t> </w:t>
            </w:r>
          </w:p>
        </w:tc>
        <w:tc>
          <w:tcPr>
            <w:tcW w:w="709" w:type="dxa"/>
            <w:tcBorders>
              <w:top w:val="nil"/>
              <w:left w:val="nil"/>
              <w:bottom w:val="nil"/>
              <w:right w:val="nil"/>
            </w:tcBorders>
            <w:shd w:val="clear" w:color="000000" w:fill="E2EFDA"/>
            <w:noWrap/>
            <w:vAlign w:val="bottom"/>
            <w:hideMark/>
          </w:tcPr>
          <w:p w:rsidR="005F0308" w:rsidRDefault="005F0308">
            <w:pPr>
              <w:rPr>
                <w:rFonts w:ascii="Arial Narrow" w:hAnsi="Arial Narrow"/>
                <w:b/>
                <w:bCs/>
                <w:sz w:val="16"/>
                <w:szCs w:val="16"/>
              </w:rPr>
            </w:pPr>
            <w:r>
              <w:rPr>
                <w:rFonts w:ascii="Arial Narrow" w:hAnsi="Arial Narrow"/>
                <w:b/>
                <w:bCs/>
                <w:sz w:val="16"/>
                <w:szCs w:val="16"/>
              </w:rPr>
              <w:t> </w:t>
            </w:r>
          </w:p>
        </w:tc>
        <w:tc>
          <w:tcPr>
            <w:tcW w:w="520" w:type="dxa"/>
            <w:tcBorders>
              <w:top w:val="nil"/>
              <w:left w:val="single" w:sz="4" w:space="0" w:color="FF0000"/>
              <w:bottom w:val="nil"/>
              <w:right w:val="single" w:sz="4" w:space="0" w:color="FF0000"/>
            </w:tcBorders>
            <w:shd w:val="clear" w:color="000000" w:fill="E2EFDA"/>
            <w:noWrap/>
            <w:vAlign w:val="bottom"/>
            <w:hideMark/>
          </w:tcPr>
          <w:p w:rsidR="005F0308" w:rsidRDefault="005F0308">
            <w:pPr>
              <w:rPr>
                <w:rFonts w:ascii="Arial Narrow" w:hAnsi="Arial Narrow"/>
                <w:b/>
                <w:bCs/>
                <w:sz w:val="16"/>
                <w:szCs w:val="16"/>
              </w:rPr>
            </w:pPr>
            <w:r>
              <w:rPr>
                <w:rFonts w:ascii="Arial Narrow" w:hAnsi="Arial Narrow"/>
                <w:b/>
                <w:bCs/>
                <w:sz w:val="16"/>
                <w:szCs w:val="16"/>
              </w:rPr>
              <w:t> </w:t>
            </w:r>
          </w:p>
        </w:tc>
        <w:tc>
          <w:tcPr>
            <w:tcW w:w="897" w:type="dxa"/>
            <w:tcBorders>
              <w:top w:val="nil"/>
              <w:left w:val="nil"/>
              <w:bottom w:val="nil"/>
              <w:right w:val="nil"/>
            </w:tcBorders>
            <w:shd w:val="clear" w:color="000000" w:fill="E2EFDA"/>
            <w:noWrap/>
            <w:vAlign w:val="bottom"/>
            <w:hideMark/>
          </w:tcPr>
          <w:p w:rsidR="005F0308" w:rsidRDefault="005F0308">
            <w:pPr>
              <w:rPr>
                <w:rFonts w:ascii="Arial Narrow" w:hAnsi="Arial Narrow"/>
                <w:b/>
                <w:bCs/>
                <w:sz w:val="16"/>
                <w:szCs w:val="16"/>
              </w:rPr>
            </w:pPr>
            <w:r>
              <w:rPr>
                <w:rFonts w:ascii="Arial Narrow" w:hAnsi="Arial Narrow"/>
                <w:b/>
                <w:bCs/>
                <w:sz w:val="16"/>
                <w:szCs w:val="16"/>
              </w:rPr>
              <w:t> </w:t>
            </w:r>
          </w:p>
        </w:tc>
      </w:tr>
      <w:tr w:rsidR="005F0308" w:rsidTr="004610AF">
        <w:trPr>
          <w:trHeight w:val="323"/>
        </w:trPr>
        <w:tc>
          <w:tcPr>
            <w:tcW w:w="497" w:type="dxa"/>
            <w:tcBorders>
              <w:top w:val="nil"/>
              <w:left w:val="nil"/>
              <w:bottom w:val="nil"/>
              <w:right w:val="nil"/>
            </w:tcBorders>
            <w:shd w:val="clear" w:color="auto" w:fill="C5E0B3" w:themeFill="accent6" w:themeFillTint="66"/>
            <w:noWrap/>
            <w:vAlign w:val="bottom"/>
            <w:hideMark/>
          </w:tcPr>
          <w:p w:rsidR="005F0308" w:rsidRDefault="005F0308">
            <w:pPr>
              <w:rPr>
                <w:rFonts w:ascii="Arial Narrow" w:hAnsi="Arial Narrow"/>
                <w:b/>
                <w:bCs/>
                <w:color w:val="FFFFFF"/>
                <w:sz w:val="16"/>
                <w:szCs w:val="16"/>
              </w:rPr>
            </w:pPr>
            <w:r>
              <w:rPr>
                <w:rFonts w:ascii="Arial Narrow" w:hAnsi="Arial Narrow"/>
                <w:b/>
                <w:bCs/>
                <w:color w:val="FFFFFF"/>
                <w:sz w:val="16"/>
                <w:szCs w:val="16"/>
              </w:rPr>
              <w:t> </w:t>
            </w:r>
          </w:p>
        </w:tc>
        <w:tc>
          <w:tcPr>
            <w:tcW w:w="2624" w:type="dxa"/>
            <w:gridSpan w:val="4"/>
            <w:tcBorders>
              <w:top w:val="nil"/>
              <w:left w:val="nil"/>
              <w:bottom w:val="nil"/>
              <w:right w:val="nil"/>
            </w:tcBorders>
            <w:shd w:val="clear" w:color="auto" w:fill="C5E0B3" w:themeFill="accent6" w:themeFillTint="66"/>
            <w:noWrap/>
            <w:vAlign w:val="center"/>
            <w:hideMark/>
          </w:tcPr>
          <w:p w:rsidR="005F0308" w:rsidRDefault="005F0308">
            <w:pPr>
              <w:rPr>
                <w:rFonts w:ascii="Arial Narrow" w:hAnsi="Arial Narrow"/>
                <w:b/>
                <w:bCs/>
                <w:sz w:val="16"/>
                <w:szCs w:val="16"/>
              </w:rPr>
            </w:pPr>
            <w:r>
              <w:rPr>
                <w:rFonts w:ascii="Arial Narrow" w:hAnsi="Arial Narrow"/>
                <w:b/>
                <w:bCs/>
                <w:sz w:val="16"/>
                <w:szCs w:val="16"/>
              </w:rPr>
              <w:t>Sociálne príspevky</w:t>
            </w:r>
          </w:p>
        </w:tc>
        <w:tc>
          <w:tcPr>
            <w:tcW w:w="836" w:type="dxa"/>
            <w:tcBorders>
              <w:top w:val="nil"/>
              <w:left w:val="nil"/>
              <w:bottom w:val="nil"/>
              <w:right w:val="nil"/>
            </w:tcBorders>
            <w:shd w:val="clear" w:color="auto" w:fill="C5E0B3" w:themeFill="accent6" w:themeFillTint="66"/>
            <w:noWrap/>
            <w:vAlign w:val="center"/>
            <w:hideMark/>
          </w:tcPr>
          <w:p w:rsidR="005F0308" w:rsidRDefault="005F0308">
            <w:pPr>
              <w:rPr>
                <w:rFonts w:ascii="Arial Narrow" w:hAnsi="Arial Narrow"/>
                <w:b/>
                <w:bCs/>
                <w:sz w:val="16"/>
                <w:szCs w:val="16"/>
              </w:rPr>
            </w:pPr>
            <w:r>
              <w:rPr>
                <w:rFonts w:ascii="Arial Narrow" w:hAnsi="Arial Narrow"/>
                <w:b/>
                <w:bCs/>
                <w:sz w:val="16"/>
                <w:szCs w:val="16"/>
              </w:rPr>
              <w:t> </w:t>
            </w:r>
          </w:p>
        </w:tc>
        <w:tc>
          <w:tcPr>
            <w:tcW w:w="696" w:type="dxa"/>
            <w:tcBorders>
              <w:top w:val="nil"/>
              <w:left w:val="single" w:sz="4" w:space="0" w:color="FF0000"/>
              <w:bottom w:val="nil"/>
              <w:right w:val="single" w:sz="4" w:space="0" w:color="FF0000"/>
            </w:tcBorders>
            <w:shd w:val="clear" w:color="auto" w:fill="C5E0B3" w:themeFill="accent6" w:themeFillTint="66"/>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1</w:t>
            </w:r>
            <w:r w:rsidR="002D53C5">
              <w:rPr>
                <w:rFonts w:ascii="Arial Narrow" w:hAnsi="Arial Narrow"/>
                <w:b/>
                <w:bCs/>
                <w:sz w:val="16"/>
                <w:szCs w:val="16"/>
              </w:rPr>
              <w:t>3</w:t>
            </w:r>
            <w:r>
              <w:rPr>
                <w:rFonts w:ascii="Arial Narrow" w:hAnsi="Arial Narrow"/>
                <w:b/>
                <w:bCs/>
                <w:sz w:val="16"/>
                <w:szCs w:val="16"/>
              </w:rPr>
              <w:t xml:space="preserve"> </w:t>
            </w:r>
            <w:r w:rsidR="002D53C5">
              <w:rPr>
                <w:rFonts w:ascii="Arial Narrow" w:hAnsi="Arial Narrow"/>
                <w:b/>
                <w:bCs/>
                <w:sz w:val="16"/>
                <w:szCs w:val="16"/>
              </w:rPr>
              <w:t>252</w:t>
            </w:r>
            <w:r>
              <w:rPr>
                <w:rFonts w:ascii="Arial Narrow" w:hAnsi="Arial Narrow"/>
                <w:b/>
                <w:bCs/>
                <w:sz w:val="16"/>
                <w:szCs w:val="16"/>
              </w:rPr>
              <w:t>,</w:t>
            </w:r>
            <w:r w:rsidR="002D53C5">
              <w:rPr>
                <w:rFonts w:ascii="Arial Narrow" w:hAnsi="Arial Narrow"/>
                <w:b/>
                <w:bCs/>
                <w:sz w:val="16"/>
                <w:szCs w:val="16"/>
              </w:rPr>
              <w:t>0</w:t>
            </w:r>
          </w:p>
        </w:tc>
        <w:tc>
          <w:tcPr>
            <w:tcW w:w="734" w:type="dxa"/>
            <w:tcBorders>
              <w:top w:val="nil"/>
              <w:left w:val="nil"/>
              <w:bottom w:val="nil"/>
              <w:right w:val="single" w:sz="4" w:space="0" w:color="FF0000"/>
            </w:tcBorders>
            <w:shd w:val="clear" w:color="auto" w:fill="C5E0B3" w:themeFill="accent6" w:themeFillTint="66"/>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 xml:space="preserve">11 </w:t>
            </w:r>
            <w:r w:rsidR="002D53C5">
              <w:rPr>
                <w:rFonts w:ascii="Arial Narrow" w:hAnsi="Arial Narrow"/>
                <w:b/>
                <w:bCs/>
                <w:sz w:val="16"/>
                <w:szCs w:val="16"/>
              </w:rPr>
              <w:t>439</w:t>
            </w:r>
            <w:r>
              <w:rPr>
                <w:rFonts w:ascii="Arial Narrow" w:hAnsi="Arial Narrow"/>
                <w:b/>
                <w:bCs/>
                <w:sz w:val="16"/>
                <w:szCs w:val="16"/>
              </w:rPr>
              <w:t>,</w:t>
            </w:r>
            <w:r w:rsidR="002D53C5">
              <w:rPr>
                <w:rFonts w:ascii="Arial Narrow" w:hAnsi="Arial Narrow"/>
                <w:b/>
                <w:bCs/>
                <w:sz w:val="16"/>
                <w:szCs w:val="16"/>
              </w:rPr>
              <w:t>1</w:t>
            </w:r>
          </w:p>
        </w:tc>
        <w:tc>
          <w:tcPr>
            <w:tcW w:w="850" w:type="dxa"/>
            <w:tcBorders>
              <w:top w:val="nil"/>
              <w:left w:val="nil"/>
              <w:bottom w:val="nil"/>
              <w:right w:val="single" w:sz="4" w:space="0" w:color="FF0000"/>
            </w:tcBorders>
            <w:shd w:val="clear" w:color="auto" w:fill="C5E0B3" w:themeFill="accent6" w:themeFillTint="66"/>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 xml:space="preserve">2 </w:t>
            </w:r>
            <w:r w:rsidR="002D53C5">
              <w:rPr>
                <w:rFonts w:ascii="Arial Narrow" w:hAnsi="Arial Narrow"/>
                <w:b/>
                <w:bCs/>
                <w:sz w:val="16"/>
                <w:szCs w:val="16"/>
              </w:rPr>
              <w:t>429</w:t>
            </w:r>
            <w:r>
              <w:rPr>
                <w:rFonts w:ascii="Arial Narrow" w:hAnsi="Arial Narrow"/>
                <w:b/>
                <w:bCs/>
                <w:sz w:val="16"/>
                <w:szCs w:val="16"/>
              </w:rPr>
              <w:t>,</w:t>
            </w:r>
            <w:r w:rsidR="002D53C5">
              <w:rPr>
                <w:rFonts w:ascii="Arial Narrow" w:hAnsi="Arial Narrow"/>
                <w:b/>
                <w:bCs/>
                <w:sz w:val="16"/>
                <w:szCs w:val="16"/>
              </w:rPr>
              <w:t>7</w:t>
            </w:r>
          </w:p>
        </w:tc>
        <w:tc>
          <w:tcPr>
            <w:tcW w:w="709" w:type="dxa"/>
            <w:tcBorders>
              <w:top w:val="nil"/>
              <w:left w:val="nil"/>
              <w:bottom w:val="nil"/>
              <w:right w:val="single" w:sz="4" w:space="0" w:color="FF0000"/>
            </w:tcBorders>
            <w:shd w:val="clear" w:color="auto" w:fill="C5E0B3" w:themeFill="accent6" w:themeFillTint="66"/>
            <w:noWrap/>
            <w:vAlign w:val="bottom"/>
            <w:hideMark/>
          </w:tcPr>
          <w:p w:rsidR="005F0308" w:rsidRDefault="002D53C5" w:rsidP="002D53C5">
            <w:pPr>
              <w:jc w:val="right"/>
              <w:rPr>
                <w:rFonts w:ascii="Arial Narrow" w:hAnsi="Arial Narrow"/>
                <w:b/>
                <w:bCs/>
                <w:sz w:val="16"/>
                <w:szCs w:val="16"/>
              </w:rPr>
            </w:pPr>
            <w:r>
              <w:rPr>
                <w:rFonts w:ascii="Arial Narrow" w:hAnsi="Arial Narrow"/>
                <w:b/>
                <w:bCs/>
                <w:sz w:val="16"/>
                <w:szCs w:val="16"/>
              </w:rPr>
              <w:t>3</w:t>
            </w:r>
            <w:r w:rsidR="005F0308">
              <w:rPr>
                <w:rFonts w:ascii="Arial Narrow" w:hAnsi="Arial Narrow"/>
                <w:b/>
                <w:bCs/>
                <w:sz w:val="16"/>
                <w:szCs w:val="16"/>
              </w:rPr>
              <w:t xml:space="preserve"> </w:t>
            </w:r>
            <w:r>
              <w:rPr>
                <w:rFonts w:ascii="Arial Narrow" w:hAnsi="Arial Narrow"/>
                <w:b/>
                <w:bCs/>
                <w:sz w:val="16"/>
                <w:szCs w:val="16"/>
              </w:rPr>
              <w:t>345</w:t>
            </w:r>
            <w:r w:rsidR="005F0308">
              <w:rPr>
                <w:rFonts w:ascii="Arial Narrow" w:hAnsi="Arial Narrow"/>
                <w:b/>
                <w:bCs/>
                <w:sz w:val="16"/>
                <w:szCs w:val="16"/>
              </w:rPr>
              <w:t>,</w:t>
            </w:r>
            <w:r>
              <w:rPr>
                <w:rFonts w:ascii="Arial Narrow" w:hAnsi="Arial Narrow"/>
                <w:b/>
                <w:bCs/>
                <w:sz w:val="16"/>
                <w:szCs w:val="16"/>
              </w:rPr>
              <w:t>6</w:t>
            </w:r>
          </w:p>
        </w:tc>
        <w:tc>
          <w:tcPr>
            <w:tcW w:w="709" w:type="dxa"/>
            <w:tcBorders>
              <w:top w:val="nil"/>
              <w:left w:val="nil"/>
              <w:bottom w:val="nil"/>
              <w:right w:val="nil"/>
            </w:tcBorders>
            <w:shd w:val="clear" w:color="auto" w:fill="C5E0B3" w:themeFill="accent6" w:themeFillTint="66"/>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7</w:t>
            </w:r>
            <w:r w:rsidR="002D53C5">
              <w:rPr>
                <w:rFonts w:ascii="Arial Narrow" w:hAnsi="Arial Narrow"/>
                <w:b/>
                <w:bCs/>
                <w:sz w:val="16"/>
                <w:szCs w:val="16"/>
              </w:rPr>
              <w:t>3</w:t>
            </w:r>
            <w:r>
              <w:rPr>
                <w:rFonts w:ascii="Arial Narrow" w:hAnsi="Arial Narrow"/>
                <w:b/>
                <w:bCs/>
                <w:sz w:val="16"/>
                <w:szCs w:val="16"/>
              </w:rPr>
              <w:t>,</w:t>
            </w:r>
            <w:r w:rsidR="002D53C5">
              <w:rPr>
                <w:rFonts w:ascii="Arial Narrow" w:hAnsi="Arial Narrow"/>
                <w:b/>
                <w:bCs/>
                <w:sz w:val="16"/>
                <w:szCs w:val="16"/>
              </w:rPr>
              <w:t>4</w:t>
            </w:r>
          </w:p>
        </w:tc>
        <w:tc>
          <w:tcPr>
            <w:tcW w:w="520" w:type="dxa"/>
            <w:tcBorders>
              <w:top w:val="nil"/>
              <w:left w:val="single" w:sz="4" w:space="0" w:color="FF0000"/>
              <w:bottom w:val="nil"/>
              <w:right w:val="single" w:sz="4" w:space="0" w:color="FF0000"/>
            </w:tcBorders>
            <w:shd w:val="clear" w:color="auto" w:fill="C5E0B3" w:themeFill="accent6" w:themeFillTint="66"/>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1</w:t>
            </w:r>
            <w:r w:rsidR="002D53C5">
              <w:rPr>
                <w:rFonts w:ascii="Arial Narrow" w:hAnsi="Arial Narrow"/>
                <w:b/>
                <w:bCs/>
                <w:sz w:val="16"/>
                <w:szCs w:val="16"/>
              </w:rPr>
              <w:t>4</w:t>
            </w:r>
            <w:r>
              <w:rPr>
                <w:rFonts w:ascii="Arial Narrow" w:hAnsi="Arial Narrow"/>
                <w:b/>
                <w:bCs/>
                <w:sz w:val="16"/>
                <w:szCs w:val="16"/>
              </w:rPr>
              <w:t>,</w:t>
            </w:r>
            <w:r w:rsidR="002D53C5">
              <w:rPr>
                <w:rFonts w:ascii="Arial Narrow" w:hAnsi="Arial Narrow"/>
                <w:b/>
                <w:bCs/>
                <w:sz w:val="16"/>
                <w:szCs w:val="16"/>
              </w:rPr>
              <w:t>1</w:t>
            </w:r>
          </w:p>
        </w:tc>
        <w:tc>
          <w:tcPr>
            <w:tcW w:w="897" w:type="dxa"/>
            <w:tcBorders>
              <w:top w:val="nil"/>
              <w:left w:val="nil"/>
              <w:bottom w:val="nil"/>
              <w:right w:val="nil"/>
            </w:tcBorders>
            <w:shd w:val="clear" w:color="auto" w:fill="C5E0B3" w:themeFill="accent6" w:themeFillTint="66"/>
            <w:noWrap/>
            <w:vAlign w:val="bottom"/>
            <w:hideMark/>
          </w:tcPr>
          <w:p w:rsidR="005F0308" w:rsidRDefault="002D53C5" w:rsidP="002D53C5">
            <w:pPr>
              <w:jc w:val="right"/>
              <w:rPr>
                <w:rFonts w:ascii="Arial Narrow" w:hAnsi="Arial Narrow"/>
                <w:b/>
                <w:bCs/>
                <w:sz w:val="16"/>
                <w:szCs w:val="16"/>
              </w:rPr>
            </w:pPr>
            <w:r>
              <w:rPr>
                <w:rFonts w:ascii="Arial Narrow" w:hAnsi="Arial Narrow"/>
                <w:b/>
                <w:bCs/>
                <w:sz w:val="16"/>
                <w:szCs w:val="16"/>
              </w:rPr>
              <w:t>114</w:t>
            </w:r>
            <w:r w:rsidR="005F0308">
              <w:rPr>
                <w:rFonts w:ascii="Arial Narrow" w:hAnsi="Arial Narrow"/>
                <w:b/>
                <w:bCs/>
                <w:sz w:val="16"/>
                <w:szCs w:val="16"/>
              </w:rPr>
              <w:t>,</w:t>
            </w:r>
            <w:r>
              <w:rPr>
                <w:rFonts w:ascii="Arial Narrow" w:hAnsi="Arial Narrow"/>
                <w:b/>
                <w:bCs/>
                <w:sz w:val="16"/>
                <w:szCs w:val="16"/>
              </w:rPr>
              <w:t>9</w:t>
            </w:r>
          </w:p>
        </w:tc>
      </w:tr>
      <w:tr w:rsidR="005F0308" w:rsidTr="004610AF">
        <w:trPr>
          <w:trHeight w:val="278"/>
        </w:trPr>
        <w:tc>
          <w:tcPr>
            <w:tcW w:w="497" w:type="dxa"/>
            <w:tcBorders>
              <w:top w:val="nil"/>
              <w:left w:val="nil"/>
              <w:bottom w:val="nil"/>
              <w:right w:val="nil"/>
            </w:tcBorders>
            <w:shd w:val="clear" w:color="000000" w:fill="E2EFDA"/>
            <w:noWrap/>
            <w:vAlign w:val="bottom"/>
            <w:hideMark/>
          </w:tcPr>
          <w:p w:rsidR="005F0308" w:rsidRDefault="005F0308">
            <w:pPr>
              <w:rPr>
                <w:rFonts w:ascii="Arial Narrow" w:hAnsi="Arial Narrow"/>
                <w:b/>
                <w:bCs/>
                <w:color w:val="FFFFFF"/>
                <w:sz w:val="16"/>
                <w:szCs w:val="16"/>
              </w:rPr>
            </w:pPr>
            <w:r>
              <w:rPr>
                <w:rFonts w:ascii="Arial Narrow" w:hAnsi="Arial Narrow"/>
                <w:b/>
                <w:bCs/>
                <w:color w:val="FFFFFF"/>
                <w:sz w:val="16"/>
                <w:szCs w:val="16"/>
              </w:rPr>
              <w:t> </w:t>
            </w:r>
          </w:p>
        </w:tc>
        <w:tc>
          <w:tcPr>
            <w:tcW w:w="487" w:type="dxa"/>
            <w:tcBorders>
              <w:top w:val="nil"/>
              <w:left w:val="nil"/>
              <w:bottom w:val="nil"/>
              <w:right w:val="nil"/>
            </w:tcBorders>
            <w:shd w:val="clear" w:color="000000" w:fill="E2EFDA"/>
            <w:noWrap/>
            <w:vAlign w:val="bottom"/>
            <w:hideMark/>
          </w:tcPr>
          <w:p w:rsidR="005F0308" w:rsidRDefault="005F0308">
            <w:pPr>
              <w:rPr>
                <w:rFonts w:ascii="Arial Narrow" w:hAnsi="Arial Narrow"/>
                <w:b/>
                <w:bCs/>
                <w:color w:val="FFFFFF"/>
                <w:sz w:val="16"/>
                <w:szCs w:val="16"/>
              </w:rPr>
            </w:pPr>
            <w:r>
              <w:rPr>
                <w:rFonts w:ascii="Arial Narrow" w:hAnsi="Arial Narrow"/>
                <w:b/>
                <w:bCs/>
                <w:color w:val="FFFFFF"/>
                <w:sz w:val="16"/>
                <w:szCs w:val="16"/>
              </w:rPr>
              <w:t> </w:t>
            </w:r>
          </w:p>
        </w:tc>
        <w:tc>
          <w:tcPr>
            <w:tcW w:w="2973" w:type="dxa"/>
            <w:gridSpan w:val="4"/>
            <w:tcBorders>
              <w:top w:val="nil"/>
              <w:left w:val="nil"/>
              <w:bottom w:val="nil"/>
              <w:right w:val="nil"/>
            </w:tcBorders>
            <w:shd w:val="clear" w:color="000000" w:fill="E2EFDA"/>
            <w:noWrap/>
            <w:vAlign w:val="center"/>
            <w:hideMark/>
          </w:tcPr>
          <w:p w:rsidR="005F0308" w:rsidRDefault="005F0308">
            <w:pPr>
              <w:rPr>
                <w:rFonts w:ascii="Arial Narrow" w:hAnsi="Arial Narrow"/>
                <w:b/>
                <w:bCs/>
                <w:sz w:val="16"/>
                <w:szCs w:val="16"/>
              </w:rPr>
            </w:pPr>
            <w:r>
              <w:rPr>
                <w:rFonts w:ascii="Arial Narrow" w:hAnsi="Arial Narrow"/>
                <w:b/>
                <w:bCs/>
                <w:sz w:val="16"/>
                <w:szCs w:val="16"/>
              </w:rPr>
              <w:t>Sociálne príspevky zamestnávateľov</w:t>
            </w:r>
          </w:p>
        </w:tc>
        <w:tc>
          <w:tcPr>
            <w:tcW w:w="696" w:type="dxa"/>
            <w:tcBorders>
              <w:top w:val="nil"/>
              <w:left w:val="single" w:sz="4" w:space="0" w:color="FF0000"/>
              <w:bottom w:val="nil"/>
              <w:right w:val="single" w:sz="4" w:space="0" w:color="FF0000"/>
            </w:tcBorders>
            <w:shd w:val="clear" w:color="000000" w:fill="E2EFDA"/>
            <w:noWrap/>
            <w:vAlign w:val="bottom"/>
            <w:hideMark/>
          </w:tcPr>
          <w:p w:rsidR="005F0308" w:rsidRDefault="002D53C5" w:rsidP="002D53C5">
            <w:pPr>
              <w:jc w:val="right"/>
              <w:rPr>
                <w:rFonts w:ascii="Arial Narrow" w:hAnsi="Arial Narrow"/>
                <w:b/>
                <w:bCs/>
                <w:sz w:val="16"/>
                <w:szCs w:val="16"/>
              </w:rPr>
            </w:pPr>
            <w:r>
              <w:rPr>
                <w:rFonts w:ascii="Arial Narrow" w:hAnsi="Arial Narrow"/>
                <w:b/>
                <w:bCs/>
                <w:sz w:val="16"/>
                <w:szCs w:val="16"/>
              </w:rPr>
              <w:t>9</w:t>
            </w:r>
            <w:r w:rsidR="005F0308">
              <w:rPr>
                <w:rFonts w:ascii="Arial Narrow" w:hAnsi="Arial Narrow"/>
                <w:b/>
                <w:bCs/>
                <w:sz w:val="16"/>
                <w:szCs w:val="16"/>
              </w:rPr>
              <w:t xml:space="preserve"> </w:t>
            </w:r>
            <w:r>
              <w:rPr>
                <w:rFonts w:ascii="Arial Narrow" w:hAnsi="Arial Narrow"/>
                <w:b/>
                <w:bCs/>
                <w:sz w:val="16"/>
                <w:szCs w:val="16"/>
              </w:rPr>
              <w:t>070</w:t>
            </w:r>
            <w:r w:rsidR="005F0308">
              <w:rPr>
                <w:rFonts w:ascii="Arial Narrow" w:hAnsi="Arial Narrow"/>
                <w:b/>
                <w:bCs/>
                <w:sz w:val="16"/>
                <w:szCs w:val="16"/>
              </w:rPr>
              <w:t>,8</w:t>
            </w:r>
          </w:p>
        </w:tc>
        <w:tc>
          <w:tcPr>
            <w:tcW w:w="734" w:type="dxa"/>
            <w:tcBorders>
              <w:top w:val="nil"/>
              <w:left w:val="nil"/>
              <w:bottom w:val="nil"/>
              <w:right w:val="single" w:sz="4" w:space="0" w:color="FF0000"/>
            </w:tcBorders>
            <w:shd w:val="clear" w:color="000000" w:fill="E2EFDA"/>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7 8</w:t>
            </w:r>
            <w:r w:rsidR="002D53C5">
              <w:rPr>
                <w:rFonts w:ascii="Arial Narrow" w:hAnsi="Arial Narrow"/>
                <w:b/>
                <w:bCs/>
                <w:sz w:val="16"/>
                <w:szCs w:val="16"/>
              </w:rPr>
              <w:t>29</w:t>
            </w:r>
            <w:r>
              <w:rPr>
                <w:rFonts w:ascii="Arial Narrow" w:hAnsi="Arial Narrow"/>
                <w:b/>
                <w:bCs/>
                <w:sz w:val="16"/>
                <w:szCs w:val="16"/>
              </w:rPr>
              <w:t>,</w:t>
            </w:r>
            <w:r w:rsidR="002D53C5">
              <w:rPr>
                <w:rFonts w:ascii="Arial Narrow" w:hAnsi="Arial Narrow"/>
                <w:b/>
                <w:bCs/>
                <w:sz w:val="16"/>
                <w:szCs w:val="16"/>
              </w:rPr>
              <w:t>9</w:t>
            </w:r>
          </w:p>
        </w:tc>
        <w:tc>
          <w:tcPr>
            <w:tcW w:w="850" w:type="dxa"/>
            <w:tcBorders>
              <w:top w:val="nil"/>
              <w:left w:val="nil"/>
              <w:bottom w:val="nil"/>
              <w:right w:val="single" w:sz="4" w:space="0" w:color="FF0000"/>
            </w:tcBorders>
            <w:shd w:val="clear" w:color="000000" w:fill="E2EFDA"/>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 xml:space="preserve">1 </w:t>
            </w:r>
            <w:r w:rsidR="002D53C5">
              <w:rPr>
                <w:rFonts w:ascii="Arial Narrow" w:hAnsi="Arial Narrow"/>
                <w:b/>
                <w:bCs/>
                <w:sz w:val="16"/>
                <w:szCs w:val="16"/>
              </w:rPr>
              <w:t>663</w:t>
            </w:r>
            <w:r>
              <w:rPr>
                <w:rFonts w:ascii="Arial Narrow" w:hAnsi="Arial Narrow"/>
                <w:b/>
                <w:bCs/>
                <w:sz w:val="16"/>
                <w:szCs w:val="16"/>
              </w:rPr>
              <w:t>,</w:t>
            </w:r>
            <w:r w:rsidR="002D53C5">
              <w:rPr>
                <w:rFonts w:ascii="Arial Narrow" w:hAnsi="Arial Narrow"/>
                <w:b/>
                <w:bCs/>
                <w:sz w:val="16"/>
                <w:szCs w:val="16"/>
              </w:rPr>
              <w:t>1</w:t>
            </w:r>
          </w:p>
        </w:tc>
        <w:tc>
          <w:tcPr>
            <w:tcW w:w="709" w:type="dxa"/>
            <w:tcBorders>
              <w:top w:val="nil"/>
              <w:left w:val="nil"/>
              <w:bottom w:val="nil"/>
              <w:right w:val="single" w:sz="4" w:space="0" w:color="FF0000"/>
            </w:tcBorders>
            <w:shd w:val="clear" w:color="000000" w:fill="E2EFDA"/>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 xml:space="preserve">2 </w:t>
            </w:r>
            <w:r w:rsidR="002D53C5">
              <w:rPr>
                <w:rFonts w:ascii="Arial Narrow" w:hAnsi="Arial Narrow"/>
                <w:b/>
                <w:bCs/>
                <w:sz w:val="16"/>
                <w:szCs w:val="16"/>
              </w:rPr>
              <w:t>290</w:t>
            </w:r>
            <w:r>
              <w:rPr>
                <w:rFonts w:ascii="Arial Narrow" w:hAnsi="Arial Narrow"/>
                <w:b/>
                <w:bCs/>
                <w:sz w:val="16"/>
                <w:szCs w:val="16"/>
              </w:rPr>
              <w:t>,</w:t>
            </w:r>
            <w:r w:rsidR="002D53C5">
              <w:rPr>
                <w:rFonts w:ascii="Arial Narrow" w:hAnsi="Arial Narrow"/>
                <w:b/>
                <w:bCs/>
                <w:sz w:val="16"/>
                <w:szCs w:val="16"/>
              </w:rPr>
              <w:t>0</w:t>
            </w:r>
          </w:p>
        </w:tc>
        <w:tc>
          <w:tcPr>
            <w:tcW w:w="709" w:type="dxa"/>
            <w:tcBorders>
              <w:top w:val="nil"/>
              <w:left w:val="nil"/>
              <w:bottom w:val="nil"/>
              <w:right w:val="nil"/>
            </w:tcBorders>
            <w:shd w:val="clear" w:color="000000" w:fill="E2EFDA"/>
            <w:noWrap/>
            <w:vAlign w:val="bottom"/>
            <w:hideMark/>
          </w:tcPr>
          <w:p w:rsidR="005F0308" w:rsidRDefault="002D53C5" w:rsidP="002D53C5">
            <w:pPr>
              <w:jc w:val="right"/>
              <w:rPr>
                <w:rFonts w:ascii="Arial Narrow" w:hAnsi="Arial Narrow"/>
                <w:b/>
                <w:bCs/>
                <w:sz w:val="16"/>
                <w:szCs w:val="16"/>
              </w:rPr>
            </w:pPr>
            <w:r>
              <w:rPr>
                <w:rFonts w:ascii="Arial Narrow" w:hAnsi="Arial Narrow"/>
                <w:b/>
                <w:bCs/>
                <w:sz w:val="16"/>
                <w:szCs w:val="16"/>
              </w:rPr>
              <w:t>50</w:t>
            </w:r>
            <w:r w:rsidR="005F0308">
              <w:rPr>
                <w:rFonts w:ascii="Arial Narrow" w:hAnsi="Arial Narrow"/>
                <w:b/>
                <w:bCs/>
                <w:sz w:val="16"/>
                <w:szCs w:val="16"/>
              </w:rPr>
              <w:t>,</w:t>
            </w:r>
            <w:r>
              <w:rPr>
                <w:rFonts w:ascii="Arial Narrow" w:hAnsi="Arial Narrow"/>
                <w:b/>
                <w:bCs/>
                <w:sz w:val="16"/>
                <w:szCs w:val="16"/>
              </w:rPr>
              <w:t>2</w:t>
            </w:r>
          </w:p>
        </w:tc>
        <w:tc>
          <w:tcPr>
            <w:tcW w:w="520" w:type="dxa"/>
            <w:tcBorders>
              <w:top w:val="nil"/>
              <w:left w:val="single" w:sz="4" w:space="0" w:color="FF0000"/>
              <w:bottom w:val="nil"/>
              <w:right w:val="single" w:sz="4" w:space="0" w:color="FF0000"/>
            </w:tcBorders>
            <w:shd w:val="clear" w:color="000000" w:fill="E2EFDA"/>
            <w:noWrap/>
            <w:vAlign w:val="bottom"/>
            <w:hideMark/>
          </w:tcPr>
          <w:p w:rsidR="005F0308" w:rsidRDefault="002D53C5">
            <w:pPr>
              <w:jc w:val="right"/>
              <w:rPr>
                <w:rFonts w:ascii="Arial Narrow" w:hAnsi="Arial Narrow"/>
                <w:b/>
                <w:bCs/>
                <w:sz w:val="16"/>
                <w:szCs w:val="16"/>
              </w:rPr>
            </w:pPr>
            <w:r>
              <w:rPr>
                <w:rFonts w:ascii="Arial Narrow" w:hAnsi="Arial Narrow"/>
                <w:b/>
                <w:bCs/>
                <w:sz w:val="16"/>
                <w:szCs w:val="16"/>
              </w:rPr>
              <w:t>9</w:t>
            </w:r>
            <w:r w:rsidR="005F0308">
              <w:rPr>
                <w:rFonts w:ascii="Arial Narrow" w:hAnsi="Arial Narrow"/>
                <w:b/>
                <w:bCs/>
                <w:sz w:val="16"/>
                <w:szCs w:val="16"/>
              </w:rPr>
              <w:t>,7</w:t>
            </w:r>
          </w:p>
        </w:tc>
        <w:tc>
          <w:tcPr>
            <w:tcW w:w="897" w:type="dxa"/>
            <w:tcBorders>
              <w:top w:val="nil"/>
              <w:left w:val="nil"/>
              <w:bottom w:val="nil"/>
              <w:right w:val="nil"/>
            </w:tcBorders>
            <w:shd w:val="clear" w:color="000000" w:fill="E2EFDA"/>
            <w:noWrap/>
            <w:vAlign w:val="bottom"/>
            <w:hideMark/>
          </w:tcPr>
          <w:p w:rsidR="005F0308" w:rsidRDefault="002D53C5">
            <w:pPr>
              <w:jc w:val="right"/>
              <w:rPr>
                <w:rFonts w:ascii="Arial Narrow" w:hAnsi="Arial Narrow"/>
                <w:b/>
                <w:bCs/>
                <w:sz w:val="16"/>
                <w:szCs w:val="16"/>
              </w:rPr>
            </w:pPr>
            <w:r>
              <w:rPr>
                <w:rFonts w:ascii="Arial Narrow" w:hAnsi="Arial Narrow"/>
                <w:b/>
                <w:bCs/>
                <w:sz w:val="16"/>
                <w:szCs w:val="16"/>
              </w:rPr>
              <w:t>116</w:t>
            </w:r>
            <w:r w:rsidR="005F0308">
              <w:rPr>
                <w:rFonts w:ascii="Arial Narrow" w:hAnsi="Arial Narrow"/>
                <w:b/>
                <w:bCs/>
                <w:sz w:val="16"/>
                <w:szCs w:val="16"/>
              </w:rPr>
              <w:t>,3</w:t>
            </w:r>
          </w:p>
        </w:tc>
      </w:tr>
      <w:tr w:rsidR="005F0308" w:rsidTr="004610AF">
        <w:trPr>
          <w:trHeight w:val="210"/>
        </w:trPr>
        <w:tc>
          <w:tcPr>
            <w:tcW w:w="497" w:type="dxa"/>
            <w:tcBorders>
              <w:top w:val="nil"/>
              <w:left w:val="nil"/>
              <w:bottom w:val="nil"/>
              <w:right w:val="nil"/>
            </w:tcBorders>
            <w:shd w:val="clear" w:color="auto" w:fill="auto"/>
            <w:noWrap/>
            <w:vAlign w:val="bottom"/>
            <w:hideMark/>
          </w:tcPr>
          <w:p w:rsidR="005F0308" w:rsidRDefault="005F0308">
            <w:pPr>
              <w:jc w:val="right"/>
              <w:rPr>
                <w:rFonts w:ascii="Arial Narrow" w:hAnsi="Arial Narrow"/>
                <w:b/>
                <w:bCs/>
                <w:sz w:val="16"/>
                <w:szCs w:val="16"/>
              </w:rPr>
            </w:pPr>
          </w:p>
        </w:tc>
        <w:tc>
          <w:tcPr>
            <w:tcW w:w="487" w:type="dxa"/>
            <w:tcBorders>
              <w:top w:val="nil"/>
              <w:left w:val="nil"/>
              <w:bottom w:val="nil"/>
              <w:right w:val="nil"/>
            </w:tcBorders>
            <w:shd w:val="clear" w:color="auto" w:fill="auto"/>
            <w:noWrap/>
            <w:vAlign w:val="bottom"/>
            <w:hideMark/>
          </w:tcPr>
          <w:p w:rsidR="005F0308" w:rsidRDefault="005F0308">
            <w:pPr>
              <w:rPr>
                <w:sz w:val="20"/>
                <w:szCs w:val="20"/>
              </w:rPr>
            </w:pPr>
          </w:p>
        </w:tc>
        <w:tc>
          <w:tcPr>
            <w:tcW w:w="185" w:type="dxa"/>
            <w:tcBorders>
              <w:top w:val="nil"/>
              <w:left w:val="nil"/>
              <w:bottom w:val="nil"/>
              <w:right w:val="nil"/>
            </w:tcBorders>
            <w:shd w:val="clear" w:color="auto" w:fill="auto"/>
            <w:noWrap/>
            <w:vAlign w:val="bottom"/>
            <w:hideMark/>
          </w:tcPr>
          <w:p w:rsidR="005F0308" w:rsidRDefault="005F0308">
            <w:pPr>
              <w:rPr>
                <w:sz w:val="20"/>
                <w:szCs w:val="20"/>
              </w:rPr>
            </w:pPr>
          </w:p>
        </w:tc>
        <w:tc>
          <w:tcPr>
            <w:tcW w:w="1952" w:type="dxa"/>
            <w:gridSpan w:val="2"/>
            <w:tcBorders>
              <w:top w:val="nil"/>
              <w:left w:val="nil"/>
              <w:bottom w:val="nil"/>
              <w:right w:val="nil"/>
            </w:tcBorders>
            <w:shd w:val="clear" w:color="auto" w:fill="auto"/>
            <w:noWrap/>
            <w:vAlign w:val="center"/>
            <w:hideMark/>
          </w:tcPr>
          <w:p w:rsidR="005F0308" w:rsidRDefault="005F0308">
            <w:pPr>
              <w:rPr>
                <w:rFonts w:ascii="Arial Narrow" w:hAnsi="Arial Narrow"/>
                <w:sz w:val="16"/>
                <w:szCs w:val="16"/>
              </w:rPr>
            </w:pPr>
            <w:r>
              <w:rPr>
                <w:rFonts w:ascii="Arial Narrow" w:hAnsi="Arial Narrow"/>
                <w:sz w:val="16"/>
                <w:szCs w:val="16"/>
              </w:rPr>
              <w:t xml:space="preserve">Aktuálne sociálne príspevky </w:t>
            </w:r>
          </w:p>
        </w:tc>
        <w:tc>
          <w:tcPr>
            <w:tcW w:w="836" w:type="dxa"/>
            <w:tcBorders>
              <w:top w:val="nil"/>
              <w:left w:val="nil"/>
              <w:bottom w:val="nil"/>
              <w:right w:val="nil"/>
            </w:tcBorders>
            <w:shd w:val="clear" w:color="auto" w:fill="auto"/>
            <w:noWrap/>
            <w:vAlign w:val="center"/>
            <w:hideMark/>
          </w:tcPr>
          <w:p w:rsidR="005F0308" w:rsidRDefault="005F0308">
            <w:pPr>
              <w:rPr>
                <w:rFonts w:ascii="Arial Narrow" w:hAnsi="Arial Narrow"/>
                <w:sz w:val="16"/>
                <w:szCs w:val="16"/>
              </w:rPr>
            </w:pPr>
          </w:p>
        </w:tc>
        <w:tc>
          <w:tcPr>
            <w:tcW w:w="696" w:type="dxa"/>
            <w:tcBorders>
              <w:top w:val="nil"/>
              <w:left w:val="single" w:sz="4" w:space="0" w:color="FF0000"/>
              <w:bottom w:val="nil"/>
              <w:right w:val="single" w:sz="4" w:space="0" w:color="FF0000"/>
            </w:tcBorders>
            <w:shd w:val="clear" w:color="auto" w:fill="auto"/>
            <w:noWrap/>
            <w:vAlign w:val="bottom"/>
            <w:hideMark/>
          </w:tcPr>
          <w:p w:rsidR="005F0308" w:rsidRDefault="002D53C5" w:rsidP="002D53C5">
            <w:pPr>
              <w:jc w:val="right"/>
              <w:rPr>
                <w:rFonts w:ascii="Arial Narrow" w:hAnsi="Arial Narrow"/>
                <w:sz w:val="16"/>
                <w:szCs w:val="16"/>
              </w:rPr>
            </w:pPr>
            <w:r>
              <w:rPr>
                <w:rFonts w:ascii="Arial Narrow" w:hAnsi="Arial Narrow"/>
                <w:sz w:val="16"/>
                <w:szCs w:val="16"/>
              </w:rPr>
              <w:t>8</w:t>
            </w:r>
            <w:r w:rsidR="005F0308">
              <w:rPr>
                <w:rFonts w:ascii="Arial Narrow" w:hAnsi="Arial Narrow"/>
                <w:sz w:val="16"/>
                <w:szCs w:val="16"/>
              </w:rPr>
              <w:t xml:space="preserve"> </w:t>
            </w:r>
            <w:r>
              <w:rPr>
                <w:rFonts w:ascii="Arial Narrow" w:hAnsi="Arial Narrow"/>
                <w:sz w:val="16"/>
                <w:szCs w:val="16"/>
              </w:rPr>
              <w:t>843</w:t>
            </w:r>
            <w:r w:rsidR="005F0308">
              <w:rPr>
                <w:rFonts w:ascii="Arial Narrow" w:hAnsi="Arial Narrow"/>
                <w:sz w:val="16"/>
                <w:szCs w:val="16"/>
              </w:rPr>
              <w:t>,</w:t>
            </w:r>
            <w:r>
              <w:rPr>
                <w:rFonts w:ascii="Arial Narrow" w:hAnsi="Arial Narrow"/>
                <w:sz w:val="16"/>
                <w:szCs w:val="16"/>
              </w:rPr>
              <w:t>0</w:t>
            </w:r>
          </w:p>
        </w:tc>
        <w:tc>
          <w:tcPr>
            <w:tcW w:w="734" w:type="dxa"/>
            <w:tcBorders>
              <w:top w:val="nil"/>
              <w:left w:val="nil"/>
              <w:bottom w:val="nil"/>
              <w:right w:val="single" w:sz="4" w:space="0" w:color="FF0000"/>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 xml:space="preserve">7 </w:t>
            </w:r>
            <w:r w:rsidR="002D53C5">
              <w:rPr>
                <w:rFonts w:ascii="Arial Narrow" w:hAnsi="Arial Narrow"/>
                <w:sz w:val="16"/>
                <w:szCs w:val="16"/>
              </w:rPr>
              <w:t>633</w:t>
            </w:r>
            <w:r>
              <w:rPr>
                <w:rFonts w:ascii="Arial Narrow" w:hAnsi="Arial Narrow"/>
                <w:sz w:val="16"/>
                <w:szCs w:val="16"/>
              </w:rPr>
              <w:t>,</w:t>
            </w:r>
            <w:r w:rsidR="002D53C5">
              <w:rPr>
                <w:rFonts w:ascii="Arial Narrow" w:hAnsi="Arial Narrow"/>
                <w:sz w:val="16"/>
                <w:szCs w:val="16"/>
              </w:rPr>
              <w:t>3</w:t>
            </w:r>
          </w:p>
        </w:tc>
        <w:tc>
          <w:tcPr>
            <w:tcW w:w="850" w:type="dxa"/>
            <w:tcBorders>
              <w:top w:val="nil"/>
              <w:left w:val="nil"/>
              <w:bottom w:val="nil"/>
              <w:right w:val="single" w:sz="4" w:space="0" w:color="FF0000"/>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 xml:space="preserve">1 </w:t>
            </w:r>
            <w:r w:rsidR="002D53C5">
              <w:rPr>
                <w:rFonts w:ascii="Arial Narrow" w:hAnsi="Arial Narrow"/>
                <w:sz w:val="16"/>
                <w:szCs w:val="16"/>
              </w:rPr>
              <w:t>621</w:t>
            </w:r>
            <w:r>
              <w:rPr>
                <w:rFonts w:ascii="Arial Narrow" w:hAnsi="Arial Narrow"/>
                <w:sz w:val="16"/>
                <w:szCs w:val="16"/>
              </w:rPr>
              <w:t>,</w:t>
            </w:r>
            <w:r w:rsidR="002D53C5">
              <w:rPr>
                <w:rFonts w:ascii="Arial Narrow" w:hAnsi="Arial Narrow"/>
                <w:sz w:val="16"/>
                <w:szCs w:val="16"/>
              </w:rPr>
              <w:t>3</w:t>
            </w:r>
          </w:p>
        </w:tc>
        <w:tc>
          <w:tcPr>
            <w:tcW w:w="709" w:type="dxa"/>
            <w:tcBorders>
              <w:top w:val="nil"/>
              <w:left w:val="nil"/>
              <w:bottom w:val="nil"/>
              <w:right w:val="single" w:sz="4" w:space="0" w:color="FF0000"/>
            </w:tcBorders>
            <w:shd w:val="clear" w:color="auto" w:fill="auto"/>
            <w:noWrap/>
            <w:vAlign w:val="bottom"/>
            <w:hideMark/>
          </w:tcPr>
          <w:p w:rsidR="005F0308" w:rsidRDefault="002D53C5" w:rsidP="002D53C5">
            <w:pPr>
              <w:jc w:val="right"/>
              <w:rPr>
                <w:rFonts w:ascii="Arial Narrow" w:hAnsi="Arial Narrow"/>
                <w:sz w:val="16"/>
                <w:szCs w:val="16"/>
              </w:rPr>
            </w:pPr>
            <w:r>
              <w:rPr>
                <w:rFonts w:ascii="Arial Narrow" w:hAnsi="Arial Narrow"/>
                <w:sz w:val="16"/>
                <w:szCs w:val="16"/>
              </w:rPr>
              <w:t>2</w:t>
            </w:r>
            <w:r w:rsidR="005F0308">
              <w:rPr>
                <w:rFonts w:ascii="Arial Narrow" w:hAnsi="Arial Narrow"/>
                <w:sz w:val="16"/>
                <w:szCs w:val="16"/>
              </w:rPr>
              <w:t xml:space="preserve"> </w:t>
            </w:r>
            <w:r>
              <w:rPr>
                <w:rFonts w:ascii="Arial Narrow" w:hAnsi="Arial Narrow"/>
                <w:sz w:val="16"/>
                <w:szCs w:val="16"/>
              </w:rPr>
              <w:t>232</w:t>
            </w:r>
            <w:r w:rsidR="005F0308">
              <w:rPr>
                <w:rFonts w:ascii="Arial Narrow" w:hAnsi="Arial Narrow"/>
                <w:sz w:val="16"/>
                <w:szCs w:val="16"/>
              </w:rPr>
              <w:t>,</w:t>
            </w:r>
            <w:r>
              <w:rPr>
                <w:rFonts w:ascii="Arial Narrow" w:hAnsi="Arial Narrow"/>
                <w:sz w:val="16"/>
                <w:szCs w:val="16"/>
              </w:rPr>
              <w:t>5</w:t>
            </w:r>
          </w:p>
        </w:tc>
        <w:tc>
          <w:tcPr>
            <w:tcW w:w="709" w:type="dxa"/>
            <w:tcBorders>
              <w:top w:val="nil"/>
              <w:left w:val="nil"/>
              <w:bottom w:val="nil"/>
              <w:right w:val="nil"/>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4</w:t>
            </w:r>
            <w:r w:rsidR="002D53C5">
              <w:rPr>
                <w:rFonts w:ascii="Arial Narrow" w:hAnsi="Arial Narrow"/>
                <w:sz w:val="16"/>
                <w:szCs w:val="16"/>
              </w:rPr>
              <w:t>9</w:t>
            </w:r>
            <w:r>
              <w:rPr>
                <w:rFonts w:ascii="Arial Narrow" w:hAnsi="Arial Narrow"/>
                <w:sz w:val="16"/>
                <w:szCs w:val="16"/>
              </w:rPr>
              <w:t>,</w:t>
            </w:r>
            <w:r w:rsidR="002D53C5">
              <w:rPr>
                <w:rFonts w:ascii="Arial Narrow" w:hAnsi="Arial Narrow"/>
                <w:sz w:val="16"/>
                <w:szCs w:val="16"/>
              </w:rPr>
              <w:t>0</w:t>
            </w:r>
          </w:p>
        </w:tc>
        <w:tc>
          <w:tcPr>
            <w:tcW w:w="520" w:type="dxa"/>
            <w:tcBorders>
              <w:top w:val="nil"/>
              <w:left w:val="single" w:sz="4" w:space="0" w:color="FF0000"/>
              <w:bottom w:val="nil"/>
              <w:right w:val="single" w:sz="4" w:space="0" w:color="FF0000"/>
            </w:tcBorders>
            <w:shd w:val="clear" w:color="auto" w:fill="auto"/>
            <w:noWrap/>
            <w:vAlign w:val="bottom"/>
            <w:hideMark/>
          </w:tcPr>
          <w:p w:rsidR="005F0308" w:rsidRDefault="002D53C5" w:rsidP="002D53C5">
            <w:pPr>
              <w:jc w:val="right"/>
              <w:rPr>
                <w:rFonts w:ascii="Arial Narrow" w:hAnsi="Arial Narrow"/>
                <w:sz w:val="16"/>
                <w:szCs w:val="16"/>
              </w:rPr>
            </w:pPr>
            <w:r>
              <w:rPr>
                <w:rFonts w:ascii="Arial Narrow" w:hAnsi="Arial Narrow"/>
                <w:sz w:val="16"/>
                <w:szCs w:val="16"/>
              </w:rPr>
              <w:t>9</w:t>
            </w:r>
            <w:r w:rsidR="005F0308">
              <w:rPr>
                <w:rFonts w:ascii="Arial Narrow" w:hAnsi="Arial Narrow"/>
                <w:sz w:val="16"/>
                <w:szCs w:val="16"/>
              </w:rPr>
              <w:t>,</w:t>
            </w:r>
            <w:r>
              <w:rPr>
                <w:rFonts w:ascii="Arial Narrow" w:hAnsi="Arial Narrow"/>
                <w:sz w:val="16"/>
                <w:szCs w:val="16"/>
              </w:rPr>
              <w:t>4</w:t>
            </w:r>
          </w:p>
        </w:tc>
        <w:tc>
          <w:tcPr>
            <w:tcW w:w="897" w:type="dxa"/>
            <w:tcBorders>
              <w:top w:val="nil"/>
              <w:left w:val="nil"/>
              <w:bottom w:val="nil"/>
              <w:right w:val="nil"/>
            </w:tcBorders>
            <w:shd w:val="clear" w:color="auto" w:fill="auto"/>
            <w:noWrap/>
            <w:vAlign w:val="bottom"/>
            <w:hideMark/>
          </w:tcPr>
          <w:p w:rsidR="005F0308" w:rsidRDefault="002D53C5" w:rsidP="002D53C5">
            <w:pPr>
              <w:jc w:val="right"/>
              <w:rPr>
                <w:rFonts w:ascii="Arial Narrow" w:hAnsi="Arial Narrow"/>
                <w:sz w:val="16"/>
                <w:szCs w:val="16"/>
              </w:rPr>
            </w:pPr>
            <w:r>
              <w:rPr>
                <w:rFonts w:ascii="Arial Narrow" w:hAnsi="Arial Narrow"/>
                <w:sz w:val="16"/>
                <w:szCs w:val="16"/>
              </w:rPr>
              <w:t>116</w:t>
            </w:r>
            <w:r w:rsidR="005F0308">
              <w:rPr>
                <w:rFonts w:ascii="Arial Narrow" w:hAnsi="Arial Narrow"/>
                <w:sz w:val="16"/>
                <w:szCs w:val="16"/>
              </w:rPr>
              <w:t>,</w:t>
            </w:r>
            <w:r>
              <w:rPr>
                <w:rFonts w:ascii="Arial Narrow" w:hAnsi="Arial Narrow"/>
                <w:sz w:val="16"/>
                <w:szCs w:val="16"/>
              </w:rPr>
              <w:t>9</w:t>
            </w:r>
          </w:p>
        </w:tc>
      </w:tr>
      <w:tr w:rsidR="005F0308" w:rsidTr="004610AF">
        <w:trPr>
          <w:trHeight w:val="210"/>
        </w:trPr>
        <w:tc>
          <w:tcPr>
            <w:tcW w:w="497" w:type="dxa"/>
            <w:tcBorders>
              <w:top w:val="nil"/>
              <w:left w:val="nil"/>
              <w:bottom w:val="nil"/>
              <w:right w:val="nil"/>
            </w:tcBorders>
            <w:shd w:val="clear" w:color="auto" w:fill="auto"/>
            <w:noWrap/>
            <w:vAlign w:val="bottom"/>
            <w:hideMark/>
          </w:tcPr>
          <w:p w:rsidR="005F0308" w:rsidRDefault="005F0308">
            <w:pPr>
              <w:jc w:val="right"/>
              <w:rPr>
                <w:rFonts w:ascii="Arial Narrow" w:hAnsi="Arial Narrow"/>
                <w:sz w:val="16"/>
                <w:szCs w:val="16"/>
              </w:rPr>
            </w:pPr>
          </w:p>
        </w:tc>
        <w:tc>
          <w:tcPr>
            <w:tcW w:w="487" w:type="dxa"/>
            <w:tcBorders>
              <w:top w:val="nil"/>
              <w:left w:val="nil"/>
              <w:bottom w:val="nil"/>
              <w:right w:val="nil"/>
            </w:tcBorders>
            <w:shd w:val="clear" w:color="auto" w:fill="auto"/>
            <w:noWrap/>
            <w:vAlign w:val="bottom"/>
            <w:hideMark/>
          </w:tcPr>
          <w:p w:rsidR="005F0308" w:rsidRDefault="005F0308">
            <w:pPr>
              <w:rPr>
                <w:sz w:val="20"/>
                <w:szCs w:val="20"/>
              </w:rPr>
            </w:pPr>
          </w:p>
        </w:tc>
        <w:tc>
          <w:tcPr>
            <w:tcW w:w="185" w:type="dxa"/>
            <w:tcBorders>
              <w:top w:val="nil"/>
              <w:left w:val="nil"/>
              <w:bottom w:val="nil"/>
              <w:right w:val="nil"/>
            </w:tcBorders>
            <w:shd w:val="clear" w:color="auto" w:fill="auto"/>
            <w:noWrap/>
            <w:vAlign w:val="bottom"/>
            <w:hideMark/>
          </w:tcPr>
          <w:p w:rsidR="005F0308" w:rsidRDefault="005F0308">
            <w:pPr>
              <w:rPr>
                <w:sz w:val="20"/>
                <w:szCs w:val="20"/>
              </w:rPr>
            </w:pPr>
          </w:p>
        </w:tc>
        <w:tc>
          <w:tcPr>
            <w:tcW w:w="2788" w:type="dxa"/>
            <w:gridSpan w:val="3"/>
            <w:tcBorders>
              <w:top w:val="nil"/>
              <w:left w:val="nil"/>
              <w:bottom w:val="nil"/>
              <w:right w:val="nil"/>
            </w:tcBorders>
            <w:shd w:val="clear" w:color="auto" w:fill="auto"/>
            <w:noWrap/>
            <w:vAlign w:val="center"/>
            <w:hideMark/>
          </w:tcPr>
          <w:p w:rsidR="005F0308" w:rsidRDefault="005F0308">
            <w:pPr>
              <w:rPr>
                <w:rFonts w:ascii="Arial Narrow" w:hAnsi="Arial Narrow"/>
                <w:sz w:val="16"/>
                <w:szCs w:val="16"/>
              </w:rPr>
            </w:pPr>
            <w:r>
              <w:rPr>
                <w:rFonts w:ascii="Arial Narrow" w:hAnsi="Arial Narrow"/>
                <w:sz w:val="16"/>
                <w:szCs w:val="16"/>
              </w:rPr>
              <w:t xml:space="preserve">Imputované sociálne príspevky </w:t>
            </w:r>
          </w:p>
        </w:tc>
        <w:tc>
          <w:tcPr>
            <w:tcW w:w="696" w:type="dxa"/>
            <w:tcBorders>
              <w:top w:val="nil"/>
              <w:left w:val="single" w:sz="4" w:space="0" w:color="FF0000"/>
              <w:bottom w:val="nil"/>
              <w:right w:val="single" w:sz="4" w:space="0" w:color="FF0000"/>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2</w:t>
            </w:r>
            <w:r w:rsidR="002D53C5">
              <w:rPr>
                <w:rFonts w:ascii="Arial Narrow" w:hAnsi="Arial Narrow"/>
                <w:sz w:val="16"/>
                <w:szCs w:val="16"/>
              </w:rPr>
              <w:t>27</w:t>
            </w:r>
            <w:r>
              <w:rPr>
                <w:rFonts w:ascii="Arial Narrow" w:hAnsi="Arial Narrow"/>
                <w:sz w:val="16"/>
                <w:szCs w:val="16"/>
              </w:rPr>
              <w:t>,</w:t>
            </w:r>
            <w:r w:rsidR="002D53C5">
              <w:rPr>
                <w:rFonts w:ascii="Arial Narrow" w:hAnsi="Arial Narrow"/>
                <w:sz w:val="16"/>
                <w:szCs w:val="16"/>
              </w:rPr>
              <w:t>8</w:t>
            </w:r>
          </w:p>
        </w:tc>
        <w:tc>
          <w:tcPr>
            <w:tcW w:w="734" w:type="dxa"/>
            <w:tcBorders>
              <w:top w:val="nil"/>
              <w:left w:val="nil"/>
              <w:bottom w:val="nil"/>
              <w:right w:val="single" w:sz="4" w:space="0" w:color="FF0000"/>
            </w:tcBorders>
            <w:shd w:val="clear" w:color="auto" w:fill="auto"/>
            <w:noWrap/>
            <w:vAlign w:val="bottom"/>
            <w:hideMark/>
          </w:tcPr>
          <w:p w:rsidR="005F0308" w:rsidRDefault="002D53C5" w:rsidP="002D53C5">
            <w:pPr>
              <w:jc w:val="right"/>
              <w:rPr>
                <w:rFonts w:ascii="Arial Narrow" w:hAnsi="Arial Narrow"/>
                <w:sz w:val="16"/>
                <w:szCs w:val="16"/>
              </w:rPr>
            </w:pPr>
            <w:r>
              <w:rPr>
                <w:rFonts w:ascii="Arial Narrow" w:hAnsi="Arial Narrow"/>
                <w:sz w:val="16"/>
                <w:szCs w:val="16"/>
              </w:rPr>
              <w:t>196</w:t>
            </w:r>
            <w:r w:rsidR="005F0308">
              <w:rPr>
                <w:rFonts w:ascii="Arial Narrow" w:hAnsi="Arial Narrow"/>
                <w:sz w:val="16"/>
                <w:szCs w:val="16"/>
              </w:rPr>
              <w:t>,</w:t>
            </w:r>
            <w:r>
              <w:rPr>
                <w:rFonts w:ascii="Arial Narrow" w:hAnsi="Arial Narrow"/>
                <w:sz w:val="16"/>
                <w:szCs w:val="16"/>
              </w:rPr>
              <w:t>7</w:t>
            </w:r>
          </w:p>
        </w:tc>
        <w:tc>
          <w:tcPr>
            <w:tcW w:w="850" w:type="dxa"/>
            <w:tcBorders>
              <w:top w:val="nil"/>
              <w:left w:val="nil"/>
              <w:bottom w:val="nil"/>
              <w:right w:val="single" w:sz="4" w:space="0" w:color="FF0000"/>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4</w:t>
            </w:r>
            <w:r w:rsidR="002D53C5">
              <w:rPr>
                <w:rFonts w:ascii="Arial Narrow" w:hAnsi="Arial Narrow"/>
                <w:sz w:val="16"/>
                <w:szCs w:val="16"/>
              </w:rPr>
              <w:t>1</w:t>
            </w:r>
            <w:r>
              <w:rPr>
                <w:rFonts w:ascii="Arial Narrow" w:hAnsi="Arial Narrow"/>
                <w:sz w:val="16"/>
                <w:szCs w:val="16"/>
              </w:rPr>
              <w:t>,</w:t>
            </w:r>
            <w:r w:rsidR="002D53C5">
              <w:rPr>
                <w:rFonts w:ascii="Arial Narrow" w:hAnsi="Arial Narrow"/>
                <w:sz w:val="16"/>
                <w:szCs w:val="16"/>
              </w:rPr>
              <w:t>8</w:t>
            </w:r>
          </w:p>
        </w:tc>
        <w:tc>
          <w:tcPr>
            <w:tcW w:w="709" w:type="dxa"/>
            <w:tcBorders>
              <w:top w:val="nil"/>
              <w:left w:val="nil"/>
              <w:bottom w:val="nil"/>
              <w:right w:val="single" w:sz="4" w:space="0" w:color="FF0000"/>
            </w:tcBorders>
            <w:shd w:val="clear" w:color="auto" w:fill="auto"/>
            <w:noWrap/>
            <w:vAlign w:val="bottom"/>
            <w:hideMark/>
          </w:tcPr>
          <w:p w:rsidR="005F0308" w:rsidRDefault="002D53C5" w:rsidP="002D53C5">
            <w:pPr>
              <w:jc w:val="right"/>
              <w:rPr>
                <w:rFonts w:ascii="Arial Narrow" w:hAnsi="Arial Narrow"/>
                <w:sz w:val="16"/>
                <w:szCs w:val="16"/>
              </w:rPr>
            </w:pPr>
            <w:r>
              <w:rPr>
                <w:rFonts w:ascii="Arial Narrow" w:hAnsi="Arial Narrow"/>
                <w:sz w:val="16"/>
                <w:szCs w:val="16"/>
              </w:rPr>
              <w:t>57</w:t>
            </w:r>
            <w:r w:rsidR="005F0308">
              <w:rPr>
                <w:rFonts w:ascii="Arial Narrow" w:hAnsi="Arial Narrow"/>
                <w:sz w:val="16"/>
                <w:szCs w:val="16"/>
              </w:rPr>
              <w:t>,</w:t>
            </w:r>
            <w:r>
              <w:rPr>
                <w:rFonts w:ascii="Arial Narrow" w:hAnsi="Arial Narrow"/>
                <w:sz w:val="16"/>
                <w:szCs w:val="16"/>
              </w:rPr>
              <w:t>5</w:t>
            </w:r>
          </w:p>
        </w:tc>
        <w:tc>
          <w:tcPr>
            <w:tcW w:w="709" w:type="dxa"/>
            <w:tcBorders>
              <w:top w:val="nil"/>
              <w:left w:val="nil"/>
              <w:bottom w:val="nil"/>
              <w:right w:val="nil"/>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1,</w:t>
            </w:r>
            <w:r w:rsidR="002D53C5">
              <w:rPr>
                <w:rFonts w:ascii="Arial Narrow" w:hAnsi="Arial Narrow"/>
                <w:sz w:val="16"/>
                <w:szCs w:val="16"/>
              </w:rPr>
              <w:t>3</w:t>
            </w:r>
          </w:p>
        </w:tc>
        <w:tc>
          <w:tcPr>
            <w:tcW w:w="520" w:type="dxa"/>
            <w:tcBorders>
              <w:top w:val="nil"/>
              <w:left w:val="single" w:sz="4" w:space="0" w:color="FF0000"/>
              <w:bottom w:val="nil"/>
              <w:right w:val="single" w:sz="4" w:space="0" w:color="FF0000"/>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0,</w:t>
            </w:r>
            <w:r w:rsidR="002D53C5">
              <w:rPr>
                <w:rFonts w:ascii="Arial Narrow" w:hAnsi="Arial Narrow"/>
                <w:sz w:val="16"/>
                <w:szCs w:val="16"/>
              </w:rPr>
              <w:t>2</w:t>
            </w:r>
          </w:p>
        </w:tc>
        <w:tc>
          <w:tcPr>
            <w:tcW w:w="897" w:type="dxa"/>
            <w:tcBorders>
              <w:top w:val="nil"/>
              <w:left w:val="nil"/>
              <w:bottom w:val="nil"/>
              <w:right w:val="nil"/>
            </w:tcBorders>
            <w:shd w:val="clear" w:color="auto" w:fill="auto"/>
            <w:noWrap/>
            <w:vAlign w:val="bottom"/>
            <w:hideMark/>
          </w:tcPr>
          <w:p w:rsidR="005F0308" w:rsidRDefault="002D53C5" w:rsidP="002D53C5">
            <w:pPr>
              <w:jc w:val="right"/>
              <w:rPr>
                <w:rFonts w:ascii="Arial Narrow" w:hAnsi="Arial Narrow"/>
                <w:sz w:val="16"/>
                <w:szCs w:val="16"/>
              </w:rPr>
            </w:pPr>
            <w:r>
              <w:rPr>
                <w:rFonts w:ascii="Arial Narrow" w:hAnsi="Arial Narrow"/>
                <w:sz w:val="16"/>
                <w:szCs w:val="16"/>
              </w:rPr>
              <w:t>96</w:t>
            </w:r>
            <w:r w:rsidR="005F0308">
              <w:rPr>
                <w:rFonts w:ascii="Arial Narrow" w:hAnsi="Arial Narrow"/>
                <w:sz w:val="16"/>
                <w:szCs w:val="16"/>
              </w:rPr>
              <w:t>,</w:t>
            </w:r>
            <w:r>
              <w:rPr>
                <w:rFonts w:ascii="Arial Narrow" w:hAnsi="Arial Narrow"/>
                <w:sz w:val="16"/>
                <w:szCs w:val="16"/>
              </w:rPr>
              <w:t>9</w:t>
            </w:r>
          </w:p>
        </w:tc>
      </w:tr>
      <w:tr w:rsidR="005F0308" w:rsidTr="004610AF">
        <w:trPr>
          <w:trHeight w:val="252"/>
        </w:trPr>
        <w:tc>
          <w:tcPr>
            <w:tcW w:w="497" w:type="dxa"/>
            <w:tcBorders>
              <w:top w:val="nil"/>
              <w:left w:val="nil"/>
              <w:bottom w:val="nil"/>
              <w:right w:val="nil"/>
            </w:tcBorders>
            <w:shd w:val="clear" w:color="000000" w:fill="E2EFDA"/>
            <w:noWrap/>
            <w:vAlign w:val="bottom"/>
            <w:hideMark/>
          </w:tcPr>
          <w:p w:rsidR="005F0308" w:rsidRDefault="005F0308">
            <w:pPr>
              <w:rPr>
                <w:rFonts w:ascii="Arial Narrow" w:hAnsi="Arial Narrow"/>
                <w:b/>
                <w:bCs/>
                <w:color w:val="FFFFFF"/>
                <w:sz w:val="16"/>
                <w:szCs w:val="16"/>
              </w:rPr>
            </w:pPr>
            <w:r>
              <w:rPr>
                <w:rFonts w:ascii="Arial Narrow" w:hAnsi="Arial Narrow"/>
                <w:b/>
                <w:bCs/>
                <w:color w:val="FFFFFF"/>
                <w:sz w:val="16"/>
                <w:szCs w:val="16"/>
              </w:rPr>
              <w:t> </w:t>
            </w:r>
          </w:p>
        </w:tc>
        <w:tc>
          <w:tcPr>
            <w:tcW w:w="487" w:type="dxa"/>
            <w:tcBorders>
              <w:top w:val="nil"/>
              <w:left w:val="nil"/>
              <w:bottom w:val="nil"/>
              <w:right w:val="nil"/>
            </w:tcBorders>
            <w:shd w:val="clear" w:color="000000" w:fill="E2EFDA"/>
            <w:noWrap/>
            <w:vAlign w:val="bottom"/>
            <w:hideMark/>
          </w:tcPr>
          <w:p w:rsidR="005F0308" w:rsidRDefault="005F0308">
            <w:pPr>
              <w:rPr>
                <w:rFonts w:ascii="Arial Narrow" w:hAnsi="Arial Narrow"/>
                <w:b/>
                <w:bCs/>
                <w:color w:val="FFFFFF"/>
                <w:sz w:val="16"/>
                <w:szCs w:val="16"/>
              </w:rPr>
            </w:pPr>
            <w:r>
              <w:rPr>
                <w:rFonts w:ascii="Arial Narrow" w:hAnsi="Arial Narrow"/>
                <w:b/>
                <w:bCs/>
                <w:color w:val="FFFFFF"/>
                <w:sz w:val="16"/>
                <w:szCs w:val="16"/>
              </w:rPr>
              <w:t> </w:t>
            </w:r>
          </w:p>
        </w:tc>
        <w:tc>
          <w:tcPr>
            <w:tcW w:w="2973" w:type="dxa"/>
            <w:gridSpan w:val="4"/>
            <w:tcBorders>
              <w:top w:val="nil"/>
              <w:left w:val="nil"/>
              <w:bottom w:val="nil"/>
              <w:right w:val="nil"/>
            </w:tcBorders>
            <w:shd w:val="clear" w:color="000000" w:fill="E2EFDA"/>
            <w:noWrap/>
            <w:vAlign w:val="center"/>
            <w:hideMark/>
          </w:tcPr>
          <w:p w:rsidR="005F0308" w:rsidRDefault="005F0308">
            <w:pPr>
              <w:rPr>
                <w:rFonts w:ascii="Arial Narrow" w:hAnsi="Arial Narrow"/>
                <w:b/>
                <w:bCs/>
                <w:sz w:val="16"/>
                <w:szCs w:val="16"/>
              </w:rPr>
            </w:pPr>
            <w:r>
              <w:rPr>
                <w:rFonts w:ascii="Arial Narrow" w:hAnsi="Arial Narrow"/>
                <w:b/>
                <w:bCs/>
                <w:sz w:val="16"/>
                <w:szCs w:val="16"/>
              </w:rPr>
              <w:t>Sociálne príspevky chránených osôb</w:t>
            </w:r>
            <w:r w:rsidRPr="00AA7B25">
              <w:rPr>
                <w:rFonts w:ascii="Arial Narrow" w:hAnsi="Arial Narrow"/>
                <w:b/>
                <w:bCs/>
                <w:sz w:val="18"/>
                <w:szCs w:val="18"/>
                <w:vertAlign w:val="superscript"/>
              </w:rPr>
              <w:t>1)</w:t>
            </w:r>
          </w:p>
        </w:tc>
        <w:tc>
          <w:tcPr>
            <w:tcW w:w="696" w:type="dxa"/>
            <w:tcBorders>
              <w:top w:val="nil"/>
              <w:left w:val="single" w:sz="4" w:space="0" w:color="FF0000"/>
              <w:bottom w:val="nil"/>
              <w:right w:val="single" w:sz="4" w:space="0" w:color="FF0000"/>
            </w:tcBorders>
            <w:shd w:val="clear" w:color="000000" w:fill="E2EFDA"/>
            <w:noWrap/>
            <w:vAlign w:val="bottom"/>
            <w:hideMark/>
          </w:tcPr>
          <w:p w:rsidR="005F0308" w:rsidRDefault="002D53C5" w:rsidP="002D53C5">
            <w:pPr>
              <w:jc w:val="right"/>
              <w:rPr>
                <w:rFonts w:ascii="Arial Narrow" w:hAnsi="Arial Narrow"/>
                <w:b/>
                <w:bCs/>
                <w:sz w:val="16"/>
                <w:szCs w:val="16"/>
              </w:rPr>
            </w:pPr>
            <w:r>
              <w:rPr>
                <w:rFonts w:ascii="Arial Narrow" w:hAnsi="Arial Narrow"/>
                <w:b/>
                <w:bCs/>
                <w:sz w:val="16"/>
                <w:szCs w:val="16"/>
              </w:rPr>
              <w:t>4</w:t>
            </w:r>
            <w:r w:rsidR="005F0308">
              <w:rPr>
                <w:rFonts w:ascii="Arial Narrow" w:hAnsi="Arial Narrow"/>
                <w:b/>
                <w:bCs/>
                <w:sz w:val="16"/>
                <w:szCs w:val="16"/>
              </w:rPr>
              <w:t xml:space="preserve"> </w:t>
            </w:r>
            <w:r>
              <w:rPr>
                <w:rFonts w:ascii="Arial Narrow" w:hAnsi="Arial Narrow"/>
                <w:b/>
                <w:bCs/>
                <w:sz w:val="16"/>
                <w:szCs w:val="16"/>
              </w:rPr>
              <w:t>181</w:t>
            </w:r>
            <w:r w:rsidR="005F0308">
              <w:rPr>
                <w:rFonts w:ascii="Arial Narrow" w:hAnsi="Arial Narrow"/>
                <w:b/>
                <w:bCs/>
                <w:sz w:val="16"/>
                <w:szCs w:val="16"/>
              </w:rPr>
              <w:t>,</w:t>
            </w:r>
            <w:r>
              <w:rPr>
                <w:rFonts w:ascii="Arial Narrow" w:hAnsi="Arial Narrow"/>
                <w:b/>
                <w:bCs/>
                <w:sz w:val="16"/>
                <w:szCs w:val="16"/>
              </w:rPr>
              <w:t>2</w:t>
            </w:r>
          </w:p>
        </w:tc>
        <w:tc>
          <w:tcPr>
            <w:tcW w:w="734" w:type="dxa"/>
            <w:tcBorders>
              <w:top w:val="nil"/>
              <w:left w:val="nil"/>
              <w:bottom w:val="nil"/>
              <w:right w:val="single" w:sz="4" w:space="0" w:color="FF0000"/>
            </w:tcBorders>
            <w:shd w:val="clear" w:color="000000" w:fill="E2EFDA"/>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 xml:space="preserve">3 </w:t>
            </w:r>
            <w:r w:rsidR="002D53C5">
              <w:rPr>
                <w:rFonts w:ascii="Arial Narrow" w:hAnsi="Arial Narrow"/>
                <w:b/>
                <w:bCs/>
                <w:sz w:val="16"/>
                <w:szCs w:val="16"/>
              </w:rPr>
              <w:t>609</w:t>
            </w:r>
            <w:r>
              <w:rPr>
                <w:rFonts w:ascii="Arial Narrow" w:hAnsi="Arial Narrow"/>
                <w:b/>
                <w:bCs/>
                <w:sz w:val="16"/>
                <w:szCs w:val="16"/>
              </w:rPr>
              <w:t>,</w:t>
            </w:r>
            <w:r w:rsidR="002D53C5">
              <w:rPr>
                <w:rFonts w:ascii="Arial Narrow" w:hAnsi="Arial Narrow"/>
                <w:b/>
                <w:bCs/>
                <w:sz w:val="16"/>
                <w:szCs w:val="16"/>
              </w:rPr>
              <w:t>2</w:t>
            </w:r>
          </w:p>
        </w:tc>
        <w:tc>
          <w:tcPr>
            <w:tcW w:w="850" w:type="dxa"/>
            <w:tcBorders>
              <w:top w:val="nil"/>
              <w:left w:val="nil"/>
              <w:bottom w:val="nil"/>
              <w:right w:val="single" w:sz="4" w:space="0" w:color="FF0000"/>
            </w:tcBorders>
            <w:shd w:val="clear" w:color="000000" w:fill="E2EFDA"/>
            <w:noWrap/>
            <w:vAlign w:val="bottom"/>
            <w:hideMark/>
          </w:tcPr>
          <w:p w:rsidR="005F0308" w:rsidRDefault="002D53C5" w:rsidP="002D53C5">
            <w:pPr>
              <w:jc w:val="right"/>
              <w:rPr>
                <w:rFonts w:ascii="Arial Narrow" w:hAnsi="Arial Narrow"/>
                <w:b/>
                <w:bCs/>
                <w:sz w:val="16"/>
                <w:szCs w:val="16"/>
              </w:rPr>
            </w:pPr>
            <w:r>
              <w:rPr>
                <w:rFonts w:ascii="Arial Narrow" w:hAnsi="Arial Narrow"/>
                <w:b/>
                <w:bCs/>
                <w:sz w:val="16"/>
                <w:szCs w:val="16"/>
              </w:rPr>
              <w:t>766</w:t>
            </w:r>
            <w:r w:rsidR="005F0308">
              <w:rPr>
                <w:rFonts w:ascii="Arial Narrow" w:hAnsi="Arial Narrow"/>
                <w:b/>
                <w:bCs/>
                <w:sz w:val="16"/>
                <w:szCs w:val="16"/>
              </w:rPr>
              <w:t>,</w:t>
            </w:r>
            <w:r>
              <w:rPr>
                <w:rFonts w:ascii="Arial Narrow" w:hAnsi="Arial Narrow"/>
                <w:b/>
                <w:bCs/>
                <w:sz w:val="16"/>
                <w:szCs w:val="16"/>
              </w:rPr>
              <w:t>6</w:t>
            </w:r>
          </w:p>
        </w:tc>
        <w:tc>
          <w:tcPr>
            <w:tcW w:w="709" w:type="dxa"/>
            <w:tcBorders>
              <w:top w:val="nil"/>
              <w:left w:val="nil"/>
              <w:bottom w:val="nil"/>
              <w:right w:val="single" w:sz="4" w:space="0" w:color="FF0000"/>
            </w:tcBorders>
            <w:shd w:val="clear" w:color="000000" w:fill="E2EFDA"/>
            <w:noWrap/>
            <w:vAlign w:val="bottom"/>
            <w:hideMark/>
          </w:tcPr>
          <w:p w:rsidR="005F0308" w:rsidRDefault="002D53C5" w:rsidP="002D53C5">
            <w:pPr>
              <w:jc w:val="right"/>
              <w:rPr>
                <w:rFonts w:ascii="Arial Narrow" w:hAnsi="Arial Narrow"/>
                <w:b/>
                <w:bCs/>
                <w:sz w:val="16"/>
                <w:szCs w:val="16"/>
              </w:rPr>
            </w:pPr>
            <w:r>
              <w:rPr>
                <w:rFonts w:ascii="Arial Narrow" w:hAnsi="Arial Narrow"/>
                <w:b/>
                <w:bCs/>
                <w:sz w:val="16"/>
                <w:szCs w:val="16"/>
              </w:rPr>
              <w:t>1 055</w:t>
            </w:r>
            <w:r w:rsidR="005F0308">
              <w:rPr>
                <w:rFonts w:ascii="Arial Narrow" w:hAnsi="Arial Narrow"/>
                <w:b/>
                <w:bCs/>
                <w:sz w:val="16"/>
                <w:szCs w:val="16"/>
              </w:rPr>
              <w:t>,</w:t>
            </w:r>
            <w:r>
              <w:rPr>
                <w:rFonts w:ascii="Arial Narrow" w:hAnsi="Arial Narrow"/>
                <w:b/>
                <w:bCs/>
                <w:sz w:val="16"/>
                <w:szCs w:val="16"/>
              </w:rPr>
              <w:t>6</w:t>
            </w:r>
          </w:p>
        </w:tc>
        <w:tc>
          <w:tcPr>
            <w:tcW w:w="709" w:type="dxa"/>
            <w:tcBorders>
              <w:top w:val="nil"/>
              <w:left w:val="nil"/>
              <w:bottom w:val="nil"/>
              <w:right w:val="nil"/>
            </w:tcBorders>
            <w:shd w:val="clear" w:color="000000" w:fill="E2EFDA"/>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2</w:t>
            </w:r>
            <w:r w:rsidR="002D53C5">
              <w:rPr>
                <w:rFonts w:ascii="Arial Narrow" w:hAnsi="Arial Narrow"/>
                <w:b/>
                <w:bCs/>
                <w:sz w:val="16"/>
                <w:szCs w:val="16"/>
              </w:rPr>
              <w:t>3</w:t>
            </w:r>
            <w:r>
              <w:rPr>
                <w:rFonts w:ascii="Arial Narrow" w:hAnsi="Arial Narrow"/>
                <w:b/>
                <w:bCs/>
                <w:sz w:val="16"/>
                <w:szCs w:val="16"/>
              </w:rPr>
              <w:t>,</w:t>
            </w:r>
            <w:r w:rsidR="002D53C5">
              <w:rPr>
                <w:rFonts w:ascii="Arial Narrow" w:hAnsi="Arial Narrow"/>
                <w:b/>
                <w:bCs/>
                <w:sz w:val="16"/>
                <w:szCs w:val="16"/>
              </w:rPr>
              <w:t>2</w:t>
            </w:r>
          </w:p>
        </w:tc>
        <w:tc>
          <w:tcPr>
            <w:tcW w:w="520" w:type="dxa"/>
            <w:tcBorders>
              <w:top w:val="nil"/>
              <w:left w:val="single" w:sz="4" w:space="0" w:color="FF0000"/>
              <w:bottom w:val="nil"/>
              <w:right w:val="single" w:sz="4" w:space="0" w:color="FF0000"/>
            </w:tcBorders>
            <w:shd w:val="clear" w:color="000000" w:fill="E2EFDA"/>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4,</w:t>
            </w:r>
            <w:r w:rsidR="002D53C5">
              <w:rPr>
                <w:rFonts w:ascii="Arial Narrow" w:hAnsi="Arial Narrow"/>
                <w:b/>
                <w:bCs/>
                <w:sz w:val="16"/>
                <w:szCs w:val="16"/>
              </w:rPr>
              <w:t>5</w:t>
            </w:r>
          </w:p>
        </w:tc>
        <w:tc>
          <w:tcPr>
            <w:tcW w:w="897" w:type="dxa"/>
            <w:tcBorders>
              <w:top w:val="nil"/>
              <w:left w:val="nil"/>
              <w:bottom w:val="nil"/>
              <w:right w:val="nil"/>
            </w:tcBorders>
            <w:shd w:val="clear" w:color="000000" w:fill="E2EFDA"/>
            <w:noWrap/>
            <w:vAlign w:val="bottom"/>
            <w:hideMark/>
          </w:tcPr>
          <w:p w:rsidR="005F0308" w:rsidRDefault="005F0308" w:rsidP="002D53C5">
            <w:pPr>
              <w:jc w:val="right"/>
              <w:rPr>
                <w:rFonts w:ascii="Arial Narrow" w:hAnsi="Arial Narrow"/>
                <w:b/>
                <w:bCs/>
                <w:sz w:val="16"/>
                <w:szCs w:val="16"/>
              </w:rPr>
            </w:pPr>
            <w:r>
              <w:rPr>
                <w:rFonts w:ascii="Arial Narrow" w:hAnsi="Arial Narrow"/>
                <w:b/>
                <w:bCs/>
                <w:sz w:val="16"/>
                <w:szCs w:val="16"/>
              </w:rPr>
              <w:t>1</w:t>
            </w:r>
            <w:r w:rsidR="002D53C5">
              <w:rPr>
                <w:rFonts w:ascii="Arial Narrow" w:hAnsi="Arial Narrow"/>
                <w:b/>
                <w:bCs/>
                <w:sz w:val="16"/>
                <w:szCs w:val="16"/>
              </w:rPr>
              <w:t>1</w:t>
            </w:r>
            <w:r>
              <w:rPr>
                <w:rFonts w:ascii="Arial Narrow" w:hAnsi="Arial Narrow"/>
                <w:b/>
                <w:bCs/>
                <w:sz w:val="16"/>
                <w:szCs w:val="16"/>
              </w:rPr>
              <w:t>2,</w:t>
            </w:r>
            <w:r w:rsidR="002D53C5">
              <w:rPr>
                <w:rFonts w:ascii="Arial Narrow" w:hAnsi="Arial Narrow"/>
                <w:b/>
                <w:bCs/>
                <w:sz w:val="16"/>
                <w:szCs w:val="16"/>
              </w:rPr>
              <w:t>1</w:t>
            </w:r>
          </w:p>
        </w:tc>
      </w:tr>
      <w:tr w:rsidR="005F0308" w:rsidTr="004610AF">
        <w:trPr>
          <w:trHeight w:val="210"/>
        </w:trPr>
        <w:tc>
          <w:tcPr>
            <w:tcW w:w="497" w:type="dxa"/>
            <w:tcBorders>
              <w:top w:val="nil"/>
              <w:left w:val="nil"/>
              <w:bottom w:val="nil"/>
              <w:right w:val="nil"/>
            </w:tcBorders>
            <w:shd w:val="clear" w:color="auto" w:fill="auto"/>
            <w:noWrap/>
            <w:vAlign w:val="bottom"/>
            <w:hideMark/>
          </w:tcPr>
          <w:p w:rsidR="005F0308" w:rsidRDefault="005F0308">
            <w:pPr>
              <w:jc w:val="right"/>
              <w:rPr>
                <w:rFonts w:ascii="Arial Narrow" w:hAnsi="Arial Narrow"/>
                <w:b/>
                <w:bCs/>
                <w:sz w:val="16"/>
                <w:szCs w:val="16"/>
              </w:rPr>
            </w:pPr>
          </w:p>
        </w:tc>
        <w:tc>
          <w:tcPr>
            <w:tcW w:w="487" w:type="dxa"/>
            <w:tcBorders>
              <w:top w:val="nil"/>
              <w:left w:val="nil"/>
              <w:bottom w:val="nil"/>
              <w:right w:val="nil"/>
            </w:tcBorders>
            <w:shd w:val="clear" w:color="auto" w:fill="auto"/>
            <w:noWrap/>
            <w:vAlign w:val="bottom"/>
            <w:hideMark/>
          </w:tcPr>
          <w:p w:rsidR="005F0308" w:rsidRDefault="005F0308">
            <w:pPr>
              <w:rPr>
                <w:sz w:val="20"/>
                <w:szCs w:val="20"/>
              </w:rPr>
            </w:pPr>
          </w:p>
        </w:tc>
        <w:tc>
          <w:tcPr>
            <w:tcW w:w="185" w:type="dxa"/>
            <w:tcBorders>
              <w:top w:val="nil"/>
              <w:left w:val="nil"/>
              <w:bottom w:val="nil"/>
              <w:right w:val="nil"/>
            </w:tcBorders>
            <w:shd w:val="clear" w:color="auto" w:fill="auto"/>
            <w:noWrap/>
            <w:vAlign w:val="bottom"/>
            <w:hideMark/>
          </w:tcPr>
          <w:p w:rsidR="005F0308" w:rsidRDefault="005F0308">
            <w:pPr>
              <w:rPr>
                <w:sz w:val="20"/>
                <w:szCs w:val="20"/>
              </w:rPr>
            </w:pPr>
          </w:p>
        </w:tc>
        <w:tc>
          <w:tcPr>
            <w:tcW w:w="976" w:type="dxa"/>
            <w:tcBorders>
              <w:top w:val="nil"/>
              <w:left w:val="nil"/>
              <w:bottom w:val="nil"/>
              <w:right w:val="nil"/>
            </w:tcBorders>
            <w:shd w:val="clear" w:color="auto" w:fill="auto"/>
            <w:noWrap/>
            <w:vAlign w:val="center"/>
            <w:hideMark/>
          </w:tcPr>
          <w:p w:rsidR="005F0308" w:rsidRDefault="005F0308">
            <w:pPr>
              <w:rPr>
                <w:rFonts w:ascii="Arial Narrow" w:hAnsi="Arial Narrow"/>
                <w:sz w:val="16"/>
                <w:szCs w:val="16"/>
              </w:rPr>
            </w:pPr>
            <w:r>
              <w:rPr>
                <w:rFonts w:ascii="Arial Narrow" w:hAnsi="Arial Narrow"/>
                <w:sz w:val="16"/>
                <w:szCs w:val="16"/>
              </w:rPr>
              <w:t>Zamestnanci</w:t>
            </w:r>
          </w:p>
        </w:tc>
        <w:tc>
          <w:tcPr>
            <w:tcW w:w="976" w:type="dxa"/>
            <w:tcBorders>
              <w:top w:val="nil"/>
              <w:left w:val="nil"/>
              <w:bottom w:val="nil"/>
              <w:right w:val="nil"/>
            </w:tcBorders>
            <w:shd w:val="clear" w:color="auto" w:fill="auto"/>
            <w:noWrap/>
            <w:vAlign w:val="center"/>
            <w:hideMark/>
          </w:tcPr>
          <w:p w:rsidR="005F0308" w:rsidRDefault="005F0308">
            <w:pPr>
              <w:rPr>
                <w:rFonts w:ascii="Arial Narrow" w:hAnsi="Arial Narrow"/>
                <w:sz w:val="16"/>
                <w:szCs w:val="16"/>
              </w:rPr>
            </w:pPr>
          </w:p>
        </w:tc>
        <w:tc>
          <w:tcPr>
            <w:tcW w:w="836" w:type="dxa"/>
            <w:tcBorders>
              <w:top w:val="nil"/>
              <w:left w:val="nil"/>
              <w:bottom w:val="nil"/>
              <w:right w:val="nil"/>
            </w:tcBorders>
            <w:shd w:val="clear" w:color="auto" w:fill="auto"/>
            <w:noWrap/>
            <w:vAlign w:val="center"/>
            <w:hideMark/>
          </w:tcPr>
          <w:p w:rsidR="005F0308" w:rsidRDefault="005F0308">
            <w:pPr>
              <w:rPr>
                <w:sz w:val="20"/>
                <w:szCs w:val="20"/>
              </w:rPr>
            </w:pPr>
          </w:p>
        </w:tc>
        <w:tc>
          <w:tcPr>
            <w:tcW w:w="696" w:type="dxa"/>
            <w:tcBorders>
              <w:top w:val="nil"/>
              <w:left w:val="single" w:sz="4" w:space="0" w:color="FF0000"/>
              <w:bottom w:val="nil"/>
              <w:right w:val="single" w:sz="4" w:space="0" w:color="FF0000"/>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 xml:space="preserve">3 </w:t>
            </w:r>
            <w:r w:rsidR="002D53C5">
              <w:rPr>
                <w:rFonts w:ascii="Arial Narrow" w:hAnsi="Arial Narrow"/>
                <w:sz w:val="16"/>
                <w:szCs w:val="16"/>
              </w:rPr>
              <w:t>462</w:t>
            </w:r>
            <w:r>
              <w:rPr>
                <w:rFonts w:ascii="Arial Narrow" w:hAnsi="Arial Narrow"/>
                <w:sz w:val="16"/>
                <w:szCs w:val="16"/>
              </w:rPr>
              <w:t>,</w:t>
            </w:r>
            <w:r w:rsidR="002D53C5">
              <w:rPr>
                <w:rFonts w:ascii="Arial Narrow" w:hAnsi="Arial Narrow"/>
                <w:sz w:val="16"/>
                <w:szCs w:val="16"/>
              </w:rPr>
              <w:t>3</w:t>
            </w:r>
          </w:p>
        </w:tc>
        <w:tc>
          <w:tcPr>
            <w:tcW w:w="734" w:type="dxa"/>
            <w:tcBorders>
              <w:top w:val="nil"/>
              <w:left w:val="nil"/>
              <w:bottom w:val="nil"/>
              <w:right w:val="single" w:sz="4" w:space="0" w:color="FF0000"/>
            </w:tcBorders>
            <w:shd w:val="clear" w:color="auto" w:fill="auto"/>
            <w:noWrap/>
            <w:vAlign w:val="bottom"/>
            <w:hideMark/>
          </w:tcPr>
          <w:p w:rsidR="005F0308" w:rsidRDefault="002D53C5" w:rsidP="002D53C5">
            <w:pPr>
              <w:jc w:val="right"/>
              <w:rPr>
                <w:rFonts w:ascii="Arial Narrow" w:hAnsi="Arial Narrow"/>
                <w:sz w:val="16"/>
                <w:szCs w:val="16"/>
              </w:rPr>
            </w:pPr>
            <w:r>
              <w:rPr>
                <w:rFonts w:ascii="Arial Narrow" w:hAnsi="Arial Narrow"/>
                <w:sz w:val="16"/>
                <w:szCs w:val="16"/>
              </w:rPr>
              <w:t>2</w:t>
            </w:r>
            <w:r w:rsidR="005F0308">
              <w:rPr>
                <w:rFonts w:ascii="Arial Narrow" w:hAnsi="Arial Narrow"/>
                <w:sz w:val="16"/>
                <w:szCs w:val="16"/>
              </w:rPr>
              <w:t xml:space="preserve"> </w:t>
            </w:r>
            <w:r>
              <w:rPr>
                <w:rFonts w:ascii="Arial Narrow" w:hAnsi="Arial Narrow"/>
                <w:sz w:val="16"/>
                <w:szCs w:val="16"/>
              </w:rPr>
              <w:t>988</w:t>
            </w:r>
            <w:r w:rsidR="005F0308">
              <w:rPr>
                <w:rFonts w:ascii="Arial Narrow" w:hAnsi="Arial Narrow"/>
                <w:sz w:val="16"/>
                <w:szCs w:val="16"/>
              </w:rPr>
              <w:t>,</w:t>
            </w:r>
            <w:r>
              <w:rPr>
                <w:rFonts w:ascii="Arial Narrow" w:hAnsi="Arial Narrow"/>
                <w:sz w:val="16"/>
                <w:szCs w:val="16"/>
              </w:rPr>
              <w:t>6</w:t>
            </w:r>
          </w:p>
        </w:tc>
        <w:tc>
          <w:tcPr>
            <w:tcW w:w="850" w:type="dxa"/>
            <w:tcBorders>
              <w:top w:val="nil"/>
              <w:left w:val="nil"/>
              <w:bottom w:val="nil"/>
              <w:right w:val="single" w:sz="4" w:space="0" w:color="FF0000"/>
            </w:tcBorders>
            <w:shd w:val="clear" w:color="auto" w:fill="auto"/>
            <w:noWrap/>
            <w:vAlign w:val="bottom"/>
            <w:hideMark/>
          </w:tcPr>
          <w:p w:rsidR="005F0308" w:rsidRDefault="002D53C5" w:rsidP="002D53C5">
            <w:pPr>
              <w:jc w:val="right"/>
              <w:rPr>
                <w:rFonts w:ascii="Arial Narrow" w:hAnsi="Arial Narrow"/>
                <w:sz w:val="16"/>
                <w:szCs w:val="16"/>
              </w:rPr>
            </w:pPr>
            <w:r>
              <w:rPr>
                <w:rFonts w:ascii="Arial Narrow" w:hAnsi="Arial Narrow"/>
                <w:sz w:val="16"/>
                <w:szCs w:val="16"/>
              </w:rPr>
              <w:t>634</w:t>
            </w:r>
            <w:r w:rsidR="005F0308">
              <w:rPr>
                <w:rFonts w:ascii="Arial Narrow" w:hAnsi="Arial Narrow"/>
                <w:sz w:val="16"/>
                <w:szCs w:val="16"/>
              </w:rPr>
              <w:t>,</w:t>
            </w:r>
            <w:r>
              <w:rPr>
                <w:rFonts w:ascii="Arial Narrow" w:hAnsi="Arial Narrow"/>
                <w:sz w:val="16"/>
                <w:szCs w:val="16"/>
              </w:rPr>
              <w:t>8</w:t>
            </w:r>
          </w:p>
        </w:tc>
        <w:tc>
          <w:tcPr>
            <w:tcW w:w="709" w:type="dxa"/>
            <w:tcBorders>
              <w:top w:val="nil"/>
              <w:left w:val="nil"/>
              <w:bottom w:val="nil"/>
              <w:right w:val="single" w:sz="4" w:space="0" w:color="FF0000"/>
            </w:tcBorders>
            <w:shd w:val="clear" w:color="auto" w:fill="auto"/>
            <w:noWrap/>
            <w:vAlign w:val="bottom"/>
            <w:hideMark/>
          </w:tcPr>
          <w:p w:rsidR="005F0308" w:rsidRDefault="002D53C5">
            <w:pPr>
              <w:jc w:val="right"/>
              <w:rPr>
                <w:rFonts w:ascii="Arial Narrow" w:hAnsi="Arial Narrow"/>
                <w:sz w:val="16"/>
                <w:szCs w:val="16"/>
              </w:rPr>
            </w:pPr>
            <w:r>
              <w:rPr>
                <w:rFonts w:ascii="Arial Narrow" w:hAnsi="Arial Narrow"/>
                <w:sz w:val="16"/>
                <w:szCs w:val="16"/>
              </w:rPr>
              <w:t>874</w:t>
            </w:r>
            <w:r w:rsidR="005F0308">
              <w:rPr>
                <w:rFonts w:ascii="Arial Narrow" w:hAnsi="Arial Narrow"/>
                <w:sz w:val="16"/>
                <w:szCs w:val="16"/>
              </w:rPr>
              <w:t>,1</w:t>
            </w:r>
          </w:p>
        </w:tc>
        <w:tc>
          <w:tcPr>
            <w:tcW w:w="709" w:type="dxa"/>
            <w:tcBorders>
              <w:top w:val="nil"/>
              <w:left w:val="nil"/>
              <w:bottom w:val="nil"/>
              <w:right w:val="nil"/>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1</w:t>
            </w:r>
            <w:r w:rsidR="002D53C5">
              <w:rPr>
                <w:rFonts w:ascii="Arial Narrow" w:hAnsi="Arial Narrow"/>
                <w:sz w:val="16"/>
                <w:szCs w:val="16"/>
              </w:rPr>
              <w:t>9</w:t>
            </w:r>
            <w:r>
              <w:rPr>
                <w:rFonts w:ascii="Arial Narrow" w:hAnsi="Arial Narrow"/>
                <w:sz w:val="16"/>
                <w:szCs w:val="16"/>
              </w:rPr>
              <w:t>,</w:t>
            </w:r>
            <w:r w:rsidR="002D53C5">
              <w:rPr>
                <w:rFonts w:ascii="Arial Narrow" w:hAnsi="Arial Narrow"/>
                <w:sz w:val="16"/>
                <w:szCs w:val="16"/>
              </w:rPr>
              <w:t>2</w:t>
            </w:r>
          </w:p>
        </w:tc>
        <w:tc>
          <w:tcPr>
            <w:tcW w:w="520" w:type="dxa"/>
            <w:tcBorders>
              <w:top w:val="nil"/>
              <w:left w:val="single" w:sz="4" w:space="0" w:color="FF0000"/>
              <w:bottom w:val="nil"/>
              <w:right w:val="single" w:sz="4" w:space="0" w:color="FF0000"/>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3,</w:t>
            </w:r>
            <w:r w:rsidR="002D53C5">
              <w:rPr>
                <w:rFonts w:ascii="Arial Narrow" w:hAnsi="Arial Narrow"/>
                <w:sz w:val="16"/>
                <w:szCs w:val="16"/>
              </w:rPr>
              <w:t>7</w:t>
            </w:r>
          </w:p>
        </w:tc>
        <w:tc>
          <w:tcPr>
            <w:tcW w:w="897" w:type="dxa"/>
            <w:tcBorders>
              <w:top w:val="nil"/>
              <w:left w:val="nil"/>
              <w:bottom w:val="nil"/>
              <w:right w:val="nil"/>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1</w:t>
            </w:r>
            <w:r w:rsidR="002D53C5">
              <w:rPr>
                <w:rFonts w:ascii="Arial Narrow" w:hAnsi="Arial Narrow"/>
                <w:sz w:val="16"/>
                <w:szCs w:val="16"/>
              </w:rPr>
              <w:t>14</w:t>
            </w:r>
            <w:r>
              <w:rPr>
                <w:rFonts w:ascii="Arial Narrow" w:hAnsi="Arial Narrow"/>
                <w:sz w:val="16"/>
                <w:szCs w:val="16"/>
              </w:rPr>
              <w:t>,</w:t>
            </w:r>
            <w:r w:rsidR="002D53C5">
              <w:rPr>
                <w:rFonts w:ascii="Arial Narrow" w:hAnsi="Arial Narrow"/>
                <w:sz w:val="16"/>
                <w:szCs w:val="16"/>
              </w:rPr>
              <w:t>0</w:t>
            </w:r>
          </w:p>
        </w:tc>
      </w:tr>
      <w:tr w:rsidR="005F0308" w:rsidTr="004610AF">
        <w:trPr>
          <w:trHeight w:val="210"/>
        </w:trPr>
        <w:tc>
          <w:tcPr>
            <w:tcW w:w="497" w:type="dxa"/>
            <w:tcBorders>
              <w:top w:val="nil"/>
              <w:left w:val="nil"/>
              <w:bottom w:val="nil"/>
              <w:right w:val="nil"/>
            </w:tcBorders>
            <w:shd w:val="clear" w:color="auto" w:fill="auto"/>
            <w:noWrap/>
            <w:vAlign w:val="bottom"/>
            <w:hideMark/>
          </w:tcPr>
          <w:p w:rsidR="005F0308" w:rsidRDefault="005F0308">
            <w:pPr>
              <w:jc w:val="right"/>
              <w:rPr>
                <w:rFonts w:ascii="Arial Narrow" w:hAnsi="Arial Narrow"/>
                <w:sz w:val="16"/>
                <w:szCs w:val="16"/>
              </w:rPr>
            </w:pPr>
          </w:p>
        </w:tc>
        <w:tc>
          <w:tcPr>
            <w:tcW w:w="487" w:type="dxa"/>
            <w:tcBorders>
              <w:top w:val="nil"/>
              <w:left w:val="nil"/>
              <w:bottom w:val="nil"/>
              <w:right w:val="nil"/>
            </w:tcBorders>
            <w:shd w:val="clear" w:color="auto" w:fill="auto"/>
            <w:noWrap/>
            <w:vAlign w:val="bottom"/>
            <w:hideMark/>
          </w:tcPr>
          <w:p w:rsidR="005F0308" w:rsidRDefault="005F0308">
            <w:pPr>
              <w:rPr>
                <w:sz w:val="20"/>
                <w:szCs w:val="20"/>
              </w:rPr>
            </w:pPr>
          </w:p>
        </w:tc>
        <w:tc>
          <w:tcPr>
            <w:tcW w:w="185" w:type="dxa"/>
            <w:tcBorders>
              <w:top w:val="nil"/>
              <w:left w:val="nil"/>
              <w:bottom w:val="nil"/>
              <w:right w:val="nil"/>
            </w:tcBorders>
            <w:shd w:val="clear" w:color="auto" w:fill="auto"/>
            <w:noWrap/>
            <w:vAlign w:val="bottom"/>
            <w:hideMark/>
          </w:tcPr>
          <w:p w:rsidR="005F0308" w:rsidRDefault="005F0308">
            <w:pPr>
              <w:rPr>
                <w:sz w:val="20"/>
                <w:szCs w:val="20"/>
              </w:rPr>
            </w:pPr>
          </w:p>
        </w:tc>
        <w:tc>
          <w:tcPr>
            <w:tcW w:w="2788" w:type="dxa"/>
            <w:gridSpan w:val="3"/>
            <w:tcBorders>
              <w:top w:val="nil"/>
              <w:left w:val="nil"/>
              <w:bottom w:val="nil"/>
              <w:right w:val="nil"/>
            </w:tcBorders>
            <w:shd w:val="clear" w:color="auto" w:fill="auto"/>
            <w:noWrap/>
            <w:vAlign w:val="center"/>
            <w:hideMark/>
          </w:tcPr>
          <w:p w:rsidR="005F0308" w:rsidRDefault="005F0308">
            <w:pPr>
              <w:rPr>
                <w:rFonts w:ascii="Arial Narrow" w:hAnsi="Arial Narrow"/>
                <w:sz w:val="16"/>
                <w:szCs w:val="16"/>
              </w:rPr>
            </w:pPr>
            <w:r>
              <w:rPr>
                <w:rFonts w:ascii="Arial Narrow" w:hAnsi="Arial Narrow"/>
                <w:sz w:val="16"/>
                <w:szCs w:val="16"/>
              </w:rPr>
              <w:t>Samostatne zárobkovo činné osoby</w:t>
            </w:r>
          </w:p>
        </w:tc>
        <w:tc>
          <w:tcPr>
            <w:tcW w:w="696" w:type="dxa"/>
            <w:tcBorders>
              <w:top w:val="nil"/>
              <w:left w:val="single" w:sz="4" w:space="0" w:color="FF0000"/>
              <w:bottom w:val="nil"/>
              <w:right w:val="single" w:sz="4" w:space="0" w:color="FF0000"/>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6</w:t>
            </w:r>
            <w:r w:rsidR="002D53C5">
              <w:rPr>
                <w:rFonts w:ascii="Arial Narrow" w:hAnsi="Arial Narrow"/>
                <w:sz w:val="16"/>
                <w:szCs w:val="16"/>
              </w:rPr>
              <w:t>3</w:t>
            </w:r>
            <w:r>
              <w:rPr>
                <w:rFonts w:ascii="Arial Narrow" w:hAnsi="Arial Narrow"/>
                <w:sz w:val="16"/>
                <w:szCs w:val="16"/>
              </w:rPr>
              <w:t>3,8</w:t>
            </w:r>
          </w:p>
        </w:tc>
        <w:tc>
          <w:tcPr>
            <w:tcW w:w="734" w:type="dxa"/>
            <w:tcBorders>
              <w:top w:val="nil"/>
              <w:left w:val="nil"/>
              <w:bottom w:val="nil"/>
              <w:right w:val="single" w:sz="4" w:space="0" w:color="FF0000"/>
            </w:tcBorders>
            <w:shd w:val="clear" w:color="auto" w:fill="auto"/>
            <w:noWrap/>
            <w:vAlign w:val="bottom"/>
            <w:hideMark/>
          </w:tcPr>
          <w:p w:rsidR="005F0308" w:rsidRDefault="002D53C5" w:rsidP="002D53C5">
            <w:pPr>
              <w:jc w:val="right"/>
              <w:rPr>
                <w:rFonts w:ascii="Arial Narrow" w:hAnsi="Arial Narrow"/>
                <w:sz w:val="16"/>
                <w:szCs w:val="16"/>
              </w:rPr>
            </w:pPr>
            <w:r>
              <w:rPr>
                <w:rFonts w:ascii="Arial Narrow" w:hAnsi="Arial Narrow"/>
                <w:sz w:val="16"/>
                <w:szCs w:val="16"/>
              </w:rPr>
              <w:t>547</w:t>
            </w:r>
            <w:r w:rsidR="005F0308">
              <w:rPr>
                <w:rFonts w:ascii="Arial Narrow" w:hAnsi="Arial Narrow"/>
                <w:sz w:val="16"/>
                <w:szCs w:val="16"/>
              </w:rPr>
              <w:t>,</w:t>
            </w:r>
            <w:r>
              <w:rPr>
                <w:rFonts w:ascii="Arial Narrow" w:hAnsi="Arial Narrow"/>
                <w:sz w:val="16"/>
                <w:szCs w:val="16"/>
              </w:rPr>
              <w:t>1</w:t>
            </w:r>
          </w:p>
        </w:tc>
        <w:tc>
          <w:tcPr>
            <w:tcW w:w="850" w:type="dxa"/>
            <w:tcBorders>
              <w:top w:val="nil"/>
              <w:left w:val="nil"/>
              <w:bottom w:val="nil"/>
              <w:right w:val="single" w:sz="4" w:space="0" w:color="FF0000"/>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11</w:t>
            </w:r>
            <w:r w:rsidR="002D53C5">
              <w:rPr>
                <w:rFonts w:ascii="Arial Narrow" w:hAnsi="Arial Narrow"/>
                <w:sz w:val="16"/>
                <w:szCs w:val="16"/>
              </w:rPr>
              <w:t>6</w:t>
            </w:r>
            <w:r>
              <w:rPr>
                <w:rFonts w:ascii="Arial Narrow" w:hAnsi="Arial Narrow"/>
                <w:sz w:val="16"/>
                <w:szCs w:val="16"/>
              </w:rPr>
              <w:t>,</w:t>
            </w:r>
            <w:r w:rsidR="002D53C5">
              <w:rPr>
                <w:rFonts w:ascii="Arial Narrow" w:hAnsi="Arial Narrow"/>
                <w:sz w:val="16"/>
                <w:szCs w:val="16"/>
              </w:rPr>
              <w:t>2</w:t>
            </w:r>
          </w:p>
        </w:tc>
        <w:tc>
          <w:tcPr>
            <w:tcW w:w="709" w:type="dxa"/>
            <w:tcBorders>
              <w:top w:val="nil"/>
              <w:left w:val="nil"/>
              <w:bottom w:val="nil"/>
              <w:right w:val="single" w:sz="4" w:space="0" w:color="FF0000"/>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1</w:t>
            </w:r>
            <w:r w:rsidR="002D53C5">
              <w:rPr>
                <w:rFonts w:ascii="Arial Narrow" w:hAnsi="Arial Narrow"/>
                <w:sz w:val="16"/>
                <w:szCs w:val="16"/>
              </w:rPr>
              <w:t>60</w:t>
            </w:r>
            <w:r>
              <w:rPr>
                <w:rFonts w:ascii="Arial Narrow" w:hAnsi="Arial Narrow"/>
                <w:sz w:val="16"/>
                <w:szCs w:val="16"/>
              </w:rPr>
              <w:t>,</w:t>
            </w:r>
            <w:r w:rsidR="002D53C5">
              <w:rPr>
                <w:rFonts w:ascii="Arial Narrow" w:hAnsi="Arial Narrow"/>
                <w:sz w:val="16"/>
                <w:szCs w:val="16"/>
              </w:rPr>
              <w:t>0</w:t>
            </w:r>
          </w:p>
        </w:tc>
        <w:tc>
          <w:tcPr>
            <w:tcW w:w="709" w:type="dxa"/>
            <w:tcBorders>
              <w:top w:val="nil"/>
              <w:left w:val="nil"/>
              <w:bottom w:val="nil"/>
              <w:right w:val="nil"/>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3,</w:t>
            </w:r>
            <w:r w:rsidR="002D53C5">
              <w:rPr>
                <w:rFonts w:ascii="Arial Narrow" w:hAnsi="Arial Narrow"/>
                <w:sz w:val="16"/>
                <w:szCs w:val="16"/>
              </w:rPr>
              <w:t>5</w:t>
            </w:r>
          </w:p>
        </w:tc>
        <w:tc>
          <w:tcPr>
            <w:tcW w:w="520" w:type="dxa"/>
            <w:tcBorders>
              <w:top w:val="nil"/>
              <w:left w:val="single" w:sz="4" w:space="0" w:color="FF0000"/>
              <w:bottom w:val="nil"/>
              <w:right w:val="single" w:sz="4" w:space="0" w:color="FF0000"/>
            </w:tcBorders>
            <w:shd w:val="clear" w:color="auto" w:fill="auto"/>
            <w:noWrap/>
            <w:vAlign w:val="bottom"/>
            <w:hideMark/>
          </w:tcPr>
          <w:p w:rsidR="005F0308" w:rsidRDefault="005F0308">
            <w:pPr>
              <w:jc w:val="right"/>
              <w:rPr>
                <w:rFonts w:ascii="Arial Narrow" w:hAnsi="Arial Narrow"/>
                <w:sz w:val="16"/>
                <w:szCs w:val="16"/>
              </w:rPr>
            </w:pPr>
            <w:r>
              <w:rPr>
                <w:rFonts w:ascii="Arial Narrow" w:hAnsi="Arial Narrow"/>
                <w:sz w:val="16"/>
                <w:szCs w:val="16"/>
              </w:rPr>
              <w:t>0,7</w:t>
            </w:r>
          </w:p>
        </w:tc>
        <w:tc>
          <w:tcPr>
            <w:tcW w:w="897" w:type="dxa"/>
            <w:tcBorders>
              <w:top w:val="nil"/>
              <w:left w:val="nil"/>
              <w:bottom w:val="nil"/>
              <w:right w:val="nil"/>
            </w:tcBorders>
            <w:shd w:val="clear" w:color="auto" w:fill="auto"/>
            <w:noWrap/>
            <w:vAlign w:val="bottom"/>
            <w:hideMark/>
          </w:tcPr>
          <w:p w:rsidR="005F0308" w:rsidRDefault="005F0308" w:rsidP="002D53C5">
            <w:pPr>
              <w:jc w:val="right"/>
              <w:rPr>
                <w:rFonts w:ascii="Arial Narrow" w:hAnsi="Arial Narrow"/>
                <w:sz w:val="16"/>
                <w:szCs w:val="16"/>
              </w:rPr>
            </w:pPr>
            <w:r>
              <w:rPr>
                <w:rFonts w:ascii="Arial Narrow" w:hAnsi="Arial Narrow"/>
                <w:sz w:val="16"/>
                <w:szCs w:val="16"/>
              </w:rPr>
              <w:t>10</w:t>
            </w:r>
            <w:r w:rsidR="002D53C5">
              <w:rPr>
                <w:rFonts w:ascii="Arial Narrow" w:hAnsi="Arial Narrow"/>
                <w:sz w:val="16"/>
                <w:szCs w:val="16"/>
              </w:rPr>
              <w:t>3</w:t>
            </w:r>
            <w:r>
              <w:rPr>
                <w:rFonts w:ascii="Arial Narrow" w:hAnsi="Arial Narrow"/>
                <w:sz w:val="16"/>
                <w:szCs w:val="16"/>
              </w:rPr>
              <w:t>,</w:t>
            </w:r>
            <w:r w:rsidR="002D53C5">
              <w:rPr>
                <w:rFonts w:ascii="Arial Narrow" w:hAnsi="Arial Narrow"/>
                <w:sz w:val="16"/>
                <w:szCs w:val="16"/>
              </w:rPr>
              <w:t>3</w:t>
            </w:r>
          </w:p>
        </w:tc>
      </w:tr>
      <w:tr w:rsidR="005F0308" w:rsidTr="004610AF">
        <w:trPr>
          <w:trHeight w:val="210"/>
        </w:trPr>
        <w:tc>
          <w:tcPr>
            <w:tcW w:w="497" w:type="dxa"/>
            <w:tcBorders>
              <w:top w:val="nil"/>
              <w:left w:val="nil"/>
              <w:bottom w:val="nil"/>
              <w:right w:val="nil"/>
            </w:tcBorders>
            <w:shd w:val="clear" w:color="auto" w:fill="auto"/>
            <w:noWrap/>
            <w:vAlign w:val="bottom"/>
            <w:hideMark/>
          </w:tcPr>
          <w:p w:rsidR="005F0308" w:rsidRDefault="005F0308">
            <w:pPr>
              <w:jc w:val="right"/>
              <w:rPr>
                <w:rFonts w:ascii="Arial Narrow" w:hAnsi="Arial Narrow"/>
                <w:sz w:val="16"/>
                <w:szCs w:val="16"/>
              </w:rPr>
            </w:pPr>
          </w:p>
        </w:tc>
        <w:tc>
          <w:tcPr>
            <w:tcW w:w="487" w:type="dxa"/>
            <w:tcBorders>
              <w:top w:val="nil"/>
              <w:left w:val="nil"/>
              <w:bottom w:val="nil"/>
              <w:right w:val="nil"/>
            </w:tcBorders>
            <w:shd w:val="clear" w:color="auto" w:fill="auto"/>
            <w:noWrap/>
            <w:vAlign w:val="bottom"/>
            <w:hideMark/>
          </w:tcPr>
          <w:p w:rsidR="005F0308" w:rsidRDefault="005F0308">
            <w:pPr>
              <w:rPr>
                <w:sz w:val="20"/>
                <w:szCs w:val="20"/>
              </w:rPr>
            </w:pPr>
          </w:p>
        </w:tc>
        <w:tc>
          <w:tcPr>
            <w:tcW w:w="185" w:type="dxa"/>
            <w:tcBorders>
              <w:top w:val="nil"/>
              <w:left w:val="nil"/>
              <w:bottom w:val="nil"/>
              <w:right w:val="nil"/>
            </w:tcBorders>
            <w:shd w:val="clear" w:color="auto" w:fill="auto"/>
            <w:noWrap/>
            <w:vAlign w:val="bottom"/>
            <w:hideMark/>
          </w:tcPr>
          <w:p w:rsidR="005F0308" w:rsidRDefault="005F0308">
            <w:pPr>
              <w:rPr>
                <w:sz w:val="20"/>
                <w:szCs w:val="20"/>
              </w:rPr>
            </w:pPr>
          </w:p>
        </w:tc>
        <w:tc>
          <w:tcPr>
            <w:tcW w:w="2788" w:type="dxa"/>
            <w:gridSpan w:val="3"/>
            <w:tcBorders>
              <w:top w:val="nil"/>
              <w:left w:val="nil"/>
              <w:bottom w:val="nil"/>
              <w:right w:val="nil"/>
            </w:tcBorders>
            <w:shd w:val="clear" w:color="auto" w:fill="auto"/>
            <w:noWrap/>
            <w:vAlign w:val="center"/>
            <w:hideMark/>
          </w:tcPr>
          <w:p w:rsidR="005F0308" w:rsidRDefault="005F0308">
            <w:pPr>
              <w:rPr>
                <w:rFonts w:ascii="Arial Narrow" w:hAnsi="Arial Narrow"/>
                <w:sz w:val="16"/>
                <w:szCs w:val="16"/>
              </w:rPr>
            </w:pPr>
            <w:r>
              <w:rPr>
                <w:rFonts w:ascii="Arial Narrow" w:hAnsi="Arial Narrow"/>
                <w:sz w:val="16"/>
                <w:szCs w:val="16"/>
              </w:rPr>
              <w:t>Iné osoby (dobrovoľní platitelia)</w:t>
            </w:r>
          </w:p>
        </w:tc>
        <w:tc>
          <w:tcPr>
            <w:tcW w:w="696" w:type="dxa"/>
            <w:tcBorders>
              <w:top w:val="nil"/>
              <w:left w:val="single" w:sz="4" w:space="0" w:color="FF0000"/>
              <w:bottom w:val="nil"/>
              <w:right w:val="single" w:sz="4" w:space="0" w:color="FF0000"/>
            </w:tcBorders>
            <w:shd w:val="clear" w:color="auto" w:fill="auto"/>
            <w:noWrap/>
            <w:vAlign w:val="bottom"/>
            <w:hideMark/>
          </w:tcPr>
          <w:p w:rsidR="005F0308" w:rsidRDefault="00CF1E33" w:rsidP="00CF1E33">
            <w:pPr>
              <w:jc w:val="right"/>
              <w:rPr>
                <w:rFonts w:ascii="Arial Narrow" w:hAnsi="Arial Narrow"/>
                <w:sz w:val="16"/>
                <w:szCs w:val="16"/>
              </w:rPr>
            </w:pPr>
            <w:r>
              <w:rPr>
                <w:rFonts w:ascii="Arial Narrow" w:hAnsi="Arial Narrow"/>
                <w:sz w:val="16"/>
                <w:szCs w:val="16"/>
              </w:rPr>
              <w:t>85</w:t>
            </w:r>
            <w:r w:rsidR="005F0308">
              <w:rPr>
                <w:rFonts w:ascii="Arial Narrow" w:hAnsi="Arial Narrow"/>
                <w:sz w:val="16"/>
                <w:szCs w:val="16"/>
              </w:rPr>
              <w:t>,</w:t>
            </w:r>
            <w:r>
              <w:rPr>
                <w:rFonts w:ascii="Arial Narrow" w:hAnsi="Arial Narrow"/>
                <w:sz w:val="16"/>
                <w:szCs w:val="16"/>
              </w:rPr>
              <w:t>1</w:t>
            </w:r>
          </w:p>
        </w:tc>
        <w:tc>
          <w:tcPr>
            <w:tcW w:w="734" w:type="dxa"/>
            <w:tcBorders>
              <w:top w:val="nil"/>
              <w:left w:val="nil"/>
              <w:bottom w:val="nil"/>
              <w:right w:val="single" w:sz="4" w:space="0" w:color="FF0000"/>
            </w:tcBorders>
            <w:shd w:val="clear" w:color="auto" w:fill="auto"/>
            <w:noWrap/>
            <w:vAlign w:val="bottom"/>
            <w:hideMark/>
          </w:tcPr>
          <w:p w:rsidR="005F0308" w:rsidRDefault="005F0308" w:rsidP="00CF1E33">
            <w:pPr>
              <w:jc w:val="right"/>
              <w:rPr>
                <w:rFonts w:ascii="Arial Narrow" w:hAnsi="Arial Narrow"/>
                <w:sz w:val="16"/>
                <w:szCs w:val="16"/>
              </w:rPr>
            </w:pPr>
            <w:r>
              <w:rPr>
                <w:rFonts w:ascii="Arial Narrow" w:hAnsi="Arial Narrow"/>
                <w:sz w:val="16"/>
                <w:szCs w:val="16"/>
              </w:rPr>
              <w:t>7</w:t>
            </w:r>
            <w:r w:rsidR="00CF1E33">
              <w:rPr>
                <w:rFonts w:ascii="Arial Narrow" w:hAnsi="Arial Narrow"/>
                <w:sz w:val="16"/>
                <w:szCs w:val="16"/>
              </w:rPr>
              <w:t>3</w:t>
            </w:r>
            <w:r>
              <w:rPr>
                <w:rFonts w:ascii="Arial Narrow" w:hAnsi="Arial Narrow"/>
                <w:sz w:val="16"/>
                <w:szCs w:val="16"/>
              </w:rPr>
              <w:t>,5</w:t>
            </w:r>
          </w:p>
        </w:tc>
        <w:tc>
          <w:tcPr>
            <w:tcW w:w="850" w:type="dxa"/>
            <w:tcBorders>
              <w:top w:val="nil"/>
              <w:left w:val="nil"/>
              <w:bottom w:val="nil"/>
              <w:right w:val="single" w:sz="4" w:space="0" w:color="FF0000"/>
            </w:tcBorders>
            <w:shd w:val="clear" w:color="auto" w:fill="auto"/>
            <w:noWrap/>
            <w:vAlign w:val="bottom"/>
            <w:hideMark/>
          </w:tcPr>
          <w:p w:rsidR="005F0308" w:rsidRDefault="005F0308" w:rsidP="00CF1E33">
            <w:pPr>
              <w:jc w:val="right"/>
              <w:rPr>
                <w:rFonts w:ascii="Arial Narrow" w:hAnsi="Arial Narrow"/>
                <w:sz w:val="16"/>
                <w:szCs w:val="16"/>
              </w:rPr>
            </w:pPr>
            <w:r>
              <w:rPr>
                <w:rFonts w:ascii="Arial Narrow" w:hAnsi="Arial Narrow"/>
                <w:sz w:val="16"/>
                <w:szCs w:val="16"/>
              </w:rPr>
              <w:t>1</w:t>
            </w:r>
            <w:r w:rsidR="00CF1E33">
              <w:rPr>
                <w:rFonts w:ascii="Arial Narrow" w:hAnsi="Arial Narrow"/>
                <w:sz w:val="16"/>
                <w:szCs w:val="16"/>
              </w:rPr>
              <w:t>5</w:t>
            </w:r>
            <w:r>
              <w:rPr>
                <w:rFonts w:ascii="Arial Narrow" w:hAnsi="Arial Narrow"/>
                <w:sz w:val="16"/>
                <w:szCs w:val="16"/>
              </w:rPr>
              <w:t>,</w:t>
            </w:r>
            <w:r w:rsidR="00CF1E33">
              <w:rPr>
                <w:rFonts w:ascii="Arial Narrow" w:hAnsi="Arial Narrow"/>
                <w:sz w:val="16"/>
                <w:szCs w:val="16"/>
              </w:rPr>
              <w:t>6</w:t>
            </w:r>
          </w:p>
        </w:tc>
        <w:tc>
          <w:tcPr>
            <w:tcW w:w="709" w:type="dxa"/>
            <w:tcBorders>
              <w:top w:val="nil"/>
              <w:left w:val="nil"/>
              <w:bottom w:val="nil"/>
              <w:right w:val="single" w:sz="4" w:space="0" w:color="FF0000"/>
            </w:tcBorders>
            <w:shd w:val="clear" w:color="auto" w:fill="auto"/>
            <w:noWrap/>
            <w:vAlign w:val="bottom"/>
            <w:hideMark/>
          </w:tcPr>
          <w:p w:rsidR="005F0308" w:rsidRDefault="005F0308" w:rsidP="00CF1E33">
            <w:pPr>
              <w:jc w:val="right"/>
              <w:rPr>
                <w:rFonts w:ascii="Arial Narrow" w:hAnsi="Arial Narrow"/>
                <w:sz w:val="16"/>
                <w:szCs w:val="16"/>
              </w:rPr>
            </w:pPr>
            <w:r>
              <w:rPr>
                <w:rFonts w:ascii="Arial Narrow" w:hAnsi="Arial Narrow"/>
                <w:sz w:val="16"/>
                <w:szCs w:val="16"/>
              </w:rPr>
              <w:t>2</w:t>
            </w:r>
            <w:r w:rsidR="00CF1E33">
              <w:rPr>
                <w:rFonts w:ascii="Arial Narrow" w:hAnsi="Arial Narrow"/>
                <w:sz w:val="16"/>
                <w:szCs w:val="16"/>
              </w:rPr>
              <w:t>1</w:t>
            </w:r>
            <w:r>
              <w:rPr>
                <w:rFonts w:ascii="Arial Narrow" w:hAnsi="Arial Narrow"/>
                <w:sz w:val="16"/>
                <w:szCs w:val="16"/>
              </w:rPr>
              <w:t>,</w:t>
            </w:r>
            <w:r w:rsidR="00CF1E33">
              <w:rPr>
                <w:rFonts w:ascii="Arial Narrow" w:hAnsi="Arial Narrow"/>
                <w:sz w:val="16"/>
                <w:szCs w:val="16"/>
              </w:rPr>
              <w:t>5</w:t>
            </w:r>
          </w:p>
        </w:tc>
        <w:tc>
          <w:tcPr>
            <w:tcW w:w="709" w:type="dxa"/>
            <w:tcBorders>
              <w:top w:val="nil"/>
              <w:left w:val="nil"/>
              <w:bottom w:val="nil"/>
              <w:right w:val="nil"/>
            </w:tcBorders>
            <w:shd w:val="clear" w:color="auto" w:fill="auto"/>
            <w:noWrap/>
            <w:vAlign w:val="bottom"/>
            <w:hideMark/>
          </w:tcPr>
          <w:p w:rsidR="005F0308" w:rsidRDefault="005F0308">
            <w:pPr>
              <w:jc w:val="right"/>
              <w:rPr>
                <w:rFonts w:ascii="Arial Narrow" w:hAnsi="Arial Narrow"/>
                <w:sz w:val="16"/>
                <w:szCs w:val="16"/>
              </w:rPr>
            </w:pPr>
            <w:r>
              <w:rPr>
                <w:rFonts w:ascii="Arial Narrow" w:hAnsi="Arial Narrow"/>
                <w:sz w:val="16"/>
                <w:szCs w:val="16"/>
              </w:rPr>
              <w:t>0,5</w:t>
            </w:r>
          </w:p>
        </w:tc>
        <w:tc>
          <w:tcPr>
            <w:tcW w:w="520" w:type="dxa"/>
            <w:tcBorders>
              <w:top w:val="nil"/>
              <w:left w:val="single" w:sz="4" w:space="0" w:color="FF0000"/>
              <w:bottom w:val="nil"/>
              <w:right w:val="single" w:sz="4" w:space="0" w:color="FF0000"/>
            </w:tcBorders>
            <w:shd w:val="clear" w:color="auto" w:fill="auto"/>
            <w:noWrap/>
            <w:vAlign w:val="bottom"/>
            <w:hideMark/>
          </w:tcPr>
          <w:p w:rsidR="005F0308" w:rsidRDefault="005F0308">
            <w:pPr>
              <w:jc w:val="right"/>
              <w:rPr>
                <w:rFonts w:ascii="Arial Narrow" w:hAnsi="Arial Narrow"/>
                <w:sz w:val="16"/>
                <w:szCs w:val="16"/>
              </w:rPr>
            </w:pPr>
            <w:r>
              <w:rPr>
                <w:rFonts w:ascii="Arial Narrow" w:hAnsi="Arial Narrow"/>
                <w:sz w:val="16"/>
                <w:szCs w:val="16"/>
              </w:rPr>
              <w:t>0,1</w:t>
            </w:r>
          </w:p>
        </w:tc>
        <w:tc>
          <w:tcPr>
            <w:tcW w:w="897" w:type="dxa"/>
            <w:tcBorders>
              <w:top w:val="nil"/>
              <w:left w:val="nil"/>
              <w:bottom w:val="nil"/>
              <w:right w:val="nil"/>
            </w:tcBorders>
            <w:shd w:val="clear" w:color="auto" w:fill="auto"/>
            <w:noWrap/>
            <w:vAlign w:val="bottom"/>
            <w:hideMark/>
          </w:tcPr>
          <w:p w:rsidR="005F0308" w:rsidRDefault="00CF1E33" w:rsidP="004610AF">
            <w:pPr>
              <w:jc w:val="right"/>
              <w:rPr>
                <w:rFonts w:ascii="Arial Narrow" w:hAnsi="Arial Narrow"/>
                <w:sz w:val="16"/>
                <w:szCs w:val="16"/>
              </w:rPr>
            </w:pPr>
            <w:r>
              <w:rPr>
                <w:rFonts w:ascii="Arial Narrow" w:hAnsi="Arial Narrow"/>
                <w:sz w:val="16"/>
                <w:szCs w:val="16"/>
              </w:rPr>
              <w:t>108</w:t>
            </w:r>
            <w:r w:rsidR="005F0308">
              <w:rPr>
                <w:rFonts w:ascii="Arial Narrow" w:hAnsi="Arial Narrow"/>
                <w:sz w:val="16"/>
                <w:szCs w:val="16"/>
              </w:rPr>
              <w:t>,</w:t>
            </w:r>
            <w:r w:rsidR="004610AF">
              <w:rPr>
                <w:rFonts w:ascii="Arial Narrow" w:hAnsi="Arial Narrow"/>
                <w:sz w:val="16"/>
                <w:szCs w:val="16"/>
              </w:rPr>
              <w:t>4</w:t>
            </w:r>
          </w:p>
        </w:tc>
      </w:tr>
      <w:tr w:rsidR="005F0308" w:rsidTr="004610AF">
        <w:trPr>
          <w:trHeight w:val="210"/>
        </w:trPr>
        <w:tc>
          <w:tcPr>
            <w:tcW w:w="497" w:type="dxa"/>
            <w:tcBorders>
              <w:top w:val="nil"/>
              <w:left w:val="nil"/>
              <w:bottom w:val="nil"/>
              <w:right w:val="nil"/>
            </w:tcBorders>
            <w:shd w:val="clear" w:color="auto" w:fill="C5E0B3" w:themeFill="accent6" w:themeFillTint="66"/>
            <w:noWrap/>
            <w:vAlign w:val="bottom"/>
            <w:hideMark/>
          </w:tcPr>
          <w:p w:rsidR="005F0308" w:rsidRDefault="005F0308">
            <w:pPr>
              <w:rPr>
                <w:rFonts w:ascii="Arial Narrow" w:hAnsi="Arial Narrow"/>
                <w:b/>
                <w:bCs/>
                <w:color w:val="FFFFFF"/>
                <w:sz w:val="16"/>
                <w:szCs w:val="16"/>
              </w:rPr>
            </w:pPr>
            <w:r>
              <w:rPr>
                <w:rFonts w:ascii="Arial Narrow" w:hAnsi="Arial Narrow"/>
                <w:b/>
                <w:bCs/>
                <w:color w:val="FFFFFF"/>
                <w:sz w:val="16"/>
                <w:szCs w:val="16"/>
              </w:rPr>
              <w:t> </w:t>
            </w:r>
          </w:p>
        </w:tc>
        <w:tc>
          <w:tcPr>
            <w:tcW w:w="2624" w:type="dxa"/>
            <w:gridSpan w:val="4"/>
            <w:tcBorders>
              <w:top w:val="nil"/>
              <w:left w:val="nil"/>
              <w:bottom w:val="nil"/>
              <w:right w:val="nil"/>
            </w:tcBorders>
            <w:shd w:val="clear" w:color="auto" w:fill="C5E0B3" w:themeFill="accent6" w:themeFillTint="66"/>
            <w:noWrap/>
            <w:vAlign w:val="center"/>
            <w:hideMark/>
          </w:tcPr>
          <w:p w:rsidR="005F0308" w:rsidRDefault="005F0308">
            <w:pPr>
              <w:rPr>
                <w:rFonts w:ascii="Arial Narrow" w:hAnsi="Arial Narrow"/>
                <w:b/>
                <w:bCs/>
                <w:sz w:val="16"/>
                <w:szCs w:val="16"/>
              </w:rPr>
            </w:pPr>
            <w:r>
              <w:rPr>
                <w:rFonts w:ascii="Arial Narrow" w:hAnsi="Arial Narrow"/>
                <w:b/>
                <w:bCs/>
                <w:sz w:val="16"/>
                <w:szCs w:val="16"/>
              </w:rPr>
              <w:t>Príspevky verejnej správy</w:t>
            </w:r>
          </w:p>
        </w:tc>
        <w:tc>
          <w:tcPr>
            <w:tcW w:w="836" w:type="dxa"/>
            <w:tcBorders>
              <w:top w:val="nil"/>
              <w:left w:val="nil"/>
              <w:bottom w:val="nil"/>
              <w:right w:val="nil"/>
            </w:tcBorders>
            <w:shd w:val="clear" w:color="auto" w:fill="C5E0B3" w:themeFill="accent6" w:themeFillTint="66"/>
            <w:noWrap/>
            <w:vAlign w:val="center"/>
            <w:hideMark/>
          </w:tcPr>
          <w:p w:rsidR="005F0308" w:rsidRDefault="005F0308">
            <w:pPr>
              <w:rPr>
                <w:rFonts w:ascii="Arial Narrow" w:hAnsi="Arial Narrow"/>
                <w:b/>
                <w:bCs/>
                <w:sz w:val="16"/>
                <w:szCs w:val="16"/>
              </w:rPr>
            </w:pPr>
            <w:r>
              <w:rPr>
                <w:rFonts w:ascii="Arial Narrow" w:hAnsi="Arial Narrow"/>
                <w:b/>
                <w:bCs/>
                <w:sz w:val="16"/>
                <w:szCs w:val="16"/>
              </w:rPr>
              <w:t> </w:t>
            </w:r>
          </w:p>
        </w:tc>
        <w:tc>
          <w:tcPr>
            <w:tcW w:w="696" w:type="dxa"/>
            <w:tcBorders>
              <w:top w:val="nil"/>
              <w:left w:val="single" w:sz="4" w:space="0" w:color="FF0000"/>
              <w:bottom w:val="nil"/>
              <w:right w:val="single" w:sz="4" w:space="0" w:color="FF0000"/>
            </w:tcBorders>
            <w:shd w:val="clear" w:color="auto" w:fill="C5E0B3" w:themeFill="accent6" w:themeFillTint="66"/>
            <w:noWrap/>
            <w:vAlign w:val="bottom"/>
            <w:hideMark/>
          </w:tcPr>
          <w:p w:rsidR="005F0308" w:rsidRDefault="00CF1E33" w:rsidP="00CF1E33">
            <w:pPr>
              <w:jc w:val="right"/>
              <w:rPr>
                <w:rFonts w:ascii="Arial Narrow" w:hAnsi="Arial Narrow"/>
                <w:b/>
                <w:bCs/>
                <w:sz w:val="16"/>
                <w:szCs w:val="16"/>
              </w:rPr>
            </w:pPr>
            <w:r>
              <w:rPr>
                <w:rFonts w:ascii="Arial Narrow" w:hAnsi="Arial Narrow"/>
                <w:b/>
                <w:bCs/>
                <w:sz w:val="16"/>
                <w:szCs w:val="16"/>
              </w:rPr>
              <w:t>4 272</w:t>
            </w:r>
            <w:r w:rsidR="005F0308">
              <w:rPr>
                <w:rFonts w:ascii="Arial Narrow" w:hAnsi="Arial Narrow"/>
                <w:b/>
                <w:bCs/>
                <w:sz w:val="16"/>
                <w:szCs w:val="16"/>
              </w:rPr>
              <w:t>,</w:t>
            </w:r>
            <w:r>
              <w:rPr>
                <w:rFonts w:ascii="Arial Narrow" w:hAnsi="Arial Narrow"/>
                <w:b/>
                <w:bCs/>
                <w:sz w:val="16"/>
                <w:szCs w:val="16"/>
              </w:rPr>
              <w:t>8</w:t>
            </w:r>
          </w:p>
        </w:tc>
        <w:tc>
          <w:tcPr>
            <w:tcW w:w="734" w:type="dxa"/>
            <w:tcBorders>
              <w:top w:val="nil"/>
              <w:left w:val="nil"/>
              <w:bottom w:val="nil"/>
              <w:right w:val="single" w:sz="4" w:space="0" w:color="FF0000"/>
            </w:tcBorders>
            <w:shd w:val="clear" w:color="auto" w:fill="C5E0B3" w:themeFill="accent6" w:themeFillTint="66"/>
            <w:noWrap/>
            <w:vAlign w:val="bottom"/>
            <w:hideMark/>
          </w:tcPr>
          <w:p w:rsidR="005F0308" w:rsidRDefault="00CF1E33" w:rsidP="00CF1E33">
            <w:pPr>
              <w:jc w:val="right"/>
              <w:rPr>
                <w:rFonts w:ascii="Arial Narrow" w:hAnsi="Arial Narrow"/>
                <w:b/>
                <w:bCs/>
                <w:sz w:val="16"/>
                <w:szCs w:val="16"/>
              </w:rPr>
            </w:pPr>
            <w:r>
              <w:rPr>
                <w:rFonts w:ascii="Arial Narrow" w:hAnsi="Arial Narrow"/>
                <w:b/>
                <w:bCs/>
                <w:sz w:val="16"/>
                <w:szCs w:val="16"/>
              </w:rPr>
              <w:t>3</w:t>
            </w:r>
            <w:r w:rsidR="005F0308">
              <w:rPr>
                <w:rFonts w:ascii="Arial Narrow" w:hAnsi="Arial Narrow"/>
                <w:b/>
                <w:bCs/>
                <w:sz w:val="16"/>
                <w:szCs w:val="16"/>
              </w:rPr>
              <w:t xml:space="preserve"> </w:t>
            </w:r>
            <w:r>
              <w:rPr>
                <w:rFonts w:ascii="Arial Narrow" w:hAnsi="Arial Narrow"/>
                <w:b/>
                <w:bCs/>
                <w:sz w:val="16"/>
                <w:szCs w:val="16"/>
              </w:rPr>
              <w:t>688</w:t>
            </w:r>
            <w:r w:rsidR="005F0308">
              <w:rPr>
                <w:rFonts w:ascii="Arial Narrow" w:hAnsi="Arial Narrow"/>
                <w:b/>
                <w:bCs/>
                <w:sz w:val="16"/>
                <w:szCs w:val="16"/>
              </w:rPr>
              <w:t>,</w:t>
            </w:r>
            <w:r>
              <w:rPr>
                <w:rFonts w:ascii="Arial Narrow" w:hAnsi="Arial Narrow"/>
                <w:b/>
                <w:bCs/>
                <w:sz w:val="16"/>
                <w:szCs w:val="16"/>
              </w:rPr>
              <w:t>3</w:t>
            </w:r>
          </w:p>
        </w:tc>
        <w:tc>
          <w:tcPr>
            <w:tcW w:w="850" w:type="dxa"/>
            <w:tcBorders>
              <w:top w:val="nil"/>
              <w:left w:val="nil"/>
              <w:bottom w:val="nil"/>
              <w:right w:val="single" w:sz="4" w:space="0" w:color="FF0000"/>
            </w:tcBorders>
            <w:shd w:val="clear" w:color="auto" w:fill="C5E0B3" w:themeFill="accent6" w:themeFillTint="66"/>
            <w:noWrap/>
            <w:vAlign w:val="bottom"/>
            <w:hideMark/>
          </w:tcPr>
          <w:p w:rsidR="005F0308" w:rsidRDefault="005F0308" w:rsidP="00CF1E33">
            <w:pPr>
              <w:jc w:val="right"/>
              <w:rPr>
                <w:rFonts w:ascii="Arial Narrow" w:hAnsi="Arial Narrow"/>
                <w:b/>
                <w:bCs/>
                <w:sz w:val="16"/>
                <w:szCs w:val="16"/>
              </w:rPr>
            </w:pPr>
            <w:r>
              <w:rPr>
                <w:rFonts w:ascii="Arial Narrow" w:hAnsi="Arial Narrow"/>
                <w:b/>
                <w:bCs/>
                <w:sz w:val="16"/>
                <w:szCs w:val="16"/>
              </w:rPr>
              <w:t>7</w:t>
            </w:r>
            <w:r w:rsidR="00CF1E33">
              <w:rPr>
                <w:rFonts w:ascii="Arial Narrow" w:hAnsi="Arial Narrow"/>
                <w:b/>
                <w:bCs/>
                <w:sz w:val="16"/>
                <w:szCs w:val="16"/>
              </w:rPr>
              <w:t>83</w:t>
            </w:r>
            <w:r>
              <w:rPr>
                <w:rFonts w:ascii="Arial Narrow" w:hAnsi="Arial Narrow"/>
                <w:b/>
                <w:bCs/>
                <w:sz w:val="16"/>
                <w:szCs w:val="16"/>
              </w:rPr>
              <w:t>,</w:t>
            </w:r>
            <w:r w:rsidR="00CF1E33">
              <w:rPr>
                <w:rFonts w:ascii="Arial Narrow" w:hAnsi="Arial Narrow"/>
                <w:b/>
                <w:bCs/>
                <w:sz w:val="16"/>
                <w:szCs w:val="16"/>
              </w:rPr>
              <w:t>4</w:t>
            </w:r>
          </w:p>
        </w:tc>
        <w:tc>
          <w:tcPr>
            <w:tcW w:w="709" w:type="dxa"/>
            <w:tcBorders>
              <w:top w:val="nil"/>
              <w:left w:val="nil"/>
              <w:bottom w:val="nil"/>
              <w:right w:val="single" w:sz="4" w:space="0" w:color="FF0000"/>
            </w:tcBorders>
            <w:shd w:val="clear" w:color="auto" w:fill="C5E0B3" w:themeFill="accent6" w:themeFillTint="66"/>
            <w:noWrap/>
            <w:vAlign w:val="bottom"/>
            <w:hideMark/>
          </w:tcPr>
          <w:p w:rsidR="005F0308" w:rsidRDefault="005F0308" w:rsidP="00CF1E33">
            <w:pPr>
              <w:jc w:val="right"/>
              <w:rPr>
                <w:rFonts w:ascii="Arial Narrow" w:hAnsi="Arial Narrow"/>
                <w:b/>
                <w:bCs/>
                <w:sz w:val="16"/>
                <w:szCs w:val="16"/>
              </w:rPr>
            </w:pPr>
            <w:r>
              <w:rPr>
                <w:rFonts w:ascii="Arial Narrow" w:hAnsi="Arial Narrow"/>
                <w:b/>
                <w:bCs/>
                <w:sz w:val="16"/>
                <w:szCs w:val="16"/>
              </w:rPr>
              <w:t>1 07</w:t>
            </w:r>
            <w:r w:rsidR="00CF1E33">
              <w:rPr>
                <w:rFonts w:ascii="Arial Narrow" w:hAnsi="Arial Narrow"/>
                <w:b/>
                <w:bCs/>
                <w:sz w:val="16"/>
                <w:szCs w:val="16"/>
              </w:rPr>
              <w:t>8</w:t>
            </w:r>
            <w:r>
              <w:rPr>
                <w:rFonts w:ascii="Arial Narrow" w:hAnsi="Arial Narrow"/>
                <w:b/>
                <w:bCs/>
                <w:sz w:val="16"/>
                <w:szCs w:val="16"/>
              </w:rPr>
              <w:t>,</w:t>
            </w:r>
            <w:r w:rsidR="00CF1E33">
              <w:rPr>
                <w:rFonts w:ascii="Arial Narrow" w:hAnsi="Arial Narrow"/>
                <w:b/>
                <w:bCs/>
                <w:sz w:val="16"/>
                <w:szCs w:val="16"/>
              </w:rPr>
              <w:t>7</w:t>
            </w:r>
          </w:p>
        </w:tc>
        <w:tc>
          <w:tcPr>
            <w:tcW w:w="709" w:type="dxa"/>
            <w:tcBorders>
              <w:top w:val="nil"/>
              <w:left w:val="nil"/>
              <w:bottom w:val="nil"/>
              <w:right w:val="nil"/>
            </w:tcBorders>
            <w:shd w:val="clear" w:color="auto" w:fill="C5E0B3" w:themeFill="accent6" w:themeFillTint="66"/>
            <w:noWrap/>
            <w:vAlign w:val="bottom"/>
            <w:hideMark/>
          </w:tcPr>
          <w:p w:rsidR="005F0308" w:rsidRDefault="005F0308" w:rsidP="00CF1E33">
            <w:pPr>
              <w:jc w:val="right"/>
              <w:rPr>
                <w:rFonts w:ascii="Arial Narrow" w:hAnsi="Arial Narrow"/>
                <w:b/>
                <w:bCs/>
                <w:sz w:val="16"/>
                <w:szCs w:val="16"/>
              </w:rPr>
            </w:pPr>
            <w:r>
              <w:rPr>
                <w:rFonts w:ascii="Arial Narrow" w:hAnsi="Arial Narrow"/>
                <w:b/>
                <w:bCs/>
                <w:sz w:val="16"/>
                <w:szCs w:val="16"/>
              </w:rPr>
              <w:t>2</w:t>
            </w:r>
            <w:r w:rsidR="00CF1E33">
              <w:rPr>
                <w:rFonts w:ascii="Arial Narrow" w:hAnsi="Arial Narrow"/>
                <w:b/>
                <w:bCs/>
                <w:sz w:val="16"/>
                <w:szCs w:val="16"/>
              </w:rPr>
              <w:t>3</w:t>
            </w:r>
            <w:r>
              <w:rPr>
                <w:rFonts w:ascii="Arial Narrow" w:hAnsi="Arial Narrow"/>
                <w:b/>
                <w:bCs/>
                <w:sz w:val="16"/>
                <w:szCs w:val="16"/>
              </w:rPr>
              <w:t>,</w:t>
            </w:r>
            <w:r w:rsidR="00CF1E33">
              <w:rPr>
                <w:rFonts w:ascii="Arial Narrow" w:hAnsi="Arial Narrow"/>
                <w:b/>
                <w:bCs/>
                <w:sz w:val="16"/>
                <w:szCs w:val="16"/>
              </w:rPr>
              <w:t>7</w:t>
            </w:r>
          </w:p>
        </w:tc>
        <w:tc>
          <w:tcPr>
            <w:tcW w:w="520" w:type="dxa"/>
            <w:tcBorders>
              <w:top w:val="nil"/>
              <w:left w:val="single" w:sz="4" w:space="0" w:color="FF0000"/>
              <w:bottom w:val="nil"/>
              <w:right w:val="single" w:sz="4" w:space="0" w:color="FF0000"/>
            </w:tcBorders>
            <w:shd w:val="clear" w:color="auto" w:fill="C5E0B3" w:themeFill="accent6" w:themeFillTint="66"/>
            <w:noWrap/>
            <w:vAlign w:val="bottom"/>
            <w:hideMark/>
          </w:tcPr>
          <w:p w:rsidR="005F0308" w:rsidRDefault="005F0308" w:rsidP="00CF1E33">
            <w:pPr>
              <w:jc w:val="right"/>
              <w:rPr>
                <w:rFonts w:ascii="Arial Narrow" w:hAnsi="Arial Narrow"/>
                <w:b/>
                <w:bCs/>
                <w:sz w:val="16"/>
                <w:szCs w:val="16"/>
              </w:rPr>
            </w:pPr>
            <w:r>
              <w:rPr>
                <w:rFonts w:ascii="Arial Narrow" w:hAnsi="Arial Narrow"/>
                <w:b/>
                <w:bCs/>
                <w:sz w:val="16"/>
                <w:szCs w:val="16"/>
              </w:rPr>
              <w:t>4,</w:t>
            </w:r>
            <w:r w:rsidR="00CF1E33">
              <w:rPr>
                <w:rFonts w:ascii="Arial Narrow" w:hAnsi="Arial Narrow"/>
                <w:b/>
                <w:bCs/>
                <w:sz w:val="16"/>
                <w:szCs w:val="16"/>
              </w:rPr>
              <w:t>6</w:t>
            </w:r>
          </w:p>
        </w:tc>
        <w:tc>
          <w:tcPr>
            <w:tcW w:w="897" w:type="dxa"/>
            <w:tcBorders>
              <w:top w:val="nil"/>
              <w:left w:val="nil"/>
              <w:bottom w:val="nil"/>
              <w:right w:val="nil"/>
            </w:tcBorders>
            <w:shd w:val="clear" w:color="auto" w:fill="C5E0B3" w:themeFill="accent6" w:themeFillTint="66"/>
            <w:noWrap/>
            <w:vAlign w:val="bottom"/>
            <w:hideMark/>
          </w:tcPr>
          <w:p w:rsidR="005F0308" w:rsidRDefault="00CF1E33">
            <w:pPr>
              <w:jc w:val="right"/>
              <w:rPr>
                <w:rFonts w:ascii="Arial Narrow" w:hAnsi="Arial Narrow"/>
                <w:b/>
                <w:bCs/>
                <w:sz w:val="16"/>
                <w:szCs w:val="16"/>
              </w:rPr>
            </w:pPr>
            <w:r>
              <w:rPr>
                <w:rFonts w:ascii="Arial Narrow" w:hAnsi="Arial Narrow"/>
                <w:b/>
                <w:bCs/>
                <w:sz w:val="16"/>
                <w:szCs w:val="16"/>
              </w:rPr>
              <w:t>99</w:t>
            </w:r>
            <w:r w:rsidR="005F0308">
              <w:rPr>
                <w:rFonts w:ascii="Arial Narrow" w:hAnsi="Arial Narrow"/>
                <w:b/>
                <w:bCs/>
                <w:sz w:val="16"/>
                <w:szCs w:val="16"/>
              </w:rPr>
              <w:t>,1</w:t>
            </w:r>
          </w:p>
        </w:tc>
      </w:tr>
      <w:tr w:rsidR="005F0308" w:rsidTr="004610AF">
        <w:trPr>
          <w:trHeight w:val="210"/>
        </w:trPr>
        <w:tc>
          <w:tcPr>
            <w:tcW w:w="497" w:type="dxa"/>
            <w:tcBorders>
              <w:top w:val="nil"/>
              <w:left w:val="nil"/>
              <w:bottom w:val="nil"/>
              <w:right w:val="nil"/>
            </w:tcBorders>
            <w:shd w:val="clear" w:color="auto" w:fill="C5E0B3" w:themeFill="accent6" w:themeFillTint="66"/>
            <w:noWrap/>
            <w:vAlign w:val="bottom"/>
            <w:hideMark/>
          </w:tcPr>
          <w:p w:rsidR="005F0308" w:rsidRDefault="005F0308">
            <w:pPr>
              <w:rPr>
                <w:rFonts w:ascii="Arial Narrow" w:hAnsi="Arial Narrow"/>
                <w:b/>
                <w:bCs/>
                <w:color w:val="FFFFFF"/>
                <w:sz w:val="16"/>
                <w:szCs w:val="16"/>
              </w:rPr>
            </w:pPr>
            <w:r>
              <w:rPr>
                <w:rFonts w:ascii="Arial Narrow" w:hAnsi="Arial Narrow"/>
                <w:b/>
                <w:bCs/>
                <w:color w:val="FFFFFF"/>
                <w:sz w:val="16"/>
                <w:szCs w:val="16"/>
              </w:rPr>
              <w:t> </w:t>
            </w:r>
          </w:p>
        </w:tc>
        <w:tc>
          <w:tcPr>
            <w:tcW w:w="1648" w:type="dxa"/>
            <w:gridSpan w:val="3"/>
            <w:tcBorders>
              <w:top w:val="nil"/>
              <w:left w:val="nil"/>
              <w:bottom w:val="nil"/>
              <w:right w:val="nil"/>
            </w:tcBorders>
            <w:shd w:val="clear" w:color="auto" w:fill="C5E0B3" w:themeFill="accent6" w:themeFillTint="66"/>
            <w:noWrap/>
            <w:vAlign w:val="center"/>
            <w:hideMark/>
          </w:tcPr>
          <w:p w:rsidR="005F0308" w:rsidRDefault="005F0308">
            <w:pPr>
              <w:rPr>
                <w:rFonts w:ascii="Arial Narrow" w:hAnsi="Arial Narrow"/>
                <w:b/>
                <w:bCs/>
                <w:sz w:val="16"/>
                <w:szCs w:val="16"/>
              </w:rPr>
            </w:pPr>
            <w:r>
              <w:rPr>
                <w:rFonts w:ascii="Arial Narrow" w:hAnsi="Arial Narrow"/>
                <w:b/>
                <w:bCs/>
                <w:sz w:val="16"/>
                <w:szCs w:val="16"/>
              </w:rPr>
              <w:t>Iné príjmy</w:t>
            </w:r>
          </w:p>
        </w:tc>
        <w:tc>
          <w:tcPr>
            <w:tcW w:w="976" w:type="dxa"/>
            <w:tcBorders>
              <w:top w:val="nil"/>
              <w:left w:val="nil"/>
              <w:bottom w:val="nil"/>
              <w:right w:val="nil"/>
            </w:tcBorders>
            <w:shd w:val="clear" w:color="auto" w:fill="C5E0B3" w:themeFill="accent6" w:themeFillTint="66"/>
            <w:noWrap/>
            <w:vAlign w:val="center"/>
            <w:hideMark/>
          </w:tcPr>
          <w:p w:rsidR="005F0308" w:rsidRDefault="005F0308">
            <w:pPr>
              <w:rPr>
                <w:rFonts w:ascii="Arial Narrow" w:hAnsi="Arial Narrow"/>
                <w:b/>
                <w:bCs/>
                <w:sz w:val="16"/>
                <w:szCs w:val="16"/>
              </w:rPr>
            </w:pPr>
            <w:r>
              <w:rPr>
                <w:rFonts w:ascii="Arial Narrow" w:hAnsi="Arial Narrow"/>
                <w:b/>
                <w:bCs/>
                <w:sz w:val="16"/>
                <w:szCs w:val="16"/>
              </w:rPr>
              <w:t> </w:t>
            </w:r>
          </w:p>
        </w:tc>
        <w:tc>
          <w:tcPr>
            <w:tcW w:w="836" w:type="dxa"/>
            <w:tcBorders>
              <w:top w:val="nil"/>
              <w:left w:val="nil"/>
              <w:bottom w:val="nil"/>
              <w:right w:val="nil"/>
            </w:tcBorders>
            <w:shd w:val="clear" w:color="auto" w:fill="C5E0B3" w:themeFill="accent6" w:themeFillTint="66"/>
            <w:noWrap/>
            <w:vAlign w:val="center"/>
            <w:hideMark/>
          </w:tcPr>
          <w:p w:rsidR="005F0308" w:rsidRDefault="005F0308">
            <w:pPr>
              <w:rPr>
                <w:rFonts w:ascii="Arial Narrow" w:hAnsi="Arial Narrow"/>
                <w:b/>
                <w:bCs/>
                <w:sz w:val="16"/>
                <w:szCs w:val="16"/>
              </w:rPr>
            </w:pPr>
            <w:r>
              <w:rPr>
                <w:rFonts w:ascii="Arial Narrow" w:hAnsi="Arial Narrow"/>
                <w:b/>
                <w:bCs/>
                <w:sz w:val="16"/>
                <w:szCs w:val="16"/>
              </w:rPr>
              <w:t> </w:t>
            </w:r>
          </w:p>
        </w:tc>
        <w:tc>
          <w:tcPr>
            <w:tcW w:w="696" w:type="dxa"/>
            <w:tcBorders>
              <w:top w:val="nil"/>
              <w:left w:val="single" w:sz="4" w:space="0" w:color="FF0000"/>
              <w:bottom w:val="nil"/>
              <w:right w:val="single" w:sz="4" w:space="0" w:color="FF0000"/>
            </w:tcBorders>
            <w:shd w:val="clear" w:color="auto" w:fill="C5E0B3" w:themeFill="accent6" w:themeFillTint="66"/>
            <w:noWrap/>
            <w:vAlign w:val="bottom"/>
            <w:hideMark/>
          </w:tcPr>
          <w:p w:rsidR="005F0308" w:rsidRDefault="00CF1E33" w:rsidP="00CF1E33">
            <w:pPr>
              <w:jc w:val="right"/>
              <w:rPr>
                <w:rFonts w:ascii="Arial Narrow" w:hAnsi="Arial Narrow"/>
                <w:b/>
                <w:bCs/>
                <w:sz w:val="16"/>
                <w:szCs w:val="16"/>
              </w:rPr>
            </w:pPr>
            <w:r>
              <w:rPr>
                <w:rFonts w:ascii="Arial Narrow" w:hAnsi="Arial Narrow"/>
                <w:b/>
                <w:bCs/>
                <w:sz w:val="16"/>
                <w:szCs w:val="16"/>
              </w:rPr>
              <w:t>534</w:t>
            </w:r>
            <w:r w:rsidR="005F0308">
              <w:rPr>
                <w:rFonts w:ascii="Arial Narrow" w:hAnsi="Arial Narrow"/>
                <w:b/>
                <w:bCs/>
                <w:sz w:val="16"/>
                <w:szCs w:val="16"/>
              </w:rPr>
              <w:t>,</w:t>
            </w:r>
            <w:r>
              <w:rPr>
                <w:rFonts w:ascii="Arial Narrow" w:hAnsi="Arial Narrow"/>
                <w:b/>
                <w:bCs/>
                <w:sz w:val="16"/>
                <w:szCs w:val="16"/>
              </w:rPr>
              <w:t>4</w:t>
            </w:r>
          </w:p>
        </w:tc>
        <w:tc>
          <w:tcPr>
            <w:tcW w:w="734" w:type="dxa"/>
            <w:tcBorders>
              <w:top w:val="nil"/>
              <w:left w:val="nil"/>
              <w:bottom w:val="nil"/>
              <w:right w:val="single" w:sz="4" w:space="0" w:color="FF0000"/>
            </w:tcBorders>
            <w:shd w:val="clear" w:color="auto" w:fill="C5E0B3" w:themeFill="accent6" w:themeFillTint="66"/>
            <w:noWrap/>
            <w:vAlign w:val="bottom"/>
            <w:hideMark/>
          </w:tcPr>
          <w:p w:rsidR="005F0308" w:rsidRDefault="00CF1E33" w:rsidP="00CF1E33">
            <w:pPr>
              <w:jc w:val="right"/>
              <w:rPr>
                <w:rFonts w:ascii="Arial Narrow" w:hAnsi="Arial Narrow"/>
                <w:b/>
                <w:bCs/>
                <w:sz w:val="16"/>
                <w:szCs w:val="16"/>
              </w:rPr>
            </w:pPr>
            <w:r>
              <w:rPr>
                <w:rFonts w:ascii="Arial Narrow" w:hAnsi="Arial Narrow"/>
                <w:b/>
                <w:bCs/>
                <w:sz w:val="16"/>
                <w:szCs w:val="16"/>
              </w:rPr>
              <w:t>461</w:t>
            </w:r>
            <w:r w:rsidR="005F0308">
              <w:rPr>
                <w:rFonts w:ascii="Arial Narrow" w:hAnsi="Arial Narrow"/>
                <w:b/>
                <w:bCs/>
                <w:sz w:val="16"/>
                <w:szCs w:val="16"/>
              </w:rPr>
              <w:t>,</w:t>
            </w:r>
            <w:r>
              <w:rPr>
                <w:rFonts w:ascii="Arial Narrow" w:hAnsi="Arial Narrow"/>
                <w:b/>
                <w:bCs/>
                <w:sz w:val="16"/>
                <w:szCs w:val="16"/>
              </w:rPr>
              <w:t>3</w:t>
            </w:r>
          </w:p>
        </w:tc>
        <w:tc>
          <w:tcPr>
            <w:tcW w:w="850" w:type="dxa"/>
            <w:tcBorders>
              <w:top w:val="nil"/>
              <w:left w:val="nil"/>
              <w:bottom w:val="nil"/>
              <w:right w:val="single" w:sz="4" w:space="0" w:color="FF0000"/>
            </w:tcBorders>
            <w:shd w:val="clear" w:color="auto" w:fill="C5E0B3" w:themeFill="accent6" w:themeFillTint="66"/>
            <w:noWrap/>
            <w:vAlign w:val="bottom"/>
            <w:hideMark/>
          </w:tcPr>
          <w:p w:rsidR="005F0308" w:rsidRDefault="005F0308" w:rsidP="00CF1E33">
            <w:pPr>
              <w:jc w:val="right"/>
              <w:rPr>
                <w:rFonts w:ascii="Arial Narrow" w:hAnsi="Arial Narrow"/>
                <w:b/>
                <w:bCs/>
                <w:sz w:val="16"/>
                <w:szCs w:val="16"/>
              </w:rPr>
            </w:pPr>
            <w:r>
              <w:rPr>
                <w:rFonts w:ascii="Arial Narrow" w:hAnsi="Arial Narrow"/>
                <w:b/>
                <w:bCs/>
                <w:sz w:val="16"/>
                <w:szCs w:val="16"/>
              </w:rPr>
              <w:t>9</w:t>
            </w:r>
            <w:r w:rsidR="00CF1E33">
              <w:rPr>
                <w:rFonts w:ascii="Arial Narrow" w:hAnsi="Arial Narrow"/>
                <w:b/>
                <w:bCs/>
                <w:sz w:val="16"/>
                <w:szCs w:val="16"/>
              </w:rPr>
              <w:t>8</w:t>
            </w:r>
            <w:r>
              <w:rPr>
                <w:rFonts w:ascii="Arial Narrow" w:hAnsi="Arial Narrow"/>
                <w:b/>
                <w:bCs/>
                <w:sz w:val="16"/>
                <w:szCs w:val="16"/>
              </w:rPr>
              <w:t>,</w:t>
            </w:r>
            <w:r w:rsidR="00CF1E33">
              <w:rPr>
                <w:rFonts w:ascii="Arial Narrow" w:hAnsi="Arial Narrow"/>
                <w:b/>
                <w:bCs/>
                <w:sz w:val="16"/>
                <w:szCs w:val="16"/>
              </w:rPr>
              <w:t>0</w:t>
            </w:r>
          </w:p>
        </w:tc>
        <w:tc>
          <w:tcPr>
            <w:tcW w:w="709" w:type="dxa"/>
            <w:tcBorders>
              <w:top w:val="nil"/>
              <w:left w:val="nil"/>
              <w:bottom w:val="nil"/>
              <w:right w:val="single" w:sz="4" w:space="0" w:color="FF0000"/>
            </w:tcBorders>
            <w:shd w:val="clear" w:color="auto" w:fill="C5E0B3" w:themeFill="accent6" w:themeFillTint="66"/>
            <w:noWrap/>
            <w:vAlign w:val="bottom"/>
            <w:hideMark/>
          </w:tcPr>
          <w:p w:rsidR="005F0308" w:rsidRDefault="005F0308" w:rsidP="00CF1E33">
            <w:pPr>
              <w:jc w:val="right"/>
              <w:rPr>
                <w:rFonts w:ascii="Arial Narrow" w:hAnsi="Arial Narrow"/>
                <w:b/>
                <w:bCs/>
                <w:sz w:val="16"/>
                <w:szCs w:val="16"/>
              </w:rPr>
            </w:pPr>
            <w:r>
              <w:rPr>
                <w:rFonts w:ascii="Arial Narrow" w:hAnsi="Arial Narrow"/>
                <w:b/>
                <w:bCs/>
                <w:sz w:val="16"/>
                <w:szCs w:val="16"/>
              </w:rPr>
              <w:t>13</w:t>
            </w:r>
            <w:r w:rsidR="00CF1E33">
              <w:rPr>
                <w:rFonts w:ascii="Arial Narrow" w:hAnsi="Arial Narrow"/>
                <w:b/>
                <w:bCs/>
                <w:sz w:val="16"/>
                <w:szCs w:val="16"/>
              </w:rPr>
              <w:t>4</w:t>
            </w:r>
            <w:r>
              <w:rPr>
                <w:rFonts w:ascii="Arial Narrow" w:hAnsi="Arial Narrow"/>
                <w:b/>
                <w:bCs/>
                <w:sz w:val="16"/>
                <w:szCs w:val="16"/>
              </w:rPr>
              <w:t>,</w:t>
            </w:r>
            <w:r w:rsidR="00CF1E33">
              <w:rPr>
                <w:rFonts w:ascii="Arial Narrow" w:hAnsi="Arial Narrow"/>
                <w:b/>
                <w:bCs/>
                <w:sz w:val="16"/>
                <w:szCs w:val="16"/>
              </w:rPr>
              <w:t>9</w:t>
            </w:r>
          </w:p>
        </w:tc>
        <w:tc>
          <w:tcPr>
            <w:tcW w:w="709" w:type="dxa"/>
            <w:tcBorders>
              <w:top w:val="nil"/>
              <w:left w:val="nil"/>
              <w:bottom w:val="nil"/>
              <w:right w:val="nil"/>
            </w:tcBorders>
            <w:shd w:val="clear" w:color="auto" w:fill="C5E0B3" w:themeFill="accent6" w:themeFillTint="66"/>
            <w:noWrap/>
            <w:vAlign w:val="bottom"/>
            <w:hideMark/>
          </w:tcPr>
          <w:p w:rsidR="005F0308" w:rsidRDefault="005F0308" w:rsidP="00CF1E33">
            <w:pPr>
              <w:jc w:val="right"/>
              <w:rPr>
                <w:rFonts w:ascii="Arial Narrow" w:hAnsi="Arial Narrow"/>
                <w:b/>
                <w:bCs/>
                <w:sz w:val="16"/>
                <w:szCs w:val="16"/>
              </w:rPr>
            </w:pPr>
            <w:r>
              <w:rPr>
                <w:rFonts w:ascii="Arial Narrow" w:hAnsi="Arial Narrow"/>
                <w:b/>
                <w:bCs/>
                <w:sz w:val="16"/>
                <w:szCs w:val="16"/>
              </w:rPr>
              <w:t>3,</w:t>
            </w:r>
            <w:r w:rsidR="00CF1E33">
              <w:rPr>
                <w:rFonts w:ascii="Arial Narrow" w:hAnsi="Arial Narrow"/>
                <w:b/>
                <w:bCs/>
                <w:sz w:val="16"/>
                <w:szCs w:val="16"/>
              </w:rPr>
              <w:t>0</w:t>
            </w:r>
          </w:p>
        </w:tc>
        <w:tc>
          <w:tcPr>
            <w:tcW w:w="520" w:type="dxa"/>
            <w:tcBorders>
              <w:top w:val="nil"/>
              <w:left w:val="single" w:sz="4" w:space="0" w:color="FF0000"/>
              <w:bottom w:val="nil"/>
              <w:right w:val="single" w:sz="4" w:space="0" w:color="FF0000"/>
            </w:tcBorders>
            <w:shd w:val="clear" w:color="auto" w:fill="C5E0B3" w:themeFill="accent6" w:themeFillTint="66"/>
            <w:noWrap/>
            <w:vAlign w:val="bottom"/>
            <w:hideMark/>
          </w:tcPr>
          <w:p w:rsidR="005F0308" w:rsidRDefault="005F0308">
            <w:pPr>
              <w:jc w:val="right"/>
              <w:rPr>
                <w:rFonts w:ascii="Arial Narrow" w:hAnsi="Arial Narrow"/>
                <w:b/>
                <w:bCs/>
                <w:sz w:val="16"/>
                <w:szCs w:val="16"/>
              </w:rPr>
            </w:pPr>
            <w:r>
              <w:rPr>
                <w:rFonts w:ascii="Arial Narrow" w:hAnsi="Arial Narrow"/>
                <w:b/>
                <w:bCs/>
                <w:sz w:val="16"/>
                <w:szCs w:val="16"/>
              </w:rPr>
              <w:t>0,6</w:t>
            </w:r>
          </w:p>
        </w:tc>
        <w:tc>
          <w:tcPr>
            <w:tcW w:w="897" w:type="dxa"/>
            <w:tcBorders>
              <w:top w:val="nil"/>
              <w:left w:val="nil"/>
              <w:bottom w:val="nil"/>
              <w:right w:val="nil"/>
            </w:tcBorders>
            <w:shd w:val="clear" w:color="auto" w:fill="C5E0B3" w:themeFill="accent6" w:themeFillTint="66"/>
            <w:noWrap/>
            <w:vAlign w:val="bottom"/>
            <w:hideMark/>
          </w:tcPr>
          <w:p w:rsidR="005F0308" w:rsidRDefault="005F0308" w:rsidP="004610AF">
            <w:pPr>
              <w:jc w:val="right"/>
              <w:rPr>
                <w:rFonts w:ascii="Arial Narrow" w:hAnsi="Arial Narrow"/>
                <w:b/>
                <w:bCs/>
                <w:sz w:val="16"/>
                <w:szCs w:val="16"/>
              </w:rPr>
            </w:pPr>
            <w:r>
              <w:rPr>
                <w:rFonts w:ascii="Arial Narrow" w:hAnsi="Arial Narrow"/>
                <w:b/>
                <w:bCs/>
                <w:sz w:val="16"/>
                <w:szCs w:val="16"/>
              </w:rPr>
              <w:t>10</w:t>
            </w:r>
            <w:r w:rsidR="00CF1E33">
              <w:rPr>
                <w:rFonts w:ascii="Arial Narrow" w:hAnsi="Arial Narrow"/>
                <w:b/>
                <w:bCs/>
                <w:sz w:val="16"/>
                <w:szCs w:val="16"/>
              </w:rPr>
              <w:t>3</w:t>
            </w:r>
            <w:r>
              <w:rPr>
                <w:rFonts w:ascii="Arial Narrow" w:hAnsi="Arial Narrow"/>
                <w:b/>
                <w:bCs/>
                <w:sz w:val="16"/>
                <w:szCs w:val="16"/>
              </w:rPr>
              <w:t>,</w:t>
            </w:r>
            <w:r w:rsidR="004610AF">
              <w:rPr>
                <w:rFonts w:ascii="Arial Narrow" w:hAnsi="Arial Narrow"/>
                <w:b/>
                <w:bCs/>
                <w:sz w:val="16"/>
                <w:szCs w:val="16"/>
              </w:rPr>
              <w:t>7</w:t>
            </w:r>
          </w:p>
        </w:tc>
      </w:tr>
    </w:tbl>
    <w:p w:rsidR="00F04975" w:rsidRPr="00AA7B25" w:rsidRDefault="00F04975" w:rsidP="00F04975">
      <w:pPr>
        <w:jc w:val="both"/>
        <w:rPr>
          <w:rFonts w:ascii="Arial Narrow" w:hAnsi="Arial Narrow" w:cs="Arial"/>
          <w:sz w:val="10"/>
          <w:szCs w:val="10"/>
        </w:rPr>
      </w:pPr>
    </w:p>
    <w:p w:rsidR="00AA7B25" w:rsidRDefault="00AA7B25" w:rsidP="00AA7B25">
      <w:pPr>
        <w:jc w:val="both"/>
        <w:rPr>
          <w:rFonts w:ascii="Arial Narrow" w:hAnsi="Arial Narrow" w:cs="Arial"/>
          <w:sz w:val="20"/>
          <w:szCs w:val="20"/>
        </w:rPr>
      </w:pPr>
      <w:r>
        <w:rPr>
          <w:rFonts w:ascii="Arial Narrow" w:hAnsi="Arial Narrow"/>
          <w:i/>
          <w:iCs/>
          <w:sz w:val="16"/>
          <w:szCs w:val="16"/>
        </w:rPr>
        <w:t xml:space="preserve">Zdroj: ŠÚ SR – ESSPROS, </w:t>
      </w:r>
      <w:r w:rsidRPr="00AA7B25">
        <w:rPr>
          <w:rFonts w:ascii="Arial Narrow" w:hAnsi="Arial Narrow"/>
          <w:i/>
          <w:iCs/>
          <w:sz w:val="18"/>
          <w:szCs w:val="18"/>
          <w:vertAlign w:val="superscript"/>
        </w:rPr>
        <w:t>1)</w:t>
      </w:r>
      <w:r w:rsidRPr="00AA7B25">
        <w:rPr>
          <w:rFonts w:ascii="Arial Narrow" w:hAnsi="Arial Narrow"/>
          <w:i/>
          <w:iCs/>
          <w:sz w:val="18"/>
          <w:szCs w:val="18"/>
        </w:rPr>
        <w:t xml:space="preserve"> </w:t>
      </w:r>
      <w:r>
        <w:rPr>
          <w:rFonts w:ascii="Arial Narrow" w:hAnsi="Arial Narrow"/>
          <w:i/>
          <w:iCs/>
          <w:sz w:val="16"/>
          <w:szCs w:val="16"/>
        </w:rPr>
        <w:t>vrátane pracujúcich dôchodcov(v mil. EUR a v %</w:t>
      </w:r>
      <w:r w:rsidR="009D7BDA">
        <w:rPr>
          <w:rFonts w:ascii="Arial Narrow" w:hAnsi="Arial Narrow"/>
          <w:i/>
          <w:iCs/>
          <w:sz w:val="16"/>
          <w:szCs w:val="16"/>
        </w:rPr>
        <w:t>)</w:t>
      </w:r>
    </w:p>
    <w:p w:rsidR="00AA7B25" w:rsidRDefault="00AA7B25" w:rsidP="00F04975">
      <w:pPr>
        <w:jc w:val="both"/>
        <w:rPr>
          <w:rFonts w:ascii="Arial Narrow" w:hAnsi="Arial Narrow" w:cs="Arial"/>
          <w:sz w:val="20"/>
          <w:szCs w:val="20"/>
        </w:rPr>
      </w:pPr>
    </w:p>
    <w:p w:rsidR="002A3829" w:rsidRPr="00676D2B" w:rsidRDefault="00F04975" w:rsidP="005D017E">
      <w:pPr>
        <w:ind w:firstLine="708"/>
        <w:jc w:val="both"/>
        <w:rPr>
          <w:rFonts w:ascii="Arial Narrow" w:hAnsi="Arial Narrow" w:cs="Arial"/>
          <w:sz w:val="22"/>
          <w:szCs w:val="22"/>
        </w:rPr>
      </w:pPr>
      <w:r w:rsidRPr="00676D2B">
        <w:rPr>
          <w:rFonts w:ascii="Arial Narrow" w:hAnsi="Arial Narrow" w:cs="Arial"/>
          <w:sz w:val="22"/>
          <w:szCs w:val="22"/>
        </w:rPr>
        <w:t>V roku 201</w:t>
      </w:r>
      <w:r w:rsidR="00FD3662" w:rsidRPr="00676D2B">
        <w:rPr>
          <w:rFonts w:ascii="Arial Narrow" w:hAnsi="Arial Narrow" w:cs="Arial"/>
          <w:sz w:val="22"/>
          <w:szCs w:val="22"/>
        </w:rPr>
        <w:t>9</w:t>
      </w:r>
      <w:r w:rsidRPr="00676D2B">
        <w:rPr>
          <w:rFonts w:ascii="Arial Narrow" w:hAnsi="Arial Narrow" w:cs="Arial"/>
          <w:sz w:val="22"/>
          <w:szCs w:val="22"/>
        </w:rPr>
        <w:t xml:space="preserve"> sa medziročne zvýšili sociálne príspevky platené zamestnávateľmi o </w:t>
      </w:r>
      <w:r w:rsidR="00FD3662" w:rsidRPr="00676D2B">
        <w:rPr>
          <w:rFonts w:ascii="Arial Narrow" w:hAnsi="Arial Narrow" w:cs="Arial"/>
          <w:sz w:val="22"/>
          <w:szCs w:val="22"/>
        </w:rPr>
        <w:t>16</w:t>
      </w:r>
      <w:r w:rsidRPr="00676D2B">
        <w:rPr>
          <w:rFonts w:ascii="Arial Narrow" w:hAnsi="Arial Narrow" w:cs="Arial"/>
          <w:sz w:val="22"/>
          <w:szCs w:val="22"/>
        </w:rPr>
        <w:t>,</w:t>
      </w:r>
      <w:r w:rsidR="00752D0D" w:rsidRPr="00676D2B">
        <w:rPr>
          <w:rFonts w:ascii="Arial Narrow" w:hAnsi="Arial Narrow" w:cs="Arial"/>
          <w:sz w:val="22"/>
          <w:szCs w:val="22"/>
        </w:rPr>
        <w:t>3</w:t>
      </w:r>
      <w:r w:rsidRPr="00676D2B">
        <w:rPr>
          <w:rFonts w:ascii="Arial Narrow" w:hAnsi="Arial Narrow" w:cs="Arial"/>
          <w:sz w:val="22"/>
          <w:szCs w:val="22"/>
        </w:rPr>
        <w:t xml:space="preserve"> %, sociálne príspevky chránených osôb o</w:t>
      </w:r>
      <w:r w:rsidR="008C355F" w:rsidRPr="00676D2B">
        <w:rPr>
          <w:rFonts w:ascii="Arial Narrow" w:hAnsi="Arial Narrow" w:cs="Arial"/>
          <w:sz w:val="22"/>
          <w:szCs w:val="22"/>
        </w:rPr>
        <w:t> </w:t>
      </w:r>
      <w:r w:rsidR="00FD3662" w:rsidRPr="00676D2B">
        <w:rPr>
          <w:rFonts w:ascii="Arial Narrow" w:hAnsi="Arial Narrow" w:cs="Arial"/>
          <w:sz w:val="22"/>
          <w:szCs w:val="22"/>
        </w:rPr>
        <w:t>12</w:t>
      </w:r>
      <w:r w:rsidR="008C355F" w:rsidRPr="00676D2B">
        <w:rPr>
          <w:rFonts w:ascii="Arial Narrow" w:hAnsi="Arial Narrow" w:cs="Arial"/>
          <w:sz w:val="22"/>
          <w:szCs w:val="22"/>
        </w:rPr>
        <w:t>,</w:t>
      </w:r>
      <w:r w:rsidR="00FD3662" w:rsidRPr="00676D2B">
        <w:rPr>
          <w:rFonts w:ascii="Arial Narrow" w:hAnsi="Arial Narrow" w:cs="Arial"/>
          <w:sz w:val="22"/>
          <w:szCs w:val="22"/>
        </w:rPr>
        <w:t>1</w:t>
      </w:r>
      <w:r w:rsidRPr="00676D2B">
        <w:rPr>
          <w:rFonts w:ascii="Arial Narrow" w:hAnsi="Arial Narrow" w:cs="Arial"/>
          <w:sz w:val="22"/>
          <w:szCs w:val="22"/>
        </w:rPr>
        <w:t xml:space="preserve"> % a z</w:t>
      </w:r>
      <w:r w:rsidR="00365F88" w:rsidRPr="00676D2B">
        <w:rPr>
          <w:rFonts w:ascii="Arial Narrow" w:hAnsi="Arial Narrow" w:cs="Arial"/>
          <w:sz w:val="22"/>
          <w:szCs w:val="22"/>
        </w:rPr>
        <w:t>nížili</w:t>
      </w:r>
      <w:r w:rsidRPr="00676D2B">
        <w:rPr>
          <w:rFonts w:ascii="Arial Narrow" w:hAnsi="Arial Narrow" w:cs="Arial"/>
          <w:sz w:val="22"/>
          <w:szCs w:val="22"/>
        </w:rPr>
        <w:t xml:space="preserve"> sa príspevky verejnej správy o </w:t>
      </w:r>
      <w:r w:rsidR="00FD3662" w:rsidRPr="00676D2B">
        <w:rPr>
          <w:rFonts w:ascii="Arial Narrow" w:hAnsi="Arial Narrow" w:cs="Arial"/>
          <w:sz w:val="22"/>
          <w:szCs w:val="22"/>
        </w:rPr>
        <w:t>0</w:t>
      </w:r>
      <w:r w:rsidRPr="00676D2B">
        <w:rPr>
          <w:rFonts w:ascii="Arial Narrow" w:hAnsi="Arial Narrow" w:cs="Arial"/>
          <w:sz w:val="22"/>
          <w:szCs w:val="22"/>
        </w:rPr>
        <w:t>,</w:t>
      </w:r>
      <w:r w:rsidR="00FD3662" w:rsidRPr="00676D2B">
        <w:rPr>
          <w:rFonts w:ascii="Arial Narrow" w:hAnsi="Arial Narrow" w:cs="Arial"/>
          <w:sz w:val="22"/>
          <w:szCs w:val="22"/>
        </w:rPr>
        <w:t>9</w:t>
      </w:r>
      <w:r w:rsidRPr="00676D2B">
        <w:rPr>
          <w:rFonts w:ascii="Arial Narrow" w:hAnsi="Arial Narrow" w:cs="Arial"/>
          <w:sz w:val="22"/>
          <w:szCs w:val="22"/>
        </w:rPr>
        <w:t xml:space="preserve"> %. Medziro</w:t>
      </w:r>
      <w:r w:rsidR="00FD3662" w:rsidRPr="00676D2B">
        <w:rPr>
          <w:rFonts w:ascii="Arial Narrow" w:hAnsi="Arial Narrow" w:cs="Arial"/>
          <w:sz w:val="22"/>
          <w:szCs w:val="22"/>
        </w:rPr>
        <w:t>čne sa zvýšili aj iné príjmy o 3</w:t>
      </w:r>
      <w:r w:rsidRPr="00676D2B">
        <w:rPr>
          <w:rFonts w:ascii="Arial Narrow" w:hAnsi="Arial Narrow" w:cs="Arial"/>
          <w:sz w:val="22"/>
          <w:szCs w:val="22"/>
        </w:rPr>
        <w:t>,</w:t>
      </w:r>
      <w:r w:rsidR="004610AF">
        <w:rPr>
          <w:rFonts w:ascii="Arial Narrow" w:hAnsi="Arial Narrow" w:cs="Arial"/>
          <w:sz w:val="22"/>
          <w:szCs w:val="22"/>
        </w:rPr>
        <w:t>7 %</w:t>
      </w:r>
      <w:r w:rsidRPr="00676D2B">
        <w:rPr>
          <w:rFonts w:ascii="Arial Narrow" w:hAnsi="Arial Narrow" w:cs="Arial"/>
          <w:sz w:val="22"/>
          <w:szCs w:val="22"/>
        </w:rPr>
        <w:t>.</w:t>
      </w:r>
    </w:p>
    <w:p w:rsidR="00032D6B" w:rsidRPr="00676D2B" w:rsidRDefault="00032D6B" w:rsidP="005D017E">
      <w:pPr>
        <w:ind w:firstLine="708"/>
        <w:jc w:val="both"/>
        <w:rPr>
          <w:rFonts w:ascii="Arial Narrow" w:hAnsi="Arial Narrow" w:cs="Arial"/>
          <w:sz w:val="22"/>
          <w:szCs w:val="22"/>
        </w:rPr>
      </w:pPr>
    </w:p>
    <w:p w:rsidR="00240206" w:rsidRPr="00676D2B" w:rsidRDefault="00240206" w:rsidP="00670251">
      <w:pPr>
        <w:ind w:firstLine="708"/>
        <w:jc w:val="both"/>
        <w:rPr>
          <w:rFonts w:ascii="Arial Narrow" w:hAnsi="Arial Narrow" w:cs="Arial"/>
          <w:sz w:val="22"/>
          <w:szCs w:val="22"/>
        </w:rPr>
      </w:pPr>
      <w:r w:rsidRPr="00676D2B">
        <w:rPr>
          <w:rFonts w:ascii="Arial Narrow" w:hAnsi="Arial Narrow" w:cs="Arial"/>
          <w:sz w:val="22"/>
          <w:szCs w:val="22"/>
        </w:rPr>
        <w:t xml:space="preserve">Štruktúra príjmov na sociálnu ochranu </w:t>
      </w:r>
      <w:r w:rsidR="000B4797" w:rsidRPr="00676D2B">
        <w:rPr>
          <w:rFonts w:ascii="Arial Narrow" w:hAnsi="Arial Narrow" w:cs="Arial"/>
          <w:sz w:val="22"/>
          <w:szCs w:val="22"/>
        </w:rPr>
        <w:t>v roku 201</w:t>
      </w:r>
      <w:r w:rsidR="001024C2" w:rsidRPr="00676D2B">
        <w:rPr>
          <w:rFonts w:ascii="Arial Narrow" w:hAnsi="Arial Narrow" w:cs="Arial"/>
          <w:sz w:val="22"/>
          <w:szCs w:val="22"/>
        </w:rPr>
        <w:t>9</w:t>
      </w:r>
      <w:r w:rsidR="000B4797" w:rsidRPr="00676D2B">
        <w:rPr>
          <w:rFonts w:ascii="Arial Narrow" w:hAnsi="Arial Narrow" w:cs="Arial"/>
          <w:sz w:val="22"/>
          <w:szCs w:val="22"/>
        </w:rPr>
        <w:t xml:space="preserve"> </w:t>
      </w:r>
      <w:r w:rsidRPr="00676D2B">
        <w:rPr>
          <w:rFonts w:ascii="Arial Narrow" w:hAnsi="Arial Narrow" w:cs="Arial"/>
          <w:sz w:val="22"/>
          <w:szCs w:val="22"/>
        </w:rPr>
        <w:t xml:space="preserve">bola nasledovná: sociálne príspevky </w:t>
      </w:r>
      <w:r w:rsidR="00670251" w:rsidRPr="00676D2B">
        <w:rPr>
          <w:rFonts w:ascii="Arial Narrow" w:hAnsi="Arial Narrow" w:cs="Arial"/>
          <w:sz w:val="22"/>
          <w:szCs w:val="22"/>
        </w:rPr>
        <w:t>7</w:t>
      </w:r>
      <w:r w:rsidR="00FB6FB4" w:rsidRPr="00676D2B">
        <w:rPr>
          <w:rFonts w:ascii="Arial Narrow" w:hAnsi="Arial Narrow" w:cs="Arial"/>
          <w:sz w:val="22"/>
          <w:szCs w:val="22"/>
        </w:rPr>
        <w:t>3</w:t>
      </w:r>
      <w:r w:rsidR="00670251" w:rsidRPr="00676D2B">
        <w:rPr>
          <w:rFonts w:ascii="Arial Narrow" w:hAnsi="Arial Narrow" w:cs="Arial"/>
          <w:sz w:val="22"/>
          <w:szCs w:val="22"/>
        </w:rPr>
        <w:t>,</w:t>
      </w:r>
      <w:r w:rsidR="00FB6FB4" w:rsidRPr="00676D2B">
        <w:rPr>
          <w:rFonts w:ascii="Arial Narrow" w:hAnsi="Arial Narrow" w:cs="Arial"/>
          <w:sz w:val="22"/>
          <w:szCs w:val="22"/>
        </w:rPr>
        <w:t>4</w:t>
      </w:r>
      <w:r w:rsidRPr="00676D2B">
        <w:rPr>
          <w:rFonts w:ascii="Arial Narrow" w:hAnsi="Arial Narrow" w:cs="Arial"/>
          <w:sz w:val="22"/>
          <w:szCs w:val="22"/>
        </w:rPr>
        <w:t xml:space="preserve"> % (od zamestnávateľov </w:t>
      </w:r>
      <w:r w:rsidR="00FB6FB4" w:rsidRPr="00676D2B">
        <w:rPr>
          <w:rFonts w:ascii="Arial Narrow" w:hAnsi="Arial Narrow" w:cs="Arial"/>
          <w:sz w:val="22"/>
          <w:szCs w:val="22"/>
        </w:rPr>
        <w:t>50</w:t>
      </w:r>
      <w:r w:rsidR="00CF134A" w:rsidRPr="00676D2B">
        <w:rPr>
          <w:rFonts w:ascii="Arial Narrow" w:hAnsi="Arial Narrow" w:cs="Arial"/>
          <w:sz w:val="22"/>
          <w:szCs w:val="22"/>
        </w:rPr>
        <w:t>,</w:t>
      </w:r>
      <w:r w:rsidR="00FB6FB4" w:rsidRPr="00676D2B">
        <w:rPr>
          <w:rFonts w:ascii="Arial Narrow" w:hAnsi="Arial Narrow" w:cs="Arial"/>
          <w:sz w:val="22"/>
          <w:szCs w:val="22"/>
        </w:rPr>
        <w:t>2</w:t>
      </w:r>
      <w:r w:rsidR="006747FA" w:rsidRPr="00676D2B">
        <w:rPr>
          <w:rFonts w:ascii="Arial Narrow" w:hAnsi="Arial Narrow" w:cs="Arial"/>
          <w:sz w:val="22"/>
          <w:szCs w:val="22"/>
        </w:rPr>
        <w:t> </w:t>
      </w:r>
      <w:r w:rsidRPr="00676D2B">
        <w:rPr>
          <w:rFonts w:ascii="Arial Narrow" w:hAnsi="Arial Narrow" w:cs="Arial"/>
          <w:sz w:val="22"/>
          <w:szCs w:val="22"/>
        </w:rPr>
        <w:t xml:space="preserve">%, zamestnancov </w:t>
      </w:r>
      <w:r w:rsidR="00CF134A" w:rsidRPr="00676D2B">
        <w:rPr>
          <w:rFonts w:ascii="Arial Narrow" w:hAnsi="Arial Narrow" w:cs="Arial"/>
          <w:sz w:val="22"/>
          <w:szCs w:val="22"/>
        </w:rPr>
        <w:t>1</w:t>
      </w:r>
      <w:r w:rsidR="00FB6FB4" w:rsidRPr="00676D2B">
        <w:rPr>
          <w:rFonts w:ascii="Arial Narrow" w:hAnsi="Arial Narrow" w:cs="Arial"/>
          <w:sz w:val="22"/>
          <w:szCs w:val="22"/>
        </w:rPr>
        <w:t>9</w:t>
      </w:r>
      <w:r w:rsidR="00CF134A" w:rsidRPr="00676D2B">
        <w:rPr>
          <w:rFonts w:ascii="Arial Narrow" w:hAnsi="Arial Narrow" w:cs="Arial"/>
          <w:sz w:val="22"/>
          <w:szCs w:val="22"/>
        </w:rPr>
        <w:t>,</w:t>
      </w:r>
      <w:r w:rsidR="00FB6FB4" w:rsidRPr="00676D2B">
        <w:rPr>
          <w:rFonts w:ascii="Arial Narrow" w:hAnsi="Arial Narrow" w:cs="Arial"/>
          <w:sz w:val="22"/>
          <w:szCs w:val="22"/>
        </w:rPr>
        <w:t>2</w:t>
      </w:r>
      <w:r w:rsidR="00492A86" w:rsidRPr="00676D2B">
        <w:rPr>
          <w:rFonts w:ascii="Arial Narrow" w:hAnsi="Arial Narrow" w:cs="Arial"/>
          <w:sz w:val="22"/>
          <w:szCs w:val="22"/>
        </w:rPr>
        <w:t xml:space="preserve"> </w:t>
      </w:r>
      <w:r w:rsidRPr="00676D2B">
        <w:rPr>
          <w:rFonts w:ascii="Arial Narrow" w:hAnsi="Arial Narrow" w:cs="Arial"/>
          <w:sz w:val="22"/>
          <w:szCs w:val="22"/>
        </w:rPr>
        <w:t>%, SZČO 3,</w:t>
      </w:r>
      <w:r w:rsidR="00FB6FB4" w:rsidRPr="00676D2B">
        <w:rPr>
          <w:rFonts w:ascii="Arial Narrow" w:hAnsi="Arial Narrow" w:cs="Arial"/>
          <w:sz w:val="22"/>
          <w:szCs w:val="22"/>
        </w:rPr>
        <w:t>5</w:t>
      </w:r>
      <w:r w:rsidRPr="00676D2B">
        <w:rPr>
          <w:rFonts w:ascii="Arial Narrow" w:hAnsi="Arial Narrow" w:cs="Arial"/>
          <w:sz w:val="22"/>
          <w:szCs w:val="22"/>
        </w:rPr>
        <w:t> % a dobrovoľných platiteľov 0,</w:t>
      </w:r>
      <w:r w:rsidR="00492A86" w:rsidRPr="00676D2B">
        <w:rPr>
          <w:rFonts w:ascii="Arial Narrow" w:hAnsi="Arial Narrow" w:cs="Arial"/>
          <w:sz w:val="22"/>
          <w:szCs w:val="22"/>
        </w:rPr>
        <w:t>5</w:t>
      </w:r>
      <w:r w:rsidRPr="00676D2B">
        <w:rPr>
          <w:rFonts w:ascii="Arial Narrow" w:hAnsi="Arial Narrow" w:cs="Arial"/>
          <w:sz w:val="22"/>
          <w:szCs w:val="22"/>
        </w:rPr>
        <w:t xml:space="preserve"> %), príspevky verejnej správy </w:t>
      </w:r>
      <w:r w:rsidR="00CF134A" w:rsidRPr="00676D2B">
        <w:rPr>
          <w:rFonts w:ascii="Arial Narrow" w:hAnsi="Arial Narrow" w:cs="Arial"/>
          <w:sz w:val="22"/>
          <w:szCs w:val="22"/>
        </w:rPr>
        <w:t>2</w:t>
      </w:r>
      <w:r w:rsidR="00FB6FB4" w:rsidRPr="00676D2B">
        <w:rPr>
          <w:rFonts w:ascii="Arial Narrow" w:hAnsi="Arial Narrow" w:cs="Arial"/>
          <w:sz w:val="22"/>
          <w:szCs w:val="22"/>
        </w:rPr>
        <w:t>3</w:t>
      </w:r>
      <w:r w:rsidR="00F04975" w:rsidRPr="00676D2B">
        <w:rPr>
          <w:rFonts w:ascii="Arial Narrow" w:hAnsi="Arial Narrow" w:cs="Arial"/>
          <w:sz w:val="22"/>
          <w:szCs w:val="22"/>
        </w:rPr>
        <w:t>,</w:t>
      </w:r>
      <w:r w:rsidR="00FB6FB4" w:rsidRPr="00676D2B">
        <w:rPr>
          <w:rFonts w:ascii="Arial Narrow" w:hAnsi="Arial Narrow" w:cs="Arial"/>
          <w:sz w:val="22"/>
          <w:szCs w:val="22"/>
        </w:rPr>
        <w:t>7</w:t>
      </w:r>
      <w:r w:rsidRPr="00676D2B">
        <w:rPr>
          <w:rFonts w:ascii="Arial Narrow" w:hAnsi="Arial Narrow" w:cs="Arial"/>
          <w:sz w:val="22"/>
          <w:szCs w:val="22"/>
        </w:rPr>
        <w:t xml:space="preserve"> % a iné príjmy </w:t>
      </w:r>
      <w:r w:rsidR="00B032D0" w:rsidRPr="00676D2B">
        <w:rPr>
          <w:rFonts w:ascii="Arial Narrow" w:hAnsi="Arial Narrow" w:cs="Arial"/>
          <w:sz w:val="22"/>
          <w:szCs w:val="22"/>
        </w:rPr>
        <w:t>3</w:t>
      </w:r>
      <w:r w:rsidR="00CF134A" w:rsidRPr="00676D2B">
        <w:rPr>
          <w:rFonts w:ascii="Arial Narrow" w:hAnsi="Arial Narrow" w:cs="Arial"/>
          <w:sz w:val="22"/>
          <w:szCs w:val="22"/>
        </w:rPr>
        <w:t>,</w:t>
      </w:r>
      <w:r w:rsidR="00FB6FB4" w:rsidRPr="00676D2B">
        <w:rPr>
          <w:rFonts w:ascii="Arial Narrow" w:hAnsi="Arial Narrow" w:cs="Arial"/>
          <w:sz w:val="22"/>
          <w:szCs w:val="22"/>
        </w:rPr>
        <w:t>0</w:t>
      </w:r>
      <w:r w:rsidRPr="00676D2B">
        <w:rPr>
          <w:rFonts w:ascii="Arial Narrow" w:hAnsi="Arial Narrow" w:cs="Arial"/>
          <w:sz w:val="22"/>
          <w:szCs w:val="22"/>
        </w:rPr>
        <w:t xml:space="preserve"> %. </w:t>
      </w:r>
      <w:r w:rsidR="00F51491" w:rsidRPr="00676D2B">
        <w:rPr>
          <w:rFonts w:ascii="Arial Narrow" w:hAnsi="Arial Narrow" w:cs="Arial"/>
          <w:sz w:val="22"/>
          <w:szCs w:val="22"/>
        </w:rPr>
        <w:t>Slovenská republiky patrí medzi štáty, ktorej systém sociálnej ochra</w:t>
      </w:r>
      <w:r w:rsidR="00104EC2" w:rsidRPr="00676D2B">
        <w:rPr>
          <w:rFonts w:ascii="Arial Narrow" w:hAnsi="Arial Narrow" w:cs="Arial"/>
          <w:sz w:val="22"/>
          <w:szCs w:val="22"/>
        </w:rPr>
        <w:t>ny je financovaný prevažne fond</w:t>
      </w:r>
      <w:r w:rsidR="00F51491" w:rsidRPr="00676D2B">
        <w:rPr>
          <w:rFonts w:ascii="Arial Narrow" w:hAnsi="Arial Narrow" w:cs="Arial"/>
          <w:sz w:val="22"/>
          <w:szCs w:val="22"/>
        </w:rPr>
        <w:t>mi sociálneho a zdravotného poistenia.</w:t>
      </w:r>
    </w:p>
    <w:p w:rsidR="00A400B9" w:rsidRPr="009A5B27" w:rsidRDefault="00A400B9" w:rsidP="005419A2">
      <w:pPr>
        <w:jc w:val="both"/>
        <w:rPr>
          <w:rFonts w:ascii="Arial Narrow" w:hAnsi="Arial Narrow" w:cs="Arial"/>
          <w:sz w:val="20"/>
          <w:szCs w:val="20"/>
          <w:highlight w:val="cyan"/>
        </w:rPr>
      </w:pPr>
    </w:p>
    <w:p w:rsidR="00175ADE" w:rsidRPr="009A5B27" w:rsidRDefault="00175ADE" w:rsidP="00EB5C23">
      <w:pPr>
        <w:rPr>
          <w:rFonts w:ascii="Arial Narrow" w:hAnsi="Arial Narrow" w:cs="Arial"/>
          <w:b/>
          <w:sz w:val="20"/>
          <w:szCs w:val="20"/>
          <w:highlight w:val="cyan"/>
        </w:rPr>
        <w:sectPr w:rsidR="00175ADE" w:rsidRPr="009A5B27" w:rsidSect="0050625F">
          <w:type w:val="continuous"/>
          <w:pgSz w:w="11906" w:h="16838"/>
          <w:pgMar w:top="1418" w:right="1418" w:bottom="964" w:left="1418" w:header="720" w:footer="720" w:gutter="0"/>
          <w:cols w:space="720"/>
          <w:docGrid w:linePitch="360"/>
        </w:sectPr>
      </w:pPr>
    </w:p>
    <w:p w:rsidR="00240206" w:rsidRDefault="00240206" w:rsidP="003256DA">
      <w:pPr>
        <w:rPr>
          <w:rFonts w:ascii="Arial Narrow" w:hAnsi="Arial Narrow" w:cs="Arial"/>
          <w:b/>
          <w:sz w:val="20"/>
          <w:szCs w:val="20"/>
        </w:rPr>
      </w:pPr>
      <w:r w:rsidRPr="00A1422E">
        <w:rPr>
          <w:rFonts w:ascii="Arial Narrow" w:hAnsi="Arial Narrow" w:cs="Arial"/>
          <w:b/>
          <w:sz w:val="20"/>
          <w:szCs w:val="20"/>
        </w:rPr>
        <w:lastRenderedPageBreak/>
        <w:t>Graf 1</w:t>
      </w:r>
      <w:r w:rsidR="003256DA" w:rsidRPr="00A1422E">
        <w:rPr>
          <w:rFonts w:ascii="Arial Narrow" w:hAnsi="Arial Narrow" w:cs="Arial"/>
          <w:b/>
          <w:sz w:val="20"/>
          <w:szCs w:val="20"/>
        </w:rPr>
        <w:t>.1</w:t>
      </w:r>
      <w:r w:rsidR="00140E96" w:rsidRPr="00A1422E">
        <w:rPr>
          <w:rFonts w:ascii="Arial Narrow" w:hAnsi="Arial Narrow" w:cs="Arial"/>
          <w:b/>
          <w:sz w:val="20"/>
          <w:szCs w:val="20"/>
        </w:rPr>
        <w:t xml:space="preserve"> </w:t>
      </w:r>
      <w:r w:rsidRPr="00A1422E">
        <w:rPr>
          <w:rFonts w:ascii="Arial Narrow" w:hAnsi="Arial Narrow" w:cs="Arial"/>
        </w:rPr>
        <w:t xml:space="preserve"> </w:t>
      </w:r>
      <w:r w:rsidRPr="00A1422E">
        <w:rPr>
          <w:rFonts w:ascii="Arial Narrow" w:hAnsi="Arial Narrow" w:cs="Arial"/>
          <w:b/>
          <w:sz w:val="20"/>
          <w:szCs w:val="20"/>
        </w:rPr>
        <w:t>Štruktúra príjmov na sociálnu ochranu podľa druhu v SR, 201</w:t>
      </w:r>
      <w:r w:rsidR="00A1422E">
        <w:rPr>
          <w:rFonts w:ascii="Arial Narrow" w:hAnsi="Arial Narrow" w:cs="Arial"/>
          <w:b/>
          <w:sz w:val="20"/>
          <w:szCs w:val="20"/>
        </w:rPr>
        <w:t>9</w:t>
      </w:r>
    </w:p>
    <w:p w:rsidR="00AA4EBE" w:rsidRPr="00AA4EBE" w:rsidRDefault="00AA4EBE" w:rsidP="003256DA">
      <w:pPr>
        <w:rPr>
          <w:rFonts w:ascii="Arial Narrow" w:hAnsi="Arial Narrow" w:cs="Arial"/>
          <w:b/>
          <w:sz w:val="10"/>
          <w:szCs w:val="10"/>
        </w:rPr>
      </w:pPr>
    </w:p>
    <w:p w:rsidR="005C22CE" w:rsidRDefault="00A1422E" w:rsidP="003256DA">
      <w:pPr>
        <w:rPr>
          <w:rFonts w:ascii="Arial Narrow" w:hAnsi="Arial Narrow" w:cs="Arial"/>
        </w:rPr>
      </w:pPr>
      <w:r>
        <w:rPr>
          <w:noProof/>
          <w:lang w:eastAsia="sk-SK"/>
        </w:rPr>
        <w:drawing>
          <wp:inline distT="0" distB="0" distL="0" distR="0" wp14:anchorId="55740F30" wp14:editId="42099A15">
            <wp:extent cx="5482590" cy="2642260"/>
            <wp:effectExtent l="0" t="0" r="3810" b="5715"/>
            <wp:docPr id="9" name="Graf 9">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610AF" w:rsidRPr="004610AF" w:rsidRDefault="00240206" w:rsidP="00F320E4">
      <w:pPr>
        <w:rPr>
          <w:rFonts w:ascii="Arial Narrow" w:hAnsi="Arial Narrow" w:cs="Arial"/>
          <w:i/>
          <w:sz w:val="10"/>
          <w:szCs w:val="10"/>
        </w:rPr>
      </w:pPr>
      <w:r>
        <w:rPr>
          <w:rFonts w:ascii="Arial Narrow" w:hAnsi="Arial Narrow" w:cs="Arial"/>
          <w:i/>
          <w:sz w:val="20"/>
          <w:szCs w:val="20"/>
        </w:rPr>
        <w:t xml:space="preserve">    </w:t>
      </w:r>
    </w:p>
    <w:p w:rsidR="00676D2B" w:rsidRPr="00D74A81" w:rsidRDefault="00676D2B" w:rsidP="00F320E4">
      <w:pPr>
        <w:rPr>
          <w:rFonts w:ascii="Arial Narrow" w:hAnsi="Arial Narrow" w:cs="Arial"/>
          <w:i/>
          <w:sz w:val="15"/>
          <w:szCs w:val="15"/>
        </w:rPr>
      </w:pPr>
      <w:r w:rsidRPr="00D74A81">
        <w:rPr>
          <w:rFonts w:ascii="Arial Narrow" w:hAnsi="Arial Narrow" w:cs="Arial"/>
          <w:i/>
          <w:sz w:val="15"/>
          <w:szCs w:val="15"/>
        </w:rPr>
        <w:t>Zdroj: ŠÚ SR – ESSPROS</w:t>
      </w:r>
    </w:p>
    <w:p w:rsidR="00240206" w:rsidRDefault="00240206" w:rsidP="00F320E4">
      <w:pPr>
        <w:rPr>
          <w:rFonts w:ascii="Arial Narrow" w:hAnsi="Arial Narrow" w:cs="Arial"/>
          <w:i/>
          <w:sz w:val="10"/>
          <w:szCs w:val="10"/>
          <w:lang w:val="en-GB"/>
        </w:rPr>
      </w:pPr>
      <w:r>
        <w:rPr>
          <w:rFonts w:ascii="Arial Narrow" w:hAnsi="Arial Narrow" w:cs="Arial"/>
          <w:i/>
          <w:sz w:val="20"/>
          <w:szCs w:val="20"/>
        </w:rPr>
        <w:t xml:space="preserve">    </w:t>
      </w:r>
      <w:r w:rsidRPr="000D5535">
        <w:rPr>
          <w:rFonts w:ascii="Arial Narrow" w:hAnsi="Arial Narrow" w:cs="Arial"/>
          <w:i/>
          <w:sz w:val="20"/>
          <w:szCs w:val="20"/>
        </w:rPr>
        <w:t xml:space="preserve">   </w:t>
      </w:r>
      <w:r w:rsidR="00F320E4">
        <w:rPr>
          <w:rFonts w:ascii="Arial Narrow" w:hAnsi="Arial Narrow" w:cs="Arial"/>
          <w:i/>
          <w:sz w:val="10"/>
          <w:szCs w:val="10"/>
          <w:lang w:val="en-GB"/>
        </w:rPr>
        <w:tab/>
      </w:r>
      <w:r w:rsidR="00F320E4">
        <w:rPr>
          <w:rFonts w:ascii="Arial Narrow" w:hAnsi="Arial Narrow" w:cs="Arial"/>
          <w:i/>
          <w:sz w:val="10"/>
          <w:szCs w:val="10"/>
          <w:lang w:val="en-GB"/>
        </w:rPr>
        <w:tab/>
      </w:r>
      <w:r w:rsidR="00F320E4">
        <w:rPr>
          <w:rFonts w:ascii="Arial Narrow" w:hAnsi="Arial Narrow" w:cs="Arial"/>
          <w:i/>
          <w:sz w:val="10"/>
          <w:szCs w:val="10"/>
          <w:lang w:val="en-GB"/>
        </w:rPr>
        <w:tab/>
      </w:r>
      <w:r w:rsidR="00F320E4">
        <w:rPr>
          <w:rFonts w:ascii="Arial Narrow" w:hAnsi="Arial Narrow" w:cs="Arial"/>
          <w:i/>
          <w:sz w:val="10"/>
          <w:szCs w:val="10"/>
          <w:lang w:val="en-GB"/>
        </w:rPr>
        <w:tab/>
      </w:r>
      <w:r w:rsidR="00F320E4">
        <w:rPr>
          <w:rFonts w:ascii="Arial Narrow" w:hAnsi="Arial Narrow" w:cs="Arial"/>
          <w:i/>
          <w:sz w:val="10"/>
          <w:szCs w:val="10"/>
          <w:lang w:val="en-GB"/>
        </w:rPr>
        <w:tab/>
      </w:r>
      <w:r w:rsidR="00F320E4">
        <w:rPr>
          <w:rFonts w:ascii="Arial Narrow" w:hAnsi="Arial Narrow" w:cs="Arial"/>
          <w:i/>
          <w:sz w:val="10"/>
          <w:szCs w:val="10"/>
          <w:lang w:val="en-GB"/>
        </w:rPr>
        <w:tab/>
      </w:r>
      <w:r w:rsidR="00F320E4">
        <w:rPr>
          <w:rFonts w:ascii="Arial Narrow" w:hAnsi="Arial Narrow" w:cs="Arial"/>
          <w:i/>
          <w:sz w:val="10"/>
          <w:szCs w:val="10"/>
          <w:lang w:val="en-GB"/>
        </w:rPr>
        <w:tab/>
      </w:r>
      <w:r w:rsidR="00F320E4">
        <w:rPr>
          <w:rFonts w:ascii="Arial Narrow" w:hAnsi="Arial Narrow" w:cs="Arial"/>
          <w:i/>
          <w:sz w:val="10"/>
          <w:szCs w:val="10"/>
          <w:lang w:val="en-GB"/>
        </w:rPr>
        <w:tab/>
      </w:r>
      <w:r w:rsidR="00F320E4">
        <w:rPr>
          <w:rFonts w:ascii="Arial Narrow" w:hAnsi="Arial Narrow" w:cs="Arial"/>
          <w:i/>
          <w:sz w:val="10"/>
          <w:szCs w:val="10"/>
          <w:lang w:val="en-GB"/>
        </w:rPr>
        <w:tab/>
      </w:r>
    </w:p>
    <w:p w:rsidR="00676D2B" w:rsidRPr="00CD3488" w:rsidRDefault="00676D2B" w:rsidP="00F320E4">
      <w:pPr>
        <w:rPr>
          <w:rFonts w:ascii="Arial Narrow" w:hAnsi="Arial Narrow" w:cs="Arial"/>
          <w:i/>
          <w:sz w:val="15"/>
          <w:szCs w:val="15"/>
          <w:lang w:val="en-GB"/>
        </w:rPr>
        <w:sectPr w:rsidR="00676D2B" w:rsidRPr="00CD3488" w:rsidSect="0050625F">
          <w:type w:val="continuous"/>
          <w:pgSz w:w="11906" w:h="16838"/>
          <w:pgMar w:top="1418" w:right="1418" w:bottom="964" w:left="1418" w:header="720" w:footer="720" w:gutter="0"/>
          <w:cols w:space="720"/>
          <w:docGrid w:linePitch="360"/>
        </w:sectPr>
      </w:pPr>
    </w:p>
    <w:p w:rsidR="009948C8" w:rsidRDefault="00CF134A" w:rsidP="00DC1058">
      <w:pPr>
        <w:ind w:firstLine="708"/>
        <w:jc w:val="both"/>
        <w:rPr>
          <w:rFonts w:ascii="Arial Narrow" w:hAnsi="Arial Narrow"/>
          <w:sz w:val="22"/>
          <w:szCs w:val="22"/>
        </w:rPr>
      </w:pPr>
      <w:r w:rsidRPr="00676D2B">
        <w:rPr>
          <w:rFonts w:ascii="Arial Narrow" w:hAnsi="Arial Narrow"/>
          <w:sz w:val="22"/>
          <w:szCs w:val="22"/>
        </w:rPr>
        <w:lastRenderedPageBreak/>
        <w:t>Celkové príjmy na sociálnu ochranu vzrástli od roku 199</w:t>
      </w:r>
      <w:r w:rsidR="004610AF">
        <w:rPr>
          <w:rFonts w:ascii="Arial Narrow" w:hAnsi="Arial Narrow"/>
          <w:sz w:val="22"/>
          <w:szCs w:val="22"/>
        </w:rPr>
        <w:t>8</w:t>
      </w:r>
      <w:r w:rsidR="003A6E2C" w:rsidRPr="00676D2B">
        <w:rPr>
          <w:rFonts w:ascii="Arial Narrow" w:hAnsi="Arial Narrow"/>
          <w:sz w:val="22"/>
          <w:szCs w:val="22"/>
        </w:rPr>
        <w:t xml:space="preserve"> (</w:t>
      </w:r>
      <w:r w:rsidR="004610AF">
        <w:rPr>
          <w:rFonts w:ascii="Arial Narrow" w:hAnsi="Arial Narrow"/>
          <w:sz w:val="22"/>
          <w:szCs w:val="22"/>
        </w:rPr>
        <w:t>5 191,7</w:t>
      </w:r>
      <w:r w:rsidR="003A6E2C" w:rsidRPr="00676D2B">
        <w:rPr>
          <w:rFonts w:ascii="Arial Narrow" w:hAnsi="Arial Narrow"/>
          <w:sz w:val="22"/>
          <w:szCs w:val="22"/>
        </w:rPr>
        <w:t xml:space="preserve"> mil. eur) do roku 201</w:t>
      </w:r>
      <w:r w:rsidR="00795A1B" w:rsidRPr="00676D2B">
        <w:rPr>
          <w:rFonts w:ascii="Arial Narrow" w:hAnsi="Arial Narrow"/>
          <w:sz w:val="22"/>
          <w:szCs w:val="22"/>
        </w:rPr>
        <w:t>9</w:t>
      </w:r>
      <w:r w:rsidRPr="00676D2B">
        <w:rPr>
          <w:rFonts w:ascii="Arial Narrow" w:hAnsi="Arial Narrow"/>
          <w:sz w:val="22"/>
          <w:szCs w:val="22"/>
        </w:rPr>
        <w:t xml:space="preserve"> </w:t>
      </w:r>
      <w:r w:rsidR="001757D2" w:rsidRPr="00676D2B">
        <w:rPr>
          <w:rFonts w:ascii="Arial Narrow" w:hAnsi="Arial Narrow"/>
          <w:sz w:val="22"/>
          <w:szCs w:val="22"/>
        </w:rPr>
        <w:br/>
      </w:r>
      <w:r w:rsidRPr="00676D2B">
        <w:rPr>
          <w:rFonts w:ascii="Arial Narrow" w:hAnsi="Arial Narrow"/>
          <w:sz w:val="22"/>
          <w:szCs w:val="22"/>
        </w:rPr>
        <w:t>(</w:t>
      </w:r>
      <w:r w:rsidR="003A6E2C" w:rsidRPr="00676D2B">
        <w:rPr>
          <w:rFonts w:ascii="Arial Narrow" w:hAnsi="Arial Narrow"/>
          <w:sz w:val="22"/>
          <w:szCs w:val="22"/>
        </w:rPr>
        <w:t>1</w:t>
      </w:r>
      <w:r w:rsidR="00795A1B" w:rsidRPr="00676D2B">
        <w:rPr>
          <w:rFonts w:ascii="Arial Narrow" w:hAnsi="Arial Narrow"/>
          <w:sz w:val="22"/>
          <w:szCs w:val="22"/>
        </w:rPr>
        <w:t>8</w:t>
      </w:r>
      <w:r w:rsidR="003A6E2C" w:rsidRPr="00676D2B">
        <w:rPr>
          <w:rFonts w:ascii="Arial Narrow" w:hAnsi="Arial Narrow"/>
          <w:sz w:val="22"/>
          <w:szCs w:val="22"/>
        </w:rPr>
        <w:t> </w:t>
      </w:r>
      <w:r w:rsidR="00795A1B" w:rsidRPr="00676D2B">
        <w:rPr>
          <w:rFonts w:ascii="Arial Narrow" w:hAnsi="Arial Narrow"/>
          <w:sz w:val="22"/>
          <w:szCs w:val="22"/>
        </w:rPr>
        <w:t>059</w:t>
      </w:r>
      <w:r w:rsidR="003A6E2C" w:rsidRPr="00676D2B">
        <w:rPr>
          <w:rFonts w:ascii="Arial Narrow" w:hAnsi="Arial Narrow"/>
          <w:sz w:val="22"/>
          <w:szCs w:val="22"/>
        </w:rPr>
        <w:t>,</w:t>
      </w:r>
      <w:r w:rsidR="00795A1B" w:rsidRPr="00676D2B">
        <w:rPr>
          <w:rFonts w:ascii="Arial Narrow" w:hAnsi="Arial Narrow"/>
          <w:sz w:val="22"/>
          <w:szCs w:val="22"/>
        </w:rPr>
        <w:t>2</w:t>
      </w:r>
      <w:r w:rsidR="003A6E2C" w:rsidRPr="00676D2B">
        <w:rPr>
          <w:rFonts w:ascii="Arial Narrow" w:hAnsi="Arial Narrow"/>
          <w:sz w:val="22"/>
          <w:szCs w:val="22"/>
        </w:rPr>
        <w:t xml:space="preserve"> </w:t>
      </w:r>
      <w:r w:rsidR="00795A1B" w:rsidRPr="00676D2B">
        <w:rPr>
          <w:rFonts w:ascii="Arial Narrow" w:hAnsi="Arial Narrow"/>
          <w:sz w:val="22"/>
          <w:szCs w:val="22"/>
        </w:rPr>
        <w:t>mi</w:t>
      </w:r>
      <w:r w:rsidR="004610AF">
        <w:rPr>
          <w:rFonts w:ascii="Arial Narrow" w:hAnsi="Arial Narrow"/>
          <w:sz w:val="22"/>
          <w:szCs w:val="22"/>
        </w:rPr>
        <w:t>l. eur), čo predstavuje takmer 3,5</w:t>
      </w:r>
      <w:r w:rsidR="00795A1B" w:rsidRPr="00676D2B">
        <w:rPr>
          <w:rFonts w:ascii="Arial Narrow" w:hAnsi="Arial Narrow"/>
          <w:sz w:val="22"/>
          <w:szCs w:val="22"/>
        </w:rPr>
        <w:t>-násobný nárast.</w:t>
      </w:r>
    </w:p>
    <w:p w:rsidR="004610AF" w:rsidRPr="00676D2B" w:rsidRDefault="004610AF" w:rsidP="00DC1058">
      <w:pPr>
        <w:ind w:firstLine="708"/>
        <w:jc w:val="both"/>
        <w:rPr>
          <w:rFonts w:ascii="Arial Narrow" w:hAnsi="Arial Narrow"/>
          <w:sz w:val="22"/>
          <w:szCs w:val="22"/>
        </w:rPr>
      </w:pPr>
    </w:p>
    <w:p w:rsidR="00032D6B" w:rsidRDefault="008B4221" w:rsidP="00A023C6">
      <w:pPr>
        <w:ind w:firstLine="708"/>
        <w:jc w:val="both"/>
        <w:rPr>
          <w:rFonts w:ascii="Arial Narrow" w:hAnsi="Arial Narrow"/>
          <w:sz w:val="22"/>
          <w:szCs w:val="22"/>
        </w:rPr>
      </w:pPr>
      <w:r w:rsidRPr="00676D2B">
        <w:rPr>
          <w:rFonts w:ascii="Arial Narrow" w:hAnsi="Arial Narrow"/>
          <w:sz w:val="22"/>
          <w:szCs w:val="22"/>
        </w:rPr>
        <w:t xml:space="preserve">Zamestnávatelia sa na štruktúre príjmov sociálnej ochrany </w:t>
      </w:r>
      <w:r w:rsidR="00813877" w:rsidRPr="00676D2B">
        <w:rPr>
          <w:rFonts w:ascii="Arial Narrow" w:hAnsi="Arial Narrow"/>
          <w:sz w:val="22"/>
          <w:szCs w:val="22"/>
        </w:rPr>
        <w:t xml:space="preserve">podieľali sociálnymi príspevkami za svojich zamestnancov </w:t>
      </w:r>
      <w:r w:rsidRPr="00676D2B">
        <w:rPr>
          <w:rFonts w:ascii="Arial Narrow" w:hAnsi="Arial Narrow"/>
          <w:sz w:val="22"/>
          <w:szCs w:val="22"/>
        </w:rPr>
        <w:t xml:space="preserve">v monitorovanom období </w:t>
      </w:r>
      <w:r w:rsidR="004610AF">
        <w:rPr>
          <w:rFonts w:ascii="Arial Narrow" w:hAnsi="Arial Narrow"/>
          <w:sz w:val="22"/>
          <w:szCs w:val="22"/>
        </w:rPr>
        <w:t xml:space="preserve">(1988-2019) </w:t>
      </w:r>
      <w:r w:rsidRPr="00676D2B">
        <w:rPr>
          <w:rFonts w:ascii="Arial Narrow" w:hAnsi="Arial Narrow"/>
          <w:sz w:val="22"/>
          <w:szCs w:val="22"/>
        </w:rPr>
        <w:t xml:space="preserve">minimálne 39,9 % (2010) a maximálne </w:t>
      </w:r>
      <w:r w:rsidR="00795A1B" w:rsidRPr="00676D2B">
        <w:rPr>
          <w:rFonts w:ascii="Arial Narrow" w:hAnsi="Arial Narrow"/>
          <w:sz w:val="22"/>
          <w:szCs w:val="22"/>
        </w:rPr>
        <w:t>50</w:t>
      </w:r>
      <w:r w:rsidRPr="00676D2B">
        <w:rPr>
          <w:rFonts w:ascii="Arial Narrow" w:hAnsi="Arial Narrow"/>
          <w:sz w:val="22"/>
          <w:szCs w:val="22"/>
        </w:rPr>
        <w:t>,</w:t>
      </w:r>
      <w:r w:rsidR="00795A1B" w:rsidRPr="00676D2B">
        <w:rPr>
          <w:rFonts w:ascii="Arial Narrow" w:hAnsi="Arial Narrow"/>
          <w:sz w:val="22"/>
          <w:szCs w:val="22"/>
        </w:rPr>
        <w:t>2</w:t>
      </w:r>
      <w:r w:rsidRPr="00676D2B">
        <w:rPr>
          <w:rFonts w:ascii="Arial Narrow" w:hAnsi="Arial Narrow"/>
          <w:sz w:val="22"/>
          <w:szCs w:val="22"/>
        </w:rPr>
        <w:t xml:space="preserve"> % </w:t>
      </w:r>
      <w:r w:rsidR="00795A1B" w:rsidRPr="00676D2B">
        <w:rPr>
          <w:rFonts w:ascii="Arial Narrow" w:hAnsi="Arial Narrow"/>
          <w:sz w:val="22"/>
          <w:szCs w:val="22"/>
        </w:rPr>
        <w:t>za posledný sledovaný rok 2019.</w:t>
      </w:r>
      <w:r w:rsidRPr="00676D2B">
        <w:rPr>
          <w:rFonts w:ascii="Arial Narrow" w:hAnsi="Arial Narrow"/>
          <w:sz w:val="22"/>
          <w:szCs w:val="22"/>
        </w:rPr>
        <w:t xml:space="preserve"> Príspevky verejnej správy sa pohybovali v rozmedzí 2</w:t>
      </w:r>
      <w:r w:rsidR="00795A1B" w:rsidRPr="00676D2B">
        <w:rPr>
          <w:rFonts w:ascii="Arial Narrow" w:hAnsi="Arial Narrow"/>
          <w:sz w:val="22"/>
          <w:szCs w:val="22"/>
        </w:rPr>
        <w:t>3</w:t>
      </w:r>
      <w:r w:rsidRPr="00676D2B">
        <w:rPr>
          <w:rFonts w:ascii="Arial Narrow" w:hAnsi="Arial Narrow"/>
          <w:sz w:val="22"/>
          <w:szCs w:val="22"/>
        </w:rPr>
        <w:t>,</w:t>
      </w:r>
      <w:r w:rsidR="00795A1B" w:rsidRPr="00676D2B">
        <w:rPr>
          <w:rFonts w:ascii="Arial Narrow" w:hAnsi="Arial Narrow"/>
          <w:sz w:val="22"/>
          <w:szCs w:val="22"/>
        </w:rPr>
        <w:t>7</w:t>
      </w:r>
      <w:r w:rsidRPr="00676D2B">
        <w:rPr>
          <w:rFonts w:ascii="Arial Narrow" w:hAnsi="Arial Narrow"/>
          <w:sz w:val="22"/>
          <w:szCs w:val="22"/>
        </w:rPr>
        <w:t xml:space="preserve"> % (20</w:t>
      </w:r>
      <w:r w:rsidR="00795A1B" w:rsidRPr="00676D2B">
        <w:rPr>
          <w:rFonts w:ascii="Arial Narrow" w:hAnsi="Arial Narrow"/>
          <w:sz w:val="22"/>
          <w:szCs w:val="22"/>
        </w:rPr>
        <w:t>19</w:t>
      </w:r>
      <w:r w:rsidRPr="00676D2B">
        <w:rPr>
          <w:rFonts w:ascii="Arial Narrow" w:hAnsi="Arial Narrow"/>
          <w:sz w:val="22"/>
          <w:szCs w:val="22"/>
        </w:rPr>
        <w:t>) do 37,5 % (2012).</w:t>
      </w:r>
      <w:r w:rsidR="00813877" w:rsidRPr="00676D2B">
        <w:rPr>
          <w:rFonts w:ascii="Arial Narrow" w:hAnsi="Arial Narrow"/>
          <w:sz w:val="22"/>
          <w:szCs w:val="22"/>
        </w:rPr>
        <w:t xml:space="preserve"> </w:t>
      </w:r>
      <w:r w:rsidR="00552598" w:rsidRPr="00676D2B">
        <w:rPr>
          <w:rFonts w:ascii="Arial Narrow" w:hAnsi="Arial Narrow"/>
          <w:sz w:val="22"/>
          <w:szCs w:val="22"/>
        </w:rPr>
        <w:lastRenderedPageBreak/>
        <w:t xml:space="preserve">Zamestnanci prispievali v rozmedzí </w:t>
      </w:r>
      <w:r w:rsidR="00C05C30" w:rsidRPr="00676D2B">
        <w:rPr>
          <w:rFonts w:ascii="Arial Narrow" w:hAnsi="Arial Narrow"/>
          <w:sz w:val="22"/>
          <w:szCs w:val="22"/>
        </w:rPr>
        <w:t>1</w:t>
      </w:r>
      <w:r w:rsidR="00A44F02" w:rsidRPr="00676D2B">
        <w:rPr>
          <w:rFonts w:ascii="Arial Narrow" w:hAnsi="Arial Narrow"/>
          <w:sz w:val="22"/>
          <w:szCs w:val="22"/>
        </w:rPr>
        <w:t>4</w:t>
      </w:r>
      <w:r w:rsidR="00C05C30" w:rsidRPr="00676D2B">
        <w:rPr>
          <w:rFonts w:ascii="Arial Narrow" w:hAnsi="Arial Narrow"/>
          <w:sz w:val="22"/>
          <w:szCs w:val="22"/>
        </w:rPr>
        <w:t>,6 % (199</w:t>
      </w:r>
      <w:r w:rsidR="00A44F02" w:rsidRPr="00676D2B">
        <w:rPr>
          <w:rFonts w:ascii="Arial Narrow" w:hAnsi="Arial Narrow"/>
          <w:sz w:val="22"/>
          <w:szCs w:val="22"/>
        </w:rPr>
        <w:t>9</w:t>
      </w:r>
      <w:r w:rsidR="00C05C30" w:rsidRPr="00676D2B">
        <w:rPr>
          <w:rFonts w:ascii="Arial Narrow" w:hAnsi="Arial Narrow"/>
          <w:sz w:val="22"/>
          <w:szCs w:val="22"/>
        </w:rPr>
        <w:t>) do 1</w:t>
      </w:r>
      <w:r w:rsidR="00795A1B" w:rsidRPr="00676D2B">
        <w:rPr>
          <w:rFonts w:ascii="Arial Narrow" w:hAnsi="Arial Narrow"/>
          <w:sz w:val="22"/>
          <w:szCs w:val="22"/>
        </w:rPr>
        <w:t>9</w:t>
      </w:r>
      <w:r w:rsidR="00C05C30" w:rsidRPr="00676D2B">
        <w:rPr>
          <w:rFonts w:ascii="Arial Narrow" w:hAnsi="Arial Narrow"/>
          <w:sz w:val="22"/>
          <w:szCs w:val="22"/>
        </w:rPr>
        <w:t>,</w:t>
      </w:r>
      <w:r w:rsidR="00795A1B" w:rsidRPr="00676D2B">
        <w:rPr>
          <w:rFonts w:ascii="Arial Narrow" w:hAnsi="Arial Narrow"/>
          <w:sz w:val="22"/>
          <w:szCs w:val="22"/>
        </w:rPr>
        <w:t>2</w:t>
      </w:r>
      <w:r w:rsidR="00C05C30" w:rsidRPr="00676D2B">
        <w:rPr>
          <w:rFonts w:ascii="Arial Narrow" w:hAnsi="Arial Narrow"/>
          <w:sz w:val="22"/>
          <w:szCs w:val="22"/>
        </w:rPr>
        <w:t xml:space="preserve"> % (20</w:t>
      </w:r>
      <w:r w:rsidR="00867C0E" w:rsidRPr="00676D2B">
        <w:rPr>
          <w:rFonts w:ascii="Arial Narrow" w:hAnsi="Arial Narrow"/>
          <w:sz w:val="22"/>
          <w:szCs w:val="22"/>
        </w:rPr>
        <w:t>1</w:t>
      </w:r>
      <w:r w:rsidR="00795A1B" w:rsidRPr="00676D2B">
        <w:rPr>
          <w:rFonts w:ascii="Arial Narrow" w:hAnsi="Arial Narrow"/>
          <w:sz w:val="22"/>
          <w:szCs w:val="22"/>
        </w:rPr>
        <w:t>9</w:t>
      </w:r>
      <w:r w:rsidR="00C05C30" w:rsidRPr="00676D2B">
        <w:rPr>
          <w:rFonts w:ascii="Arial Narrow" w:hAnsi="Arial Narrow"/>
          <w:sz w:val="22"/>
          <w:szCs w:val="22"/>
        </w:rPr>
        <w:t xml:space="preserve">) a sociálne príspevky SZČO </w:t>
      </w:r>
      <w:r w:rsidR="00813877" w:rsidRPr="00676D2B">
        <w:rPr>
          <w:rFonts w:ascii="Arial Narrow" w:hAnsi="Arial Narrow"/>
          <w:sz w:val="22"/>
          <w:szCs w:val="22"/>
        </w:rPr>
        <w:t>tvorili</w:t>
      </w:r>
      <w:r w:rsidR="00C05C30" w:rsidRPr="00676D2B">
        <w:rPr>
          <w:rFonts w:ascii="Arial Narrow" w:hAnsi="Arial Narrow"/>
          <w:sz w:val="22"/>
          <w:szCs w:val="22"/>
        </w:rPr>
        <w:t xml:space="preserve"> </w:t>
      </w:r>
      <w:r w:rsidR="00813877" w:rsidRPr="0031316C">
        <w:rPr>
          <w:rFonts w:ascii="Arial Narrow" w:hAnsi="Arial Narrow"/>
          <w:sz w:val="22"/>
          <w:szCs w:val="22"/>
        </w:rPr>
        <w:t>od 2,5 %</w:t>
      </w:r>
      <w:r w:rsidR="004610AF" w:rsidRPr="0031316C">
        <w:rPr>
          <w:rFonts w:ascii="Arial Narrow" w:hAnsi="Arial Narrow"/>
          <w:sz w:val="22"/>
          <w:szCs w:val="22"/>
        </w:rPr>
        <w:t xml:space="preserve"> (</w:t>
      </w:r>
      <w:r w:rsidR="0031316C" w:rsidRPr="0031316C">
        <w:rPr>
          <w:rFonts w:ascii="Arial Narrow" w:hAnsi="Arial Narrow"/>
          <w:sz w:val="22"/>
          <w:szCs w:val="22"/>
        </w:rPr>
        <w:t>2002)</w:t>
      </w:r>
      <w:r w:rsidR="00813877" w:rsidRPr="0031316C">
        <w:rPr>
          <w:rFonts w:ascii="Arial Narrow" w:hAnsi="Arial Narrow"/>
          <w:sz w:val="22"/>
          <w:szCs w:val="22"/>
        </w:rPr>
        <w:t xml:space="preserve"> do 3,9</w:t>
      </w:r>
      <w:r w:rsidR="00C05C30" w:rsidRPr="0031316C">
        <w:rPr>
          <w:rFonts w:ascii="Arial Narrow" w:hAnsi="Arial Narrow"/>
          <w:sz w:val="22"/>
          <w:szCs w:val="22"/>
        </w:rPr>
        <w:t xml:space="preserve"> %</w:t>
      </w:r>
      <w:r w:rsidR="004610AF" w:rsidRPr="0031316C">
        <w:rPr>
          <w:rFonts w:ascii="Arial Narrow" w:hAnsi="Arial Narrow"/>
          <w:sz w:val="22"/>
          <w:szCs w:val="22"/>
        </w:rPr>
        <w:t xml:space="preserve"> (</w:t>
      </w:r>
      <w:r w:rsidR="0031316C" w:rsidRPr="0031316C">
        <w:rPr>
          <w:rFonts w:ascii="Arial Narrow" w:hAnsi="Arial Narrow"/>
          <w:sz w:val="22"/>
          <w:szCs w:val="22"/>
        </w:rPr>
        <w:t>2006)</w:t>
      </w:r>
      <w:r w:rsidR="00C05C30" w:rsidRPr="0031316C">
        <w:rPr>
          <w:rFonts w:ascii="Arial Narrow" w:hAnsi="Arial Narrow"/>
          <w:sz w:val="22"/>
          <w:szCs w:val="22"/>
        </w:rPr>
        <w:t>.</w:t>
      </w:r>
      <w:r w:rsidR="00C05C30" w:rsidRPr="00676D2B">
        <w:rPr>
          <w:rFonts w:ascii="Arial Narrow" w:hAnsi="Arial Narrow"/>
          <w:sz w:val="22"/>
          <w:szCs w:val="22"/>
        </w:rPr>
        <w:t xml:space="preserve"> </w:t>
      </w:r>
      <w:r w:rsidR="00790B68" w:rsidRPr="00676D2B">
        <w:rPr>
          <w:rFonts w:ascii="Arial Narrow" w:hAnsi="Arial Narrow"/>
          <w:sz w:val="22"/>
          <w:szCs w:val="22"/>
        </w:rPr>
        <w:t>Po</w:t>
      </w:r>
      <w:r w:rsidR="00CF134A" w:rsidRPr="00676D2B">
        <w:rPr>
          <w:rFonts w:ascii="Arial Narrow" w:hAnsi="Arial Narrow"/>
          <w:sz w:val="22"/>
          <w:szCs w:val="22"/>
        </w:rPr>
        <w:t xml:space="preserve"> zmene legislatívy v roku 2005 nadobudli </w:t>
      </w:r>
      <w:r w:rsidR="00C05C30" w:rsidRPr="00676D2B">
        <w:rPr>
          <w:rFonts w:ascii="Arial Narrow" w:hAnsi="Arial Narrow"/>
          <w:sz w:val="22"/>
          <w:szCs w:val="22"/>
        </w:rPr>
        <w:t xml:space="preserve">vo vnútri systému sociálnej ochrany </w:t>
      </w:r>
      <w:r w:rsidR="00CF134A" w:rsidRPr="00676D2B">
        <w:rPr>
          <w:rFonts w:ascii="Arial Narrow" w:hAnsi="Arial Narrow"/>
          <w:sz w:val="22"/>
          <w:szCs w:val="22"/>
        </w:rPr>
        <w:t xml:space="preserve">väčší význam transfery medzi programami sociálnej ochrany, najmä finančná výpomoc do základného fondu starobného poistenia z ostatných </w:t>
      </w:r>
      <w:r w:rsidR="009948C8" w:rsidRPr="00676D2B">
        <w:rPr>
          <w:rFonts w:ascii="Arial Narrow" w:hAnsi="Arial Narrow"/>
          <w:sz w:val="22"/>
          <w:szCs w:val="22"/>
        </w:rPr>
        <w:t xml:space="preserve">základných </w:t>
      </w:r>
      <w:r w:rsidR="00CF134A" w:rsidRPr="00676D2B">
        <w:rPr>
          <w:rFonts w:ascii="Arial Narrow" w:hAnsi="Arial Narrow"/>
          <w:sz w:val="22"/>
          <w:szCs w:val="22"/>
        </w:rPr>
        <w:t>fondov Sociálnej poisťovne. Na transformáciu systému dôchodkového poistenia od roku 2006 sa využívali peniaze z privatizácie štátnych podnikov, ktoré sa vyčerpali v roku 2010.</w:t>
      </w:r>
    </w:p>
    <w:p w:rsidR="00676D2B" w:rsidRPr="00676D2B" w:rsidRDefault="00676D2B" w:rsidP="00A023C6">
      <w:pPr>
        <w:ind w:firstLine="708"/>
        <w:jc w:val="both"/>
        <w:rPr>
          <w:rFonts w:ascii="Arial Narrow" w:hAnsi="Arial Narrow"/>
          <w:sz w:val="22"/>
          <w:szCs w:val="22"/>
        </w:rPr>
      </w:pPr>
    </w:p>
    <w:p w:rsidR="00790B68" w:rsidRDefault="00790B68" w:rsidP="00790B68">
      <w:pPr>
        <w:jc w:val="both"/>
        <w:rPr>
          <w:rFonts w:ascii="Arial Narrow" w:hAnsi="Arial Narrow"/>
          <w:b/>
          <w:bCs/>
          <w:color w:val="000000"/>
          <w:sz w:val="20"/>
          <w:szCs w:val="20"/>
        </w:rPr>
      </w:pPr>
      <w:r w:rsidRPr="00795A1B">
        <w:rPr>
          <w:rFonts w:ascii="Arial Narrow" w:hAnsi="Arial Narrow"/>
          <w:b/>
          <w:bCs/>
          <w:color w:val="000000"/>
          <w:sz w:val="20"/>
          <w:szCs w:val="20"/>
        </w:rPr>
        <w:t>Graf 1.2</w:t>
      </w:r>
      <w:r w:rsidR="000A41FA" w:rsidRPr="00795A1B">
        <w:rPr>
          <w:rFonts w:ascii="Arial Narrow" w:hAnsi="Arial Narrow"/>
          <w:b/>
          <w:bCs/>
          <w:color w:val="000000"/>
          <w:sz w:val="20"/>
          <w:szCs w:val="20"/>
        </w:rPr>
        <w:t xml:space="preserve"> </w:t>
      </w:r>
      <w:r w:rsidRPr="00795A1B">
        <w:rPr>
          <w:rFonts w:ascii="Arial Narrow" w:hAnsi="Arial Narrow"/>
          <w:b/>
          <w:bCs/>
          <w:color w:val="000000"/>
          <w:sz w:val="20"/>
          <w:szCs w:val="20"/>
        </w:rPr>
        <w:t xml:space="preserve"> Štruktúra príjmov na sociálnu ochranu v SR podľa platiteľov,</w:t>
      </w:r>
      <w:r w:rsidR="004610AF">
        <w:rPr>
          <w:rFonts w:ascii="Arial Narrow" w:hAnsi="Arial Narrow"/>
          <w:b/>
          <w:bCs/>
          <w:color w:val="000000"/>
          <w:sz w:val="20"/>
          <w:szCs w:val="20"/>
        </w:rPr>
        <w:t xml:space="preserve"> 1998</w:t>
      </w:r>
      <w:r w:rsidRPr="00795A1B">
        <w:rPr>
          <w:rFonts w:ascii="Arial Narrow" w:hAnsi="Arial Narrow"/>
          <w:b/>
          <w:bCs/>
          <w:color w:val="000000"/>
          <w:sz w:val="20"/>
          <w:szCs w:val="20"/>
        </w:rPr>
        <w:t xml:space="preserve"> </w:t>
      </w:r>
      <w:r w:rsidR="00DD4C62">
        <w:rPr>
          <w:rFonts w:ascii="Arial Narrow" w:hAnsi="Arial Narrow"/>
          <w:b/>
          <w:bCs/>
          <w:color w:val="000000"/>
          <w:sz w:val="20"/>
          <w:szCs w:val="20"/>
        </w:rPr>
        <w:t>–</w:t>
      </w:r>
      <w:r w:rsidRPr="00795A1B">
        <w:rPr>
          <w:rFonts w:ascii="Arial Narrow" w:hAnsi="Arial Narrow"/>
          <w:b/>
          <w:bCs/>
          <w:color w:val="000000"/>
          <w:sz w:val="20"/>
          <w:szCs w:val="20"/>
        </w:rPr>
        <w:t xml:space="preserve"> 201</w:t>
      </w:r>
      <w:r w:rsidR="00795A1B" w:rsidRPr="00795A1B">
        <w:rPr>
          <w:rFonts w:ascii="Arial Narrow" w:hAnsi="Arial Narrow"/>
          <w:b/>
          <w:bCs/>
          <w:color w:val="000000"/>
          <w:sz w:val="20"/>
          <w:szCs w:val="20"/>
        </w:rPr>
        <w:t>9</w:t>
      </w:r>
    </w:p>
    <w:p w:rsidR="00676D2B" w:rsidRPr="00676D2B" w:rsidRDefault="00676D2B" w:rsidP="00790B68">
      <w:pPr>
        <w:jc w:val="both"/>
        <w:rPr>
          <w:rFonts w:ascii="Arial Narrow" w:hAnsi="Arial Narrow"/>
          <w:b/>
          <w:bCs/>
          <w:color w:val="000000"/>
          <w:sz w:val="10"/>
          <w:szCs w:val="10"/>
        </w:rPr>
      </w:pPr>
    </w:p>
    <w:p w:rsidR="00DD4C62" w:rsidRDefault="004610AF" w:rsidP="00790B68">
      <w:pPr>
        <w:jc w:val="both"/>
        <w:rPr>
          <w:rFonts w:ascii="Arial Narrow" w:hAnsi="Arial Narrow"/>
          <w:b/>
          <w:bCs/>
          <w:color w:val="000000"/>
          <w:sz w:val="20"/>
          <w:szCs w:val="20"/>
        </w:rPr>
      </w:pPr>
      <w:r>
        <w:rPr>
          <w:noProof/>
          <w:lang w:eastAsia="sk-SK"/>
        </w:rPr>
        <w:drawing>
          <wp:inline distT="0" distB="0" distL="0" distR="0" wp14:anchorId="001E8BB6" wp14:editId="112D5AF1">
            <wp:extent cx="5759450" cy="2591435"/>
            <wp:effectExtent l="0" t="0" r="12700" b="18415"/>
            <wp:docPr id="1" name="Graf 1">
              <a:extLst xmlns:a="http://schemas.openxmlformats.org/drawingml/2006/main">
                <a:ext uri="{FF2B5EF4-FFF2-40B4-BE49-F238E27FC236}">
                  <a16:creationId xmlns:a16="http://schemas.microsoft.com/office/drawing/2014/main" id="{00000000-0008-0000-02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610AF" w:rsidRPr="004610AF" w:rsidRDefault="004610AF" w:rsidP="00841C12">
      <w:pPr>
        <w:jc w:val="both"/>
        <w:rPr>
          <w:rFonts w:ascii="Arial Narrow" w:hAnsi="Arial Narrow"/>
          <w:i/>
          <w:iCs/>
          <w:sz w:val="10"/>
          <w:szCs w:val="10"/>
        </w:rPr>
      </w:pPr>
    </w:p>
    <w:p w:rsidR="00790B68" w:rsidRPr="00CD3488" w:rsidRDefault="00CD3488" w:rsidP="00841C12">
      <w:pPr>
        <w:jc w:val="both"/>
        <w:rPr>
          <w:rFonts w:ascii="Arial Narrow" w:hAnsi="Arial Narrow"/>
          <w:i/>
          <w:sz w:val="15"/>
          <w:szCs w:val="15"/>
        </w:rPr>
      </w:pPr>
      <w:r>
        <w:rPr>
          <w:rFonts w:ascii="Arial Narrow" w:hAnsi="Arial Narrow"/>
          <w:i/>
          <w:iCs/>
          <w:sz w:val="16"/>
          <w:szCs w:val="16"/>
        </w:rPr>
        <w:t xml:space="preserve"> </w:t>
      </w:r>
      <w:r w:rsidR="00790B68" w:rsidRPr="00CD3488">
        <w:rPr>
          <w:rFonts w:ascii="Arial Narrow" w:hAnsi="Arial Narrow"/>
          <w:i/>
          <w:iCs/>
          <w:sz w:val="15"/>
          <w:szCs w:val="15"/>
        </w:rPr>
        <w:t xml:space="preserve">Zdroj: ŠÚ SR </w:t>
      </w:r>
      <w:r w:rsidR="008037C6" w:rsidRPr="00CD3488">
        <w:rPr>
          <w:rFonts w:ascii="Arial Narrow" w:hAnsi="Arial Narrow"/>
          <w:i/>
          <w:iCs/>
          <w:sz w:val="15"/>
          <w:szCs w:val="15"/>
        </w:rPr>
        <w:t>-</w:t>
      </w:r>
      <w:r w:rsidR="00790B68" w:rsidRPr="00CD3488">
        <w:rPr>
          <w:rFonts w:ascii="Arial Narrow" w:hAnsi="Arial Narrow"/>
          <w:i/>
          <w:iCs/>
          <w:sz w:val="15"/>
          <w:szCs w:val="15"/>
        </w:rPr>
        <w:t xml:space="preserve"> ESSPROS</w:t>
      </w:r>
      <w:r w:rsidR="00790B68" w:rsidRPr="00CD3488">
        <w:rPr>
          <w:rFonts w:ascii="Arial Narrow" w:hAnsi="Arial Narrow"/>
          <w:i/>
          <w:sz w:val="15"/>
          <w:szCs w:val="15"/>
        </w:rPr>
        <w:t xml:space="preserve"> </w:t>
      </w:r>
    </w:p>
    <w:p w:rsidR="000C7EE5" w:rsidRPr="005C059F" w:rsidRDefault="00FE757A" w:rsidP="00F11A1A">
      <w:pPr>
        <w:jc w:val="both"/>
        <w:rPr>
          <w:rFonts w:ascii="Arial Narrow" w:hAnsi="Arial Narrow"/>
          <w:sz w:val="20"/>
          <w:szCs w:val="20"/>
        </w:rPr>
      </w:pPr>
      <w:r w:rsidRPr="00FE757A">
        <w:rPr>
          <w:rFonts w:ascii="Arial Narrow" w:hAnsi="Arial Narrow"/>
          <w:i/>
          <w:sz w:val="18"/>
          <w:szCs w:val="18"/>
        </w:rPr>
        <w:t xml:space="preserve">    </w:t>
      </w:r>
      <w:r w:rsidRPr="00CA4E05">
        <w:rPr>
          <w:rFonts w:ascii="Arial Narrow" w:hAnsi="Arial Narrow"/>
          <w:b/>
          <w:i/>
          <w:sz w:val="18"/>
          <w:szCs w:val="18"/>
        </w:rPr>
        <w:tab/>
      </w:r>
    </w:p>
    <w:p w:rsidR="00841C12" w:rsidRDefault="000C7EE5" w:rsidP="00841C12">
      <w:pPr>
        <w:spacing w:line="312" w:lineRule="auto"/>
        <w:jc w:val="both"/>
        <w:rPr>
          <w:rFonts w:ascii="Arial Narrow" w:hAnsi="Arial Narrow"/>
          <w:b/>
          <w:sz w:val="20"/>
          <w:szCs w:val="20"/>
        </w:rPr>
      </w:pPr>
      <w:r w:rsidRPr="00CA4E05">
        <w:rPr>
          <w:rFonts w:ascii="Arial Narrow" w:hAnsi="Arial Narrow"/>
          <w:b/>
          <w:sz w:val="20"/>
          <w:szCs w:val="20"/>
        </w:rPr>
        <w:t>Tab.1.2</w:t>
      </w:r>
      <w:r w:rsidRPr="000C7EE5">
        <w:rPr>
          <w:rFonts w:ascii="Arial Narrow" w:hAnsi="Arial Narrow"/>
          <w:sz w:val="20"/>
          <w:szCs w:val="20"/>
        </w:rPr>
        <w:t xml:space="preserve"> </w:t>
      </w:r>
      <w:r w:rsidR="00CA152F">
        <w:rPr>
          <w:rFonts w:ascii="Arial Narrow" w:hAnsi="Arial Narrow"/>
          <w:sz w:val="20"/>
          <w:szCs w:val="20"/>
        </w:rPr>
        <w:t xml:space="preserve"> </w:t>
      </w:r>
      <w:r w:rsidRPr="000C7EE5">
        <w:rPr>
          <w:rFonts w:ascii="Arial Narrow" w:hAnsi="Arial Narrow"/>
          <w:b/>
          <w:sz w:val="20"/>
          <w:szCs w:val="20"/>
        </w:rPr>
        <w:t>Príjmy na sociálnu ochranu v SR podľa odvetví pôvodu, 201</w:t>
      </w:r>
      <w:r w:rsidR="008C510B">
        <w:rPr>
          <w:rFonts w:ascii="Arial Narrow" w:hAnsi="Arial Narrow"/>
          <w:b/>
          <w:sz w:val="20"/>
          <w:szCs w:val="20"/>
        </w:rPr>
        <w:t>9</w:t>
      </w:r>
    </w:p>
    <w:p w:rsidR="00AA4EBE" w:rsidRPr="00AA4EBE" w:rsidRDefault="00AA4EBE" w:rsidP="00841C12">
      <w:pPr>
        <w:spacing w:line="312" w:lineRule="auto"/>
        <w:jc w:val="both"/>
        <w:rPr>
          <w:rFonts w:ascii="Arial Narrow" w:hAnsi="Arial Narrow"/>
          <w:b/>
          <w:sz w:val="10"/>
          <w:szCs w:val="10"/>
        </w:rPr>
      </w:pPr>
    </w:p>
    <w:tbl>
      <w:tblPr>
        <w:tblW w:w="9183" w:type="dxa"/>
        <w:tblInd w:w="70" w:type="dxa"/>
        <w:tblCellMar>
          <w:left w:w="70" w:type="dxa"/>
          <w:right w:w="70" w:type="dxa"/>
        </w:tblCellMar>
        <w:tblLook w:val="04A0" w:firstRow="1" w:lastRow="0" w:firstColumn="1" w:lastColumn="0" w:noHBand="0" w:noVBand="1"/>
      </w:tblPr>
      <w:tblGrid>
        <w:gridCol w:w="642"/>
        <w:gridCol w:w="177"/>
        <w:gridCol w:w="745"/>
        <w:gridCol w:w="525"/>
        <w:gridCol w:w="1127"/>
        <w:gridCol w:w="775"/>
        <w:gridCol w:w="764"/>
        <w:gridCol w:w="846"/>
        <w:gridCol w:w="705"/>
        <w:gridCol w:w="706"/>
        <w:gridCol w:w="846"/>
        <w:gridCol w:w="564"/>
        <w:gridCol w:w="761"/>
      </w:tblGrid>
      <w:tr w:rsidR="00170F50" w:rsidTr="00AA4EBE">
        <w:trPr>
          <w:trHeight w:val="466"/>
        </w:trPr>
        <w:tc>
          <w:tcPr>
            <w:tcW w:w="3991" w:type="dxa"/>
            <w:gridSpan w:val="6"/>
            <w:tcBorders>
              <w:top w:val="nil"/>
              <w:left w:val="nil"/>
              <w:bottom w:val="single" w:sz="4" w:space="0" w:color="FF0000"/>
              <w:right w:val="nil"/>
            </w:tcBorders>
            <w:shd w:val="clear" w:color="000000" w:fill="A9D08E"/>
            <w:vAlign w:val="center"/>
            <w:hideMark/>
          </w:tcPr>
          <w:p w:rsidR="00B508F0" w:rsidRDefault="00B508F0">
            <w:pPr>
              <w:rPr>
                <w:rFonts w:ascii="Arial Narrow" w:hAnsi="Arial Narrow"/>
                <w:i/>
                <w:iCs/>
                <w:sz w:val="16"/>
                <w:szCs w:val="16"/>
                <w:lang w:eastAsia="sk-SK"/>
              </w:rPr>
            </w:pPr>
            <w:r>
              <w:rPr>
                <w:rFonts w:ascii="Arial Narrow" w:hAnsi="Arial Narrow"/>
                <w:i/>
                <w:iCs/>
                <w:sz w:val="16"/>
                <w:szCs w:val="16"/>
              </w:rPr>
              <w:t>Ukazovateľ</w:t>
            </w:r>
          </w:p>
        </w:tc>
        <w:tc>
          <w:tcPr>
            <w:tcW w:w="764" w:type="dxa"/>
            <w:tcBorders>
              <w:top w:val="nil"/>
              <w:left w:val="single" w:sz="4" w:space="0" w:color="FF6600"/>
              <w:bottom w:val="single" w:sz="4" w:space="0" w:color="FF0000"/>
              <w:right w:val="nil"/>
            </w:tcBorders>
            <w:shd w:val="clear" w:color="000000" w:fill="A9D08E"/>
            <w:vAlign w:val="center"/>
            <w:hideMark/>
          </w:tcPr>
          <w:p w:rsidR="00B508F0" w:rsidRDefault="00B508F0">
            <w:pPr>
              <w:jc w:val="center"/>
              <w:rPr>
                <w:rFonts w:ascii="Arial Narrow" w:hAnsi="Arial Narrow"/>
                <w:i/>
                <w:iCs/>
                <w:sz w:val="16"/>
                <w:szCs w:val="16"/>
              </w:rPr>
            </w:pPr>
            <w:r>
              <w:rPr>
                <w:rFonts w:ascii="Arial Narrow" w:hAnsi="Arial Narrow"/>
                <w:i/>
                <w:iCs/>
                <w:sz w:val="16"/>
                <w:szCs w:val="16"/>
              </w:rPr>
              <w:t>mil. EUR</w:t>
            </w:r>
          </w:p>
        </w:tc>
        <w:tc>
          <w:tcPr>
            <w:tcW w:w="846" w:type="dxa"/>
            <w:tcBorders>
              <w:top w:val="nil"/>
              <w:left w:val="single" w:sz="4" w:space="0" w:color="FF0000"/>
              <w:bottom w:val="single" w:sz="4" w:space="0" w:color="FF0000"/>
              <w:right w:val="single" w:sz="4" w:space="0" w:color="FF0000"/>
            </w:tcBorders>
            <w:shd w:val="clear" w:color="000000" w:fill="A9D08E"/>
            <w:vAlign w:val="center"/>
            <w:hideMark/>
          </w:tcPr>
          <w:p w:rsidR="00B508F0" w:rsidRDefault="00B508F0">
            <w:pPr>
              <w:jc w:val="center"/>
              <w:rPr>
                <w:rFonts w:ascii="Arial Narrow" w:hAnsi="Arial Narrow"/>
                <w:i/>
                <w:iCs/>
                <w:sz w:val="16"/>
                <w:szCs w:val="16"/>
              </w:rPr>
            </w:pPr>
            <w:r>
              <w:rPr>
                <w:rFonts w:ascii="Arial Narrow" w:hAnsi="Arial Narrow"/>
                <w:i/>
                <w:iCs/>
                <w:sz w:val="16"/>
                <w:szCs w:val="16"/>
              </w:rPr>
              <w:t xml:space="preserve">mil. EUR </w:t>
            </w:r>
            <w:proofErr w:type="spellStart"/>
            <w:r>
              <w:rPr>
                <w:rFonts w:ascii="Arial Narrow" w:hAnsi="Arial Narrow"/>
                <w:i/>
                <w:iCs/>
                <w:sz w:val="16"/>
                <w:szCs w:val="16"/>
              </w:rPr>
              <w:t>s.c</w:t>
            </w:r>
            <w:proofErr w:type="spellEnd"/>
            <w:r>
              <w:rPr>
                <w:rFonts w:ascii="Arial Narrow" w:hAnsi="Arial Narrow"/>
                <w:i/>
                <w:iCs/>
                <w:sz w:val="16"/>
                <w:szCs w:val="16"/>
              </w:rPr>
              <w:t>. 2010</w:t>
            </w:r>
          </w:p>
        </w:tc>
        <w:tc>
          <w:tcPr>
            <w:tcW w:w="705" w:type="dxa"/>
            <w:tcBorders>
              <w:top w:val="nil"/>
              <w:left w:val="nil"/>
              <w:bottom w:val="single" w:sz="4" w:space="0" w:color="FF0000"/>
              <w:right w:val="single" w:sz="4" w:space="0" w:color="FF0000"/>
            </w:tcBorders>
            <w:shd w:val="clear" w:color="000000" w:fill="A9D08E"/>
            <w:vAlign w:val="center"/>
            <w:hideMark/>
          </w:tcPr>
          <w:p w:rsidR="00B508F0" w:rsidRDefault="00B508F0">
            <w:pPr>
              <w:jc w:val="center"/>
              <w:rPr>
                <w:rFonts w:ascii="Arial Narrow" w:hAnsi="Arial Narrow"/>
                <w:i/>
                <w:iCs/>
                <w:sz w:val="16"/>
                <w:szCs w:val="16"/>
              </w:rPr>
            </w:pPr>
            <w:r>
              <w:rPr>
                <w:rFonts w:ascii="Arial Narrow" w:hAnsi="Arial Narrow"/>
                <w:i/>
                <w:iCs/>
                <w:sz w:val="16"/>
                <w:szCs w:val="16"/>
              </w:rPr>
              <w:t>EUR na obyv.</w:t>
            </w:r>
          </w:p>
        </w:tc>
        <w:tc>
          <w:tcPr>
            <w:tcW w:w="706" w:type="dxa"/>
            <w:tcBorders>
              <w:top w:val="nil"/>
              <w:left w:val="nil"/>
              <w:bottom w:val="single" w:sz="4" w:space="0" w:color="FF0000"/>
              <w:right w:val="single" w:sz="4" w:space="0" w:color="FF0000"/>
            </w:tcBorders>
            <w:shd w:val="clear" w:color="000000" w:fill="A9D08E"/>
            <w:vAlign w:val="center"/>
            <w:hideMark/>
          </w:tcPr>
          <w:p w:rsidR="00B508F0" w:rsidRDefault="00B508F0">
            <w:pPr>
              <w:jc w:val="center"/>
              <w:rPr>
                <w:rFonts w:ascii="Arial Narrow" w:hAnsi="Arial Narrow"/>
                <w:i/>
                <w:iCs/>
                <w:sz w:val="16"/>
                <w:szCs w:val="16"/>
              </w:rPr>
            </w:pPr>
            <w:r>
              <w:rPr>
                <w:rFonts w:ascii="Arial Narrow" w:hAnsi="Arial Narrow"/>
                <w:i/>
                <w:iCs/>
                <w:sz w:val="16"/>
                <w:szCs w:val="16"/>
              </w:rPr>
              <w:t>PPS na obyv</w:t>
            </w:r>
            <w:r w:rsidR="005E5CC2">
              <w:rPr>
                <w:rFonts w:ascii="Arial Narrow" w:hAnsi="Arial Narrow"/>
                <w:i/>
                <w:iCs/>
                <w:sz w:val="16"/>
                <w:szCs w:val="16"/>
              </w:rPr>
              <w:t>.</w:t>
            </w:r>
          </w:p>
        </w:tc>
        <w:tc>
          <w:tcPr>
            <w:tcW w:w="846" w:type="dxa"/>
            <w:tcBorders>
              <w:top w:val="nil"/>
              <w:left w:val="nil"/>
              <w:bottom w:val="single" w:sz="4" w:space="0" w:color="FF0000"/>
              <w:right w:val="single" w:sz="4" w:space="0" w:color="FF0000"/>
            </w:tcBorders>
            <w:shd w:val="clear" w:color="000000" w:fill="A9D08E"/>
            <w:vAlign w:val="center"/>
            <w:hideMark/>
          </w:tcPr>
          <w:p w:rsidR="00B508F0" w:rsidRDefault="00B508F0">
            <w:pPr>
              <w:jc w:val="center"/>
              <w:rPr>
                <w:rFonts w:ascii="Arial Narrow" w:hAnsi="Arial Narrow"/>
                <w:i/>
                <w:iCs/>
                <w:sz w:val="16"/>
                <w:szCs w:val="16"/>
              </w:rPr>
            </w:pPr>
            <w:r>
              <w:rPr>
                <w:rFonts w:ascii="Arial Narrow" w:hAnsi="Arial Narrow"/>
                <w:i/>
                <w:iCs/>
                <w:sz w:val="16"/>
                <w:szCs w:val="16"/>
              </w:rPr>
              <w:t>% z príjmov spolu</w:t>
            </w:r>
          </w:p>
        </w:tc>
        <w:tc>
          <w:tcPr>
            <w:tcW w:w="564" w:type="dxa"/>
            <w:tcBorders>
              <w:top w:val="nil"/>
              <w:left w:val="nil"/>
              <w:bottom w:val="single" w:sz="4" w:space="0" w:color="FF0000"/>
              <w:right w:val="single" w:sz="4" w:space="0" w:color="FF0000"/>
            </w:tcBorders>
            <w:shd w:val="clear" w:color="000000" w:fill="A9D08E"/>
            <w:vAlign w:val="center"/>
            <w:hideMark/>
          </w:tcPr>
          <w:p w:rsidR="00B508F0" w:rsidRDefault="00B508F0">
            <w:pPr>
              <w:jc w:val="center"/>
              <w:rPr>
                <w:rFonts w:ascii="Arial Narrow" w:hAnsi="Arial Narrow"/>
                <w:i/>
                <w:iCs/>
                <w:sz w:val="16"/>
                <w:szCs w:val="16"/>
              </w:rPr>
            </w:pPr>
            <w:r>
              <w:rPr>
                <w:rFonts w:ascii="Arial Narrow" w:hAnsi="Arial Narrow"/>
                <w:i/>
                <w:iCs/>
                <w:sz w:val="16"/>
                <w:szCs w:val="16"/>
              </w:rPr>
              <w:t>% HDP</w:t>
            </w:r>
          </w:p>
        </w:tc>
        <w:tc>
          <w:tcPr>
            <w:tcW w:w="761" w:type="dxa"/>
            <w:tcBorders>
              <w:top w:val="nil"/>
              <w:left w:val="nil"/>
              <w:bottom w:val="single" w:sz="4" w:space="0" w:color="FF0000"/>
              <w:right w:val="nil"/>
            </w:tcBorders>
            <w:shd w:val="clear" w:color="000000" w:fill="A9D08E"/>
            <w:vAlign w:val="center"/>
            <w:hideMark/>
          </w:tcPr>
          <w:p w:rsidR="00B508F0" w:rsidRDefault="008C510B">
            <w:pPr>
              <w:jc w:val="center"/>
              <w:rPr>
                <w:rFonts w:ascii="Arial Narrow" w:hAnsi="Arial Narrow"/>
                <w:i/>
                <w:iCs/>
                <w:sz w:val="16"/>
                <w:szCs w:val="16"/>
              </w:rPr>
            </w:pPr>
            <w:r>
              <w:rPr>
                <w:rFonts w:ascii="Arial Narrow" w:hAnsi="Arial Narrow" w:cs="Arial"/>
                <w:sz w:val="16"/>
                <w:szCs w:val="16"/>
              </w:rPr>
              <w:t>Index 2019</w:t>
            </w:r>
            <w:r w:rsidRPr="002D53C5">
              <w:rPr>
                <w:rFonts w:ascii="Arial Narrow" w:hAnsi="Arial Narrow" w:cs="Arial"/>
                <w:sz w:val="16"/>
                <w:szCs w:val="16"/>
              </w:rPr>
              <w:t>/201</w:t>
            </w:r>
            <w:r>
              <w:rPr>
                <w:rFonts w:ascii="Arial Narrow" w:hAnsi="Arial Narrow" w:cs="Arial"/>
                <w:sz w:val="16"/>
                <w:szCs w:val="16"/>
              </w:rPr>
              <w:t>8</w:t>
            </w:r>
          </w:p>
        </w:tc>
      </w:tr>
      <w:tr w:rsidR="004610AF" w:rsidTr="00AA4EBE">
        <w:trPr>
          <w:trHeight w:val="224"/>
        </w:trPr>
        <w:tc>
          <w:tcPr>
            <w:tcW w:w="3216" w:type="dxa"/>
            <w:gridSpan w:val="5"/>
            <w:tcBorders>
              <w:top w:val="nil"/>
              <w:left w:val="nil"/>
              <w:bottom w:val="nil"/>
              <w:right w:val="nil"/>
            </w:tcBorders>
            <w:shd w:val="clear" w:color="000000" w:fill="A9D08E"/>
            <w:noWrap/>
            <w:vAlign w:val="center"/>
          </w:tcPr>
          <w:p w:rsidR="004610AF" w:rsidRDefault="004610AF" w:rsidP="004610AF">
            <w:pPr>
              <w:rPr>
                <w:rFonts w:ascii="Arial Narrow" w:hAnsi="Arial Narrow"/>
                <w:b/>
                <w:bCs/>
                <w:sz w:val="16"/>
                <w:szCs w:val="16"/>
              </w:rPr>
            </w:pPr>
            <w:r w:rsidRPr="00FB2AFE">
              <w:rPr>
                <w:rFonts w:ascii="Arial Narrow" w:hAnsi="Arial Narrow"/>
                <w:b/>
                <w:bCs/>
                <w:sz w:val="16"/>
                <w:szCs w:val="16"/>
              </w:rPr>
              <w:t>Celkové príjmy</w:t>
            </w:r>
          </w:p>
        </w:tc>
        <w:tc>
          <w:tcPr>
            <w:tcW w:w="775" w:type="dxa"/>
            <w:tcBorders>
              <w:top w:val="nil"/>
              <w:left w:val="nil"/>
              <w:bottom w:val="nil"/>
              <w:right w:val="nil"/>
            </w:tcBorders>
            <w:shd w:val="clear" w:color="000000" w:fill="A9D08E"/>
            <w:noWrap/>
            <w:vAlign w:val="center"/>
          </w:tcPr>
          <w:p w:rsidR="004610AF" w:rsidRDefault="004610AF" w:rsidP="004610AF">
            <w:pPr>
              <w:rPr>
                <w:rFonts w:ascii="Arial Narrow" w:hAnsi="Arial Narrow"/>
                <w:b/>
                <w:bCs/>
                <w:sz w:val="16"/>
                <w:szCs w:val="16"/>
              </w:rPr>
            </w:pPr>
          </w:p>
        </w:tc>
        <w:tc>
          <w:tcPr>
            <w:tcW w:w="764" w:type="dxa"/>
            <w:tcBorders>
              <w:top w:val="nil"/>
              <w:left w:val="single" w:sz="4" w:space="0" w:color="FF0000"/>
              <w:bottom w:val="nil"/>
              <w:right w:val="nil"/>
            </w:tcBorders>
            <w:shd w:val="clear" w:color="000000" w:fill="A9D08E"/>
            <w:noWrap/>
            <w:vAlign w:val="bottom"/>
          </w:tcPr>
          <w:p w:rsidR="004610AF" w:rsidRDefault="004610AF" w:rsidP="004610AF">
            <w:pPr>
              <w:jc w:val="right"/>
              <w:rPr>
                <w:rFonts w:ascii="Arial Narrow" w:hAnsi="Arial Narrow"/>
                <w:sz w:val="16"/>
                <w:szCs w:val="16"/>
              </w:rPr>
            </w:pPr>
            <w:r w:rsidRPr="00FB2AFE">
              <w:rPr>
                <w:rFonts w:ascii="Arial Narrow" w:hAnsi="Arial Narrow"/>
                <w:b/>
                <w:bCs/>
                <w:color w:val="000000"/>
                <w:sz w:val="16"/>
                <w:szCs w:val="16"/>
              </w:rPr>
              <w:t>18 059,2</w:t>
            </w:r>
          </w:p>
        </w:tc>
        <w:tc>
          <w:tcPr>
            <w:tcW w:w="846" w:type="dxa"/>
            <w:tcBorders>
              <w:top w:val="nil"/>
              <w:left w:val="single" w:sz="4" w:space="0" w:color="FF0000"/>
              <w:bottom w:val="nil"/>
              <w:right w:val="single" w:sz="4" w:space="0" w:color="FF0000"/>
            </w:tcBorders>
            <w:shd w:val="clear" w:color="000000" w:fill="A9D08E"/>
            <w:noWrap/>
            <w:vAlign w:val="bottom"/>
          </w:tcPr>
          <w:p w:rsidR="004610AF" w:rsidRDefault="004610AF" w:rsidP="004610AF">
            <w:pPr>
              <w:jc w:val="right"/>
              <w:rPr>
                <w:rFonts w:ascii="Arial Narrow" w:hAnsi="Arial Narrow"/>
                <w:sz w:val="16"/>
                <w:szCs w:val="16"/>
              </w:rPr>
            </w:pPr>
            <w:r w:rsidRPr="00FB2AFE">
              <w:rPr>
                <w:rFonts w:ascii="Arial Narrow" w:hAnsi="Arial Narrow"/>
                <w:b/>
                <w:bCs/>
                <w:color w:val="000000"/>
                <w:sz w:val="16"/>
                <w:szCs w:val="16"/>
              </w:rPr>
              <w:t>15 588,7</w:t>
            </w:r>
          </w:p>
        </w:tc>
        <w:tc>
          <w:tcPr>
            <w:tcW w:w="705" w:type="dxa"/>
            <w:tcBorders>
              <w:top w:val="nil"/>
              <w:left w:val="nil"/>
              <w:bottom w:val="nil"/>
              <w:right w:val="single" w:sz="4" w:space="0" w:color="FF0000"/>
            </w:tcBorders>
            <w:shd w:val="clear" w:color="000000" w:fill="A9D08E"/>
            <w:noWrap/>
            <w:vAlign w:val="bottom"/>
          </w:tcPr>
          <w:p w:rsidR="004610AF" w:rsidRDefault="004610AF" w:rsidP="004610AF">
            <w:pPr>
              <w:jc w:val="right"/>
              <w:rPr>
                <w:rFonts w:ascii="Arial Narrow" w:hAnsi="Arial Narrow"/>
                <w:sz w:val="16"/>
                <w:szCs w:val="16"/>
              </w:rPr>
            </w:pPr>
            <w:r w:rsidRPr="00FB2AFE">
              <w:rPr>
                <w:rFonts w:ascii="Arial Narrow" w:hAnsi="Arial Narrow"/>
                <w:b/>
                <w:bCs/>
                <w:color w:val="000000"/>
                <w:sz w:val="16"/>
                <w:szCs w:val="16"/>
              </w:rPr>
              <w:t>3 311,1</w:t>
            </w:r>
          </w:p>
        </w:tc>
        <w:tc>
          <w:tcPr>
            <w:tcW w:w="706" w:type="dxa"/>
            <w:tcBorders>
              <w:top w:val="nil"/>
              <w:left w:val="nil"/>
              <w:bottom w:val="nil"/>
              <w:right w:val="single" w:sz="4" w:space="0" w:color="FF0000"/>
            </w:tcBorders>
            <w:shd w:val="clear" w:color="000000" w:fill="A9D08E"/>
            <w:noWrap/>
            <w:vAlign w:val="bottom"/>
          </w:tcPr>
          <w:p w:rsidR="004610AF" w:rsidRDefault="004610AF" w:rsidP="004610AF">
            <w:pPr>
              <w:jc w:val="right"/>
              <w:rPr>
                <w:rFonts w:ascii="Arial Narrow" w:hAnsi="Arial Narrow"/>
                <w:sz w:val="16"/>
                <w:szCs w:val="16"/>
              </w:rPr>
            </w:pPr>
            <w:r>
              <w:rPr>
                <w:rFonts w:ascii="Arial Narrow" w:hAnsi="Arial Narrow"/>
                <w:b/>
                <w:bCs/>
                <w:color w:val="000000"/>
                <w:sz w:val="16"/>
                <w:szCs w:val="16"/>
              </w:rPr>
              <w:t>4 559,3</w:t>
            </w:r>
          </w:p>
        </w:tc>
        <w:tc>
          <w:tcPr>
            <w:tcW w:w="846" w:type="dxa"/>
            <w:tcBorders>
              <w:top w:val="nil"/>
              <w:left w:val="nil"/>
              <w:bottom w:val="nil"/>
              <w:right w:val="single" w:sz="4" w:space="0" w:color="FF0000"/>
            </w:tcBorders>
            <w:shd w:val="clear" w:color="000000" w:fill="A9D08E"/>
            <w:noWrap/>
            <w:vAlign w:val="bottom"/>
          </w:tcPr>
          <w:p w:rsidR="004610AF" w:rsidRDefault="004610AF" w:rsidP="004610AF">
            <w:pPr>
              <w:jc w:val="right"/>
              <w:rPr>
                <w:rFonts w:ascii="Arial Narrow" w:hAnsi="Arial Narrow"/>
                <w:b/>
                <w:bCs/>
                <w:sz w:val="16"/>
                <w:szCs w:val="16"/>
              </w:rPr>
            </w:pPr>
            <w:r>
              <w:rPr>
                <w:rFonts w:ascii="Arial Narrow" w:hAnsi="Arial Narrow"/>
                <w:b/>
                <w:bCs/>
                <w:sz w:val="16"/>
                <w:szCs w:val="16"/>
              </w:rPr>
              <w:t>100,0</w:t>
            </w:r>
          </w:p>
        </w:tc>
        <w:tc>
          <w:tcPr>
            <w:tcW w:w="564" w:type="dxa"/>
            <w:tcBorders>
              <w:top w:val="nil"/>
              <w:left w:val="nil"/>
              <w:bottom w:val="nil"/>
              <w:right w:val="single" w:sz="4" w:space="0" w:color="FF0000"/>
            </w:tcBorders>
            <w:shd w:val="clear" w:color="000000" w:fill="A9D08E"/>
            <w:noWrap/>
            <w:vAlign w:val="bottom"/>
          </w:tcPr>
          <w:p w:rsidR="004610AF" w:rsidRDefault="004610AF" w:rsidP="004610AF">
            <w:pPr>
              <w:jc w:val="right"/>
              <w:rPr>
                <w:rFonts w:ascii="Arial Narrow" w:hAnsi="Arial Narrow"/>
                <w:b/>
                <w:bCs/>
                <w:sz w:val="16"/>
                <w:szCs w:val="16"/>
              </w:rPr>
            </w:pPr>
            <w:r>
              <w:rPr>
                <w:rFonts w:ascii="Arial Narrow" w:hAnsi="Arial Narrow"/>
                <w:b/>
                <w:bCs/>
                <w:sz w:val="16"/>
                <w:szCs w:val="16"/>
              </w:rPr>
              <w:t>19,2</w:t>
            </w:r>
          </w:p>
        </w:tc>
        <w:tc>
          <w:tcPr>
            <w:tcW w:w="761" w:type="dxa"/>
            <w:tcBorders>
              <w:top w:val="nil"/>
              <w:left w:val="nil"/>
              <w:bottom w:val="nil"/>
              <w:right w:val="nil"/>
            </w:tcBorders>
            <w:shd w:val="clear" w:color="000000" w:fill="A9D08E"/>
            <w:noWrap/>
            <w:vAlign w:val="bottom"/>
          </w:tcPr>
          <w:p w:rsidR="004610AF" w:rsidRDefault="004610AF" w:rsidP="004610AF">
            <w:pPr>
              <w:jc w:val="right"/>
              <w:rPr>
                <w:rFonts w:ascii="Arial Narrow" w:hAnsi="Arial Narrow"/>
                <w:b/>
                <w:bCs/>
                <w:sz w:val="16"/>
                <w:szCs w:val="16"/>
              </w:rPr>
            </w:pPr>
            <w:r>
              <w:rPr>
                <w:rFonts w:ascii="Arial Narrow" w:hAnsi="Arial Narrow"/>
                <w:b/>
                <w:bCs/>
                <w:sz w:val="16"/>
                <w:szCs w:val="16"/>
              </w:rPr>
              <w:t>110,4</w:t>
            </w:r>
          </w:p>
        </w:tc>
      </w:tr>
      <w:tr w:rsidR="00170F50" w:rsidTr="00AA4EBE">
        <w:trPr>
          <w:trHeight w:val="224"/>
        </w:trPr>
        <w:tc>
          <w:tcPr>
            <w:tcW w:w="3216" w:type="dxa"/>
            <w:gridSpan w:val="5"/>
            <w:tcBorders>
              <w:top w:val="nil"/>
              <w:left w:val="nil"/>
              <w:bottom w:val="nil"/>
              <w:right w:val="nil"/>
            </w:tcBorders>
            <w:shd w:val="clear" w:color="auto" w:fill="FFFFFF" w:themeFill="background1"/>
            <w:noWrap/>
            <w:vAlign w:val="center"/>
            <w:hideMark/>
          </w:tcPr>
          <w:p w:rsidR="00B508F0" w:rsidRDefault="00B508F0">
            <w:pPr>
              <w:rPr>
                <w:rFonts w:ascii="Arial Narrow" w:hAnsi="Arial Narrow"/>
                <w:b/>
                <w:bCs/>
                <w:sz w:val="16"/>
                <w:szCs w:val="16"/>
              </w:rPr>
            </w:pPr>
            <w:r>
              <w:rPr>
                <w:rFonts w:ascii="Arial Narrow" w:hAnsi="Arial Narrow"/>
                <w:b/>
                <w:bCs/>
                <w:sz w:val="16"/>
                <w:szCs w:val="16"/>
              </w:rPr>
              <w:t>Príjmy podľa odvetví pôvodu</w:t>
            </w:r>
          </w:p>
        </w:tc>
        <w:tc>
          <w:tcPr>
            <w:tcW w:w="775" w:type="dxa"/>
            <w:tcBorders>
              <w:top w:val="nil"/>
              <w:left w:val="nil"/>
              <w:bottom w:val="nil"/>
              <w:right w:val="nil"/>
            </w:tcBorders>
            <w:shd w:val="clear" w:color="auto" w:fill="FFFFFF" w:themeFill="background1"/>
            <w:noWrap/>
            <w:vAlign w:val="center"/>
            <w:hideMark/>
          </w:tcPr>
          <w:p w:rsidR="00B508F0" w:rsidRDefault="00B508F0">
            <w:pPr>
              <w:rPr>
                <w:rFonts w:ascii="Arial Narrow" w:hAnsi="Arial Narrow"/>
                <w:b/>
                <w:bCs/>
                <w:sz w:val="16"/>
                <w:szCs w:val="16"/>
              </w:rPr>
            </w:pPr>
            <w:r>
              <w:rPr>
                <w:rFonts w:ascii="Arial Narrow" w:hAnsi="Arial Narrow"/>
                <w:b/>
                <w:bCs/>
                <w:sz w:val="16"/>
                <w:szCs w:val="16"/>
              </w:rPr>
              <w:t> </w:t>
            </w:r>
          </w:p>
        </w:tc>
        <w:tc>
          <w:tcPr>
            <w:tcW w:w="764" w:type="dxa"/>
            <w:tcBorders>
              <w:top w:val="nil"/>
              <w:left w:val="single" w:sz="4" w:space="0" w:color="FF0000"/>
              <w:bottom w:val="nil"/>
              <w:right w:val="nil"/>
            </w:tcBorders>
            <w:shd w:val="clear" w:color="auto" w:fill="FFFFFF" w:themeFill="background1"/>
            <w:noWrap/>
            <w:vAlign w:val="center"/>
            <w:hideMark/>
          </w:tcPr>
          <w:p w:rsidR="00B508F0" w:rsidRDefault="00B508F0">
            <w:pPr>
              <w:rPr>
                <w:rFonts w:ascii="Arial Narrow" w:hAnsi="Arial Narrow"/>
                <w:sz w:val="16"/>
                <w:szCs w:val="16"/>
              </w:rPr>
            </w:pPr>
            <w:r>
              <w:rPr>
                <w:rFonts w:ascii="Arial Narrow" w:hAnsi="Arial Narrow"/>
                <w:sz w:val="16"/>
                <w:szCs w:val="16"/>
              </w:rPr>
              <w:t> </w:t>
            </w:r>
          </w:p>
        </w:tc>
        <w:tc>
          <w:tcPr>
            <w:tcW w:w="846" w:type="dxa"/>
            <w:tcBorders>
              <w:top w:val="nil"/>
              <w:left w:val="single" w:sz="4" w:space="0" w:color="FF0000"/>
              <w:bottom w:val="nil"/>
              <w:right w:val="single" w:sz="4" w:space="0" w:color="FF0000"/>
            </w:tcBorders>
            <w:shd w:val="clear" w:color="auto" w:fill="FFFFFF" w:themeFill="background1"/>
            <w:noWrap/>
            <w:vAlign w:val="center"/>
            <w:hideMark/>
          </w:tcPr>
          <w:p w:rsidR="00B508F0" w:rsidRDefault="00B508F0">
            <w:pPr>
              <w:rPr>
                <w:rFonts w:ascii="Arial Narrow" w:hAnsi="Arial Narrow"/>
                <w:sz w:val="16"/>
                <w:szCs w:val="16"/>
              </w:rPr>
            </w:pPr>
            <w:r>
              <w:rPr>
                <w:rFonts w:ascii="Arial Narrow" w:hAnsi="Arial Narrow"/>
                <w:sz w:val="16"/>
                <w:szCs w:val="16"/>
              </w:rPr>
              <w:t> </w:t>
            </w:r>
          </w:p>
        </w:tc>
        <w:tc>
          <w:tcPr>
            <w:tcW w:w="705" w:type="dxa"/>
            <w:tcBorders>
              <w:top w:val="nil"/>
              <w:left w:val="nil"/>
              <w:bottom w:val="nil"/>
              <w:right w:val="single" w:sz="4" w:space="0" w:color="FF0000"/>
            </w:tcBorders>
            <w:shd w:val="clear" w:color="auto" w:fill="FFFFFF" w:themeFill="background1"/>
            <w:noWrap/>
            <w:vAlign w:val="center"/>
            <w:hideMark/>
          </w:tcPr>
          <w:p w:rsidR="00B508F0" w:rsidRDefault="00B508F0">
            <w:pPr>
              <w:rPr>
                <w:rFonts w:ascii="Arial Narrow" w:hAnsi="Arial Narrow"/>
                <w:sz w:val="16"/>
                <w:szCs w:val="16"/>
              </w:rPr>
            </w:pPr>
            <w:r>
              <w:rPr>
                <w:rFonts w:ascii="Arial Narrow" w:hAnsi="Arial Narrow"/>
                <w:sz w:val="16"/>
                <w:szCs w:val="16"/>
              </w:rPr>
              <w:t> </w:t>
            </w:r>
          </w:p>
        </w:tc>
        <w:tc>
          <w:tcPr>
            <w:tcW w:w="706" w:type="dxa"/>
            <w:tcBorders>
              <w:top w:val="nil"/>
              <w:left w:val="nil"/>
              <w:bottom w:val="nil"/>
              <w:right w:val="single" w:sz="4" w:space="0" w:color="FF0000"/>
            </w:tcBorders>
            <w:shd w:val="clear" w:color="auto" w:fill="FFFFFF" w:themeFill="background1"/>
            <w:noWrap/>
            <w:vAlign w:val="center"/>
            <w:hideMark/>
          </w:tcPr>
          <w:p w:rsidR="00B508F0" w:rsidRDefault="00B508F0">
            <w:pPr>
              <w:rPr>
                <w:rFonts w:ascii="Arial Narrow" w:hAnsi="Arial Narrow"/>
                <w:sz w:val="16"/>
                <w:szCs w:val="16"/>
              </w:rPr>
            </w:pPr>
            <w:r>
              <w:rPr>
                <w:rFonts w:ascii="Arial Narrow" w:hAnsi="Arial Narrow"/>
                <w:sz w:val="16"/>
                <w:szCs w:val="16"/>
              </w:rPr>
              <w:t> </w:t>
            </w:r>
          </w:p>
        </w:tc>
        <w:tc>
          <w:tcPr>
            <w:tcW w:w="846" w:type="dxa"/>
            <w:tcBorders>
              <w:top w:val="nil"/>
              <w:left w:val="nil"/>
              <w:bottom w:val="nil"/>
              <w:right w:val="single" w:sz="4" w:space="0" w:color="FF0000"/>
            </w:tcBorders>
            <w:shd w:val="clear" w:color="auto" w:fill="FFFFFF" w:themeFill="background1"/>
            <w:noWrap/>
            <w:vAlign w:val="center"/>
            <w:hideMark/>
          </w:tcPr>
          <w:p w:rsidR="00B508F0" w:rsidRDefault="00B508F0">
            <w:pPr>
              <w:rPr>
                <w:rFonts w:ascii="Arial Narrow" w:hAnsi="Arial Narrow"/>
                <w:b/>
                <w:bCs/>
                <w:sz w:val="16"/>
                <w:szCs w:val="16"/>
              </w:rPr>
            </w:pPr>
            <w:r>
              <w:rPr>
                <w:rFonts w:ascii="Arial Narrow" w:hAnsi="Arial Narrow"/>
                <w:b/>
                <w:bCs/>
                <w:sz w:val="16"/>
                <w:szCs w:val="16"/>
              </w:rPr>
              <w:t> </w:t>
            </w:r>
          </w:p>
        </w:tc>
        <w:tc>
          <w:tcPr>
            <w:tcW w:w="564" w:type="dxa"/>
            <w:tcBorders>
              <w:top w:val="nil"/>
              <w:left w:val="nil"/>
              <w:bottom w:val="nil"/>
              <w:right w:val="single" w:sz="4" w:space="0" w:color="FF0000"/>
            </w:tcBorders>
            <w:shd w:val="clear" w:color="auto" w:fill="FFFFFF" w:themeFill="background1"/>
            <w:noWrap/>
            <w:vAlign w:val="center"/>
            <w:hideMark/>
          </w:tcPr>
          <w:p w:rsidR="00B508F0" w:rsidRDefault="00B508F0">
            <w:pPr>
              <w:rPr>
                <w:rFonts w:ascii="Arial Narrow" w:hAnsi="Arial Narrow"/>
                <w:b/>
                <w:bCs/>
                <w:sz w:val="16"/>
                <w:szCs w:val="16"/>
              </w:rPr>
            </w:pPr>
            <w:r>
              <w:rPr>
                <w:rFonts w:ascii="Arial Narrow" w:hAnsi="Arial Narrow"/>
                <w:b/>
                <w:bCs/>
                <w:sz w:val="16"/>
                <w:szCs w:val="16"/>
              </w:rPr>
              <w:t> </w:t>
            </w:r>
          </w:p>
        </w:tc>
        <w:tc>
          <w:tcPr>
            <w:tcW w:w="761" w:type="dxa"/>
            <w:tcBorders>
              <w:top w:val="nil"/>
              <w:left w:val="nil"/>
              <w:bottom w:val="nil"/>
              <w:right w:val="nil"/>
            </w:tcBorders>
            <w:shd w:val="clear" w:color="auto" w:fill="FFFFFF" w:themeFill="background1"/>
            <w:noWrap/>
            <w:vAlign w:val="center"/>
            <w:hideMark/>
          </w:tcPr>
          <w:p w:rsidR="00B508F0" w:rsidRDefault="00B508F0">
            <w:pPr>
              <w:rPr>
                <w:rFonts w:ascii="Arial Narrow" w:hAnsi="Arial Narrow"/>
                <w:b/>
                <w:bCs/>
                <w:sz w:val="16"/>
                <w:szCs w:val="16"/>
              </w:rPr>
            </w:pPr>
            <w:r>
              <w:rPr>
                <w:rFonts w:ascii="Arial Narrow" w:hAnsi="Arial Narrow"/>
                <w:b/>
                <w:bCs/>
                <w:sz w:val="16"/>
                <w:szCs w:val="16"/>
              </w:rPr>
              <w:t> </w:t>
            </w:r>
          </w:p>
        </w:tc>
      </w:tr>
      <w:tr w:rsidR="00170F50" w:rsidRPr="00AA4EBE" w:rsidTr="00AA4EBE">
        <w:trPr>
          <w:trHeight w:val="265"/>
        </w:trPr>
        <w:tc>
          <w:tcPr>
            <w:tcW w:w="642" w:type="dxa"/>
            <w:tcBorders>
              <w:top w:val="nil"/>
              <w:left w:val="nil"/>
              <w:bottom w:val="nil"/>
              <w:right w:val="nil"/>
            </w:tcBorders>
            <w:shd w:val="clear" w:color="000000" w:fill="E2EFDA"/>
            <w:noWrap/>
            <w:vAlign w:val="bottom"/>
            <w:hideMark/>
          </w:tcPr>
          <w:p w:rsidR="00B508F0" w:rsidRPr="00AA4EBE" w:rsidRDefault="00B508F0">
            <w:pPr>
              <w:rPr>
                <w:rFonts w:ascii="Arial Narrow" w:hAnsi="Arial Narrow"/>
                <w:b/>
                <w:color w:val="FFFFFF"/>
                <w:sz w:val="16"/>
                <w:szCs w:val="16"/>
              </w:rPr>
            </w:pPr>
            <w:r w:rsidRPr="00AA4EBE">
              <w:rPr>
                <w:rFonts w:ascii="Arial Narrow" w:hAnsi="Arial Narrow"/>
                <w:b/>
                <w:color w:val="FFFFFF"/>
                <w:sz w:val="16"/>
                <w:szCs w:val="16"/>
              </w:rPr>
              <w:t> </w:t>
            </w:r>
          </w:p>
        </w:tc>
        <w:tc>
          <w:tcPr>
            <w:tcW w:w="177" w:type="dxa"/>
            <w:tcBorders>
              <w:top w:val="nil"/>
              <w:left w:val="nil"/>
              <w:bottom w:val="nil"/>
              <w:right w:val="nil"/>
            </w:tcBorders>
            <w:shd w:val="clear" w:color="000000" w:fill="E2EFDA"/>
            <w:noWrap/>
            <w:vAlign w:val="bottom"/>
            <w:hideMark/>
          </w:tcPr>
          <w:p w:rsidR="00B508F0" w:rsidRPr="00AA4EBE" w:rsidRDefault="00B508F0">
            <w:pPr>
              <w:rPr>
                <w:rFonts w:ascii="Arial Narrow" w:hAnsi="Arial Narrow"/>
                <w:b/>
                <w:sz w:val="16"/>
                <w:szCs w:val="16"/>
              </w:rPr>
            </w:pPr>
            <w:r w:rsidRPr="00AA4EBE">
              <w:rPr>
                <w:rFonts w:ascii="Arial Narrow" w:hAnsi="Arial Narrow"/>
                <w:b/>
                <w:sz w:val="16"/>
                <w:szCs w:val="16"/>
              </w:rPr>
              <w:t> </w:t>
            </w:r>
          </w:p>
        </w:tc>
        <w:tc>
          <w:tcPr>
            <w:tcW w:w="3172" w:type="dxa"/>
            <w:gridSpan w:val="4"/>
            <w:tcBorders>
              <w:top w:val="nil"/>
              <w:left w:val="nil"/>
              <w:bottom w:val="nil"/>
              <w:right w:val="nil"/>
            </w:tcBorders>
            <w:shd w:val="clear" w:color="000000" w:fill="E2EFDA"/>
            <w:noWrap/>
            <w:vAlign w:val="center"/>
            <w:hideMark/>
          </w:tcPr>
          <w:p w:rsidR="00B508F0" w:rsidRPr="00AA4EBE" w:rsidRDefault="00B508F0">
            <w:pPr>
              <w:rPr>
                <w:rFonts w:ascii="Arial Narrow" w:hAnsi="Arial Narrow"/>
                <w:b/>
                <w:sz w:val="16"/>
                <w:szCs w:val="16"/>
              </w:rPr>
            </w:pPr>
            <w:r w:rsidRPr="00AA4EBE">
              <w:rPr>
                <w:rFonts w:ascii="Arial Narrow" w:hAnsi="Arial Narrow"/>
                <w:b/>
                <w:sz w:val="16"/>
                <w:szCs w:val="16"/>
              </w:rPr>
              <w:t xml:space="preserve">Korporácie (nefinančné a finančné) </w:t>
            </w:r>
          </w:p>
        </w:tc>
        <w:tc>
          <w:tcPr>
            <w:tcW w:w="764" w:type="dxa"/>
            <w:tcBorders>
              <w:top w:val="nil"/>
              <w:left w:val="single" w:sz="4" w:space="0" w:color="FF0000"/>
              <w:bottom w:val="nil"/>
              <w:right w:val="nil"/>
            </w:tcBorders>
            <w:shd w:val="clear" w:color="000000" w:fill="E2EFDA"/>
            <w:noWrap/>
            <w:vAlign w:val="bottom"/>
            <w:hideMark/>
          </w:tcPr>
          <w:p w:rsidR="00B508F0" w:rsidRPr="00AA4EBE" w:rsidRDefault="008C510B" w:rsidP="008C510B">
            <w:pPr>
              <w:jc w:val="right"/>
              <w:rPr>
                <w:rFonts w:ascii="Arial Narrow" w:hAnsi="Arial Narrow"/>
                <w:b/>
                <w:sz w:val="16"/>
                <w:szCs w:val="16"/>
              </w:rPr>
            </w:pPr>
            <w:r w:rsidRPr="00AA4EBE">
              <w:rPr>
                <w:rFonts w:ascii="Arial Narrow" w:hAnsi="Arial Narrow"/>
                <w:b/>
                <w:sz w:val="16"/>
                <w:szCs w:val="16"/>
              </w:rPr>
              <w:t>6</w:t>
            </w:r>
            <w:r w:rsidR="00B508F0" w:rsidRPr="00AA4EBE">
              <w:rPr>
                <w:rFonts w:ascii="Arial Narrow" w:hAnsi="Arial Narrow"/>
                <w:b/>
                <w:sz w:val="16"/>
                <w:szCs w:val="16"/>
              </w:rPr>
              <w:t xml:space="preserve"> 7</w:t>
            </w:r>
            <w:r w:rsidRPr="00AA4EBE">
              <w:rPr>
                <w:rFonts w:ascii="Arial Narrow" w:hAnsi="Arial Narrow"/>
                <w:b/>
                <w:sz w:val="16"/>
                <w:szCs w:val="16"/>
              </w:rPr>
              <w:t>38</w:t>
            </w:r>
            <w:r w:rsidR="00B508F0" w:rsidRPr="00AA4EBE">
              <w:rPr>
                <w:rFonts w:ascii="Arial Narrow" w:hAnsi="Arial Narrow"/>
                <w:b/>
                <w:sz w:val="16"/>
                <w:szCs w:val="16"/>
              </w:rPr>
              <w:t>,</w:t>
            </w:r>
            <w:r w:rsidRPr="00AA4EBE">
              <w:rPr>
                <w:rFonts w:ascii="Arial Narrow" w:hAnsi="Arial Narrow"/>
                <w:b/>
                <w:sz w:val="16"/>
                <w:szCs w:val="16"/>
              </w:rPr>
              <w:t>0</w:t>
            </w:r>
          </w:p>
        </w:tc>
        <w:tc>
          <w:tcPr>
            <w:tcW w:w="846" w:type="dxa"/>
            <w:tcBorders>
              <w:top w:val="nil"/>
              <w:left w:val="single" w:sz="4" w:space="0" w:color="FF0000"/>
              <w:bottom w:val="nil"/>
              <w:right w:val="nil"/>
            </w:tcBorders>
            <w:shd w:val="clear" w:color="000000" w:fill="E2EFDA"/>
            <w:noWrap/>
            <w:vAlign w:val="bottom"/>
            <w:hideMark/>
          </w:tcPr>
          <w:p w:rsidR="00B508F0" w:rsidRPr="00AA4EBE" w:rsidRDefault="00B508F0">
            <w:pPr>
              <w:jc w:val="right"/>
              <w:rPr>
                <w:rFonts w:ascii="Arial Narrow" w:hAnsi="Arial Narrow"/>
                <w:b/>
                <w:sz w:val="16"/>
                <w:szCs w:val="16"/>
              </w:rPr>
            </w:pPr>
            <w:r w:rsidRPr="00AA4EBE">
              <w:rPr>
                <w:rFonts w:ascii="Arial Narrow" w:hAnsi="Arial Narrow"/>
                <w:b/>
                <w:sz w:val="16"/>
                <w:szCs w:val="16"/>
              </w:rPr>
              <w:t>5</w:t>
            </w:r>
            <w:r w:rsidR="008C510B" w:rsidRPr="00AA4EBE">
              <w:rPr>
                <w:rFonts w:ascii="Arial Narrow" w:hAnsi="Arial Narrow"/>
                <w:b/>
                <w:sz w:val="16"/>
                <w:szCs w:val="16"/>
              </w:rPr>
              <w:t xml:space="preserve"> 8</w:t>
            </w:r>
            <w:r w:rsidRPr="00AA4EBE">
              <w:rPr>
                <w:rFonts w:ascii="Arial Narrow" w:hAnsi="Arial Narrow"/>
                <w:b/>
                <w:sz w:val="16"/>
                <w:szCs w:val="16"/>
              </w:rPr>
              <w:t>16,2</w:t>
            </w:r>
          </w:p>
        </w:tc>
        <w:tc>
          <w:tcPr>
            <w:tcW w:w="705" w:type="dxa"/>
            <w:tcBorders>
              <w:top w:val="nil"/>
              <w:left w:val="single" w:sz="4" w:space="0" w:color="FF0000"/>
              <w:bottom w:val="nil"/>
              <w:right w:val="nil"/>
            </w:tcBorders>
            <w:shd w:val="clear" w:color="000000" w:fill="E2EFDA"/>
            <w:noWrap/>
            <w:vAlign w:val="bottom"/>
            <w:hideMark/>
          </w:tcPr>
          <w:p w:rsidR="00B508F0" w:rsidRPr="00AA4EBE" w:rsidRDefault="008C510B" w:rsidP="008C510B">
            <w:pPr>
              <w:jc w:val="right"/>
              <w:rPr>
                <w:rFonts w:ascii="Arial Narrow" w:hAnsi="Arial Narrow"/>
                <w:b/>
                <w:sz w:val="16"/>
                <w:szCs w:val="16"/>
              </w:rPr>
            </w:pPr>
            <w:r w:rsidRPr="00AA4EBE">
              <w:rPr>
                <w:rFonts w:ascii="Arial Narrow" w:hAnsi="Arial Narrow"/>
                <w:b/>
                <w:sz w:val="16"/>
                <w:szCs w:val="16"/>
              </w:rPr>
              <w:t>1 235</w:t>
            </w:r>
            <w:r w:rsidR="00B508F0" w:rsidRPr="00AA4EBE">
              <w:rPr>
                <w:rFonts w:ascii="Arial Narrow" w:hAnsi="Arial Narrow"/>
                <w:b/>
                <w:sz w:val="16"/>
                <w:szCs w:val="16"/>
              </w:rPr>
              <w:t>,</w:t>
            </w:r>
            <w:r w:rsidRPr="00AA4EBE">
              <w:rPr>
                <w:rFonts w:ascii="Arial Narrow" w:hAnsi="Arial Narrow"/>
                <w:b/>
                <w:sz w:val="16"/>
                <w:szCs w:val="16"/>
              </w:rPr>
              <w:t>4</w:t>
            </w:r>
          </w:p>
        </w:tc>
        <w:tc>
          <w:tcPr>
            <w:tcW w:w="706" w:type="dxa"/>
            <w:tcBorders>
              <w:top w:val="nil"/>
              <w:left w:val="single" w:sz="4" w:space="0" w:color="FF0000"/>
              <w:bottom w:val="nil"/>
              <w:right w:val="nil"/>
            </w:tcBorders>
            <w:shd w:val="clear" w:color="000000" w:fill="E2EFDA"/>
            <w:noWrap/>
            <w:vAlign w:val="bottom"/>
            <w:hideMark/>
          </w:tcPr>
          <w:p w:rsidR="00B508F0" w:rsidRPr="00AA4EBE" w:rsidRDefault="00B508F0" w:rsidP="008C510B">
            <w:pPr>
              <w:jc w:val="right"/>
              <w:rPr>
                <w:rFonts w:ascii="Arial Narrow" w:hAnsi="Arial Narrow"/>
                <w:b/>
                <w:sz w:val="16"/>
                <w:szCs w:val="16"/>
              </w:rPr>
            </w:pPr>
            <w:r w:rsidRPr="00AA4EBE">
              <w:rPr>
                <w:rFonts w:ascii="Arial Narrow" w:hAnsi="Arial Narrow"/>
                <w:b/>
                <w:sz w:val="16"/>
                <w:szCs w:val="16"/>
              </w:rPr>
              <w:t>1</w:t>
            </w:r>
            <w:r w:rsidR="008C510B" w:rsidRPr="00AA4EBE">
              <w:rPr>
                <w:rFonts w:ascii="Arial Narrow" w:hAnsi="Arial Narrow"/>
                <w:b/>
                <w:sz w:val="16"/>
                <w:szCs w:val="16"/>
              </w:rPr>
              <w:t xml:space="preserve"> 701</w:t>
            </w:r>
            <w:r w:rsidRPr="00AA4EBE">
              <w:rPr>
                <w:rFonts w:ascii="Arial Narrow" w:hAnsi="Arial Narrow"/>
                <w:b/>
                <w:sz w:val="16"/>
                <w:szCs w:val="16"/>
              </w:rPr>
              <w:t>,</w:t>
            </w:r>
            <w:r w:rsidR="008C510B" w:rsidRPr="00AA4EBE">
              <w:rPr>
                <w:rFonts w:ascii="Arial Narrow" w:hAnsi="Arial Narrow"/>
                <w:b/>
                <w:sz w:val="16"/>
                <w:szCs w:val="16"/>
              </w:rPr>
              <w:t>1</w:t>
            </w:r>
          </w:p>
        </w:tc>
        <w:tc>
          <w:tcPr>
            <w:tcW w:w="846" w:type="dxa"/>
            <w:tcBorders>
              <w:top w:val="nil"/>
              <w:left w:val="single" w:sz="4" w:space="0" w:color="FF0000"/>
              <w:bottom w:val="nil"/>
              <w:right w:val="nil"/>
            </w:tcBorders>
            <w:shd w:val="clear" w:color="000000" w:fill="E2EFDA"/>
            <w:noWrap/>
            <w:vAlign w:val="bottom"/>
            <w:hideMark/>
          </w:tcPr>
          <w:p w:rsidR="00B508F0" w:rsidRPr="00AA4EBE" w:rsidRDefault="00B508F0">
            <w:pPr>
              <w:jc w:val="right"/>
              <w:rPr>
                <w:rFonts w:ascii="Arial Narrow" w:hAnsi="Arial Narrow"/>
                <w:b/>
                <w:sz w:val="16"/>
                <w:szCs w:val="16"/>
              </w:rPr>
            </w:pPr>
            <w:r w:rsidRPr="00AA4EBE">
              <w:rPr>
                <w:rFonts w:ascii="Arial Narrow" w:hAnsi="Arial Narrow"/>
                <w:b/>
                <w:sz w:val="16"/>
                <w:szCs w:val="16"/>
              </w:rPr>
              <w:t>3</w:t>
            </w:r>
            <w:r w:rsidR="008C510B" w:rsidRPr="00AA4EBE">
              <w:rPr>
                <w:rFonts w:ascii="Arial Narrow" w:hAnsi="Arial Narrow"/>
                <w:b/>
                <w:sz w:val="16"/>
                <w:szCs w:val="16"/>
              </w:rPr>
              <w:t>7</w:t>
            </w:r>
            <w:r w:rsidRPr="00AA4EBE">
              <w:rPr>
                <w:rFonts w:ascii="Arial Narrow" w:hAnsi="Arial Narrow"/>
                <w:b/>
                <w:sz w:val="16"/>
                <w:szCs w:val="16"/>
              </w:rPr>
              <w:t>,3</w:t>
            </w:r>
          </w:p>
        </w:tc>
        <w:tc>
          <w:tcPr>
            <w:tcW w:w="564" w:type="dxa"/>
            <w:tcBorders>
              <w:top w:val="nil"/>
              <w:left w:val="single" w:sz="4" w:space="0" w:color="FF0000"/>
              <w:bottom w:val="nil"/>
              <w:right w:val="nil"/>
            </w:tcBorders>
            <w:shd w:val="clear" w:color="000000" w:fill="E2EFDA"/>
            <w:noWrap/>
            <w:vAlign w:val="bottom"/>
            <w:hideMark/>
          </w:tcPr>
          <w:p w:rsidR="00B508F0" w:rsidRPr="00AA4EBE" w:rsidRDefault="008C510B" w:rsidP="008C510B">
            <w:pPr>
              <w:jc w:val="right"/>
              <w:rPr>
                <w:rFonts w:ascii="Arial Narrow" w:hAnsi="Arial Narrow"/>
                <w:b/>
                <w:sz w:val="16"/>
                <w:szCs w:val="16"/>
              </w:rPr>
            </w:pPr>
            <w:r w:rsidRPr="00AA4EBE">
              <w:rPr>
                <w:rFonts w:ascii="Arial Narrow" w:hAnsi="Arial Narrow"/>
                <w:b/>
                <w:sz w:val="16"/>
                <w:szCs w:val="16"/>
              </w:rPr>
              <w:t>7</w:t>
            </w:r>
            <w:r w:rsidR="00B508F0" w:rsidRPr="00AA4EBE">
              <w:rPr>
                <w:rFonts w:ascii="Arial Narrow" w:hAnsi="Arial Narrow"/>
                <w:b/>
                <w:sz w:val="16"/>
                <w:szCs w:val="16"/>
              </w:rPr>
              <w:t>,</w:t>
            </w:r>
            <w:r w:rsidRPr="00AA4EBE">
              <w:rPr>
                <w:rFonts w:ascii="Arial Narrow" w:hAnsi="Arial Narrow"/>
                <w:b/>
                <w:sz w:val="16"/>
                <w:szCs w:val="16"/>
              </w:rPr>
              <w:t>2</w:t>
            </w:r>
          </w:p>
        </w:tc>
        <w:tc>
          <w:tcPr>
            <w:tcW w:w="761" w:type="dxa"/>
            <w:tcBorders>
              <w:top w:val="nil"/>
              <w:left w:val="single" w:sz="4" w:space="0" w:color="FF0000"/>
              <w:bottom w:val="nil"/>
              <w:right w:val="nil"/>
            </w:tcBorders>
            <w:shd w:val="clear" w:color="000000" w:fill="E2EFDA"/>
            <w:noWrap/>
            <w:vAlign w:val="bottom"/>
            <w:hideMark/>
          </w:tcPr>
          <w:p w:rsidR="00B508F0" w:rsidRPr="00AA4EBE" w:rsidRDefault="008C510B" w:rsidP="008C510B">
            <w:pPr>
              <w:jc w:val="right"/>
              <w:rPr>
                <w:rFonts w:ascii="Arial Narrow" w:hAnsi="Arial Narrow"/>
                <w:b/>
                <w:sz w:val="16"/>
                <w:szCs w:val="16"/>
              </w:rPr>
            </w:pPr>
            <w:r w:rsidRPr="00AA4EBE">
              <w:rPr>
                <w:rFonts w:ascii="Arial Narrow" w:hAnsi="Arial Narrow"/>
                <w:b/>
                <w:sz w:val="16"/>
                <w:szCs w:val="16"/>
              </w:rPr>
              <w:t>116</w:t>
            </w:r>
            <w:r w:rsidR="00B508F0" w:rsidRPr="00AA4EBE">
              <w:rPr>
                <w:rFonts w:ascii="Arial Narrow" w:hAnsi="Arial Narrow"/>
                <w:b/>
                <w:sz w:val="16"/>
                <w:szCs w:val="16"/>
              </w:rPr>
              <w:t>,</w:t>
            </w:r>
            <w:r w:rsidRPr="00AA4EBE">
              <w:rPr>
                <w:rFonts w:ascii="Arial Narrow" w:hAnsi="Arial Narrow"/>
                <w:b/>
                <w:sz w:val="16"/>
                <w:szCs w:val="16"/>
              </w:rPr>
              <w:t>6</w:t>
            </w:r>
          </w:p>
        </w:tc>
      </w:tr>
      <w:tr w:rsidR="00170F50" w:rsidTr="00AA4EBE">
        <w:trPr>
          <w:trHeight w:val="265"/>
        </w:trPr>
        <w:tc>
          <w:tcPr>
            <w:tcW w:w="642" w:type="dxa"/>
            <w:tcBorders>
              <w:top w:val="nil"/>
              <w:left w:val="nil"/>
              <w:bottom w:val="nil"/>
              <w:right w:val="nil"/>
            </w:tcBorders>
            <w:shd w:val="clear" w:color="000000" w:fill="E2EFDA"/>
            <w:noWrap/>
            <w:vAlign w:val="bottom"/>
            <w:hideMark/>
          </w:tcPr>
          <w:p w:rsidR="00B508F0" w:rsidRDefault="00B508F0">
            <w:pPr>
              <w:rPr>
                <w:rFonts w:ascii="Arial Narrow" w:hAnsi="Arial Narrow"/>
                <w:b/>
                <w:bCs/>
                <w:color w:val="FFFFFF"/>
                <w:sz w:val="16"/>
                <w:szCs w:val="16"/>
              </w:rPr>
            </w:pPr>
            <w:r>
              <w:rPr>
                <w:rFonts w:ascii="Arial Narrow" w:hAnsi="Arial Narrow"/>
                <w:b/>
                <w:bCs/>
                <w:color w:val="FFFFFF"/>
                <w:sz w:val="16"/>
                <w:szCs w:val="16"/>
              </w:rPr>
              <w:t> </w:t>
            </w:r>
          </w:p>
        </w:tc>
        <w:tc>
          <w:tcPr>
            <w:tcW w:w="177" w:type="dxa"/>
            <w:tcBorders>
              <w:top w:val="nil"/>
              <w:left w:val="nil"/>
              <w:bottom w:val="nil"/>
              <w:right w:val="nil"/>
            </w:tcBorders>
            <w:shd w:val="clear" w:color="000000" w:fill="E2EFDA"/>
            <w:noWrap/>
            <w:vAlign w:val="bottom"/>
            <w:hideMark/>
          </w:tcPr>
          <w:p w:rsidR="00B508F0" w:rsidRDefault="00B508F0">
            <w:pPr>
              <w:rPr>
                <w:rFonts w:ascii="Arial Narrow" w:hAnsi="Arial Narrow"/>
                <w:b/>
                <w:bCs/>
                <w:sz w:val="16"/>
                <w:szCs w:val="16"/>
              </w:rPr>
            </w:pPr>
            <w:r>
              <w:rPr>
                <w:rFonts w:ascii="Arial Narrow" w:hAnsi="Arial Narrow"/>
                <w:b/>
                <w:bCs/>
                <w:sz w:val="16"/>
                <w:szCs w:val="16"/>
              </w:rPr>
              <w:t> </w:t>
            </w:r>
          </w:p>
        </w:tc>
        <w:tc>
          <w:tcPr>
            <w:tcW w:w="2397" w:type="dxa"/>
            <w:gridSpan w:val="3"/>
            <w:tcBorders>
              <w:top w:val="nil"/>
              <w:left w:val="nil"/>
              <w:bottom w:val="nil"/>
              <w:right w:val="nil"/>
            </w:tcBorders>
            <w:shd w:val="clear" w:color="000000" w:fill="E2EFDA"/>
            <w:noWrap/>
            <w:vAlign w:val="center"/>
            <w:hideMark/>
          </w:tcPr>
          <w:p w:rsidR="00B508F0" w:rsidRDefault="00B508F0">
            <w:pPr>
              <w:rPr>
                <w:rFonts w:ascii="Arial Narrow" w:hAnsi="Arial Narrow"/>
                <w:b/>
                <w:bCs/>
                <w:sz w:val="16"/>
                <w:szCs w:val="16"/>
              </w:rPr>
            </w:pPr>
            <w:r>
              <w:rPr>
                <w:rFonts w:ascii="Arial Narrow" w:hAnsi="Arial Narrow"/>
                <w:b/>
                <w:bCs/>
                <w:sz w:val="16"/>
                <w:szCs w:val="16"/>
              </w:rPr>
              <w:t>Verejná správa</w:t>
            </w:r>
          </w:p>
        </w:tc>
        <w:tc>
          <w:tcPr>
            <w:tcW w:w="775" w:type="dxa"/>
            <w:tcBorders>
              <w:top w:val="nil"/>
              <w:left w:val="nil"/>
              <w:bottom w:val="nil"/>
              <w:right w:val="nil"/>
            </w:tcBorders>
            <w:shd w:val="clear" w:color="000000" w:fill="E2EFDA"/>
            <w:noWrap/>
            <w:vAlign w:val="center"/>
            <w:hideMark/>
          </w:tcPr>
          <w:p w:rsidR="00B508F0" w:rsidRDefault="00B508F0">
            <w:pPr>
              <w:rPr>
                <w:rFonts w:ascii="Arial Narrow" w:hAnsi="Arial Narrow"/>
                <w:b/>
                <w:bCs/>
                <w:sz w:val="16"/>
                <w:szCs w:val="16"/>
              </w:rPr>
            </w:pPr>
            <w:r>
              <w:rPr>
                <w:rFonts w:ascii="Arial Narrow" w:hAnsi="Arial Narrow"/>
                <w:b/>
                <w:bCs/>
                <w:sz w:val="16"/>
                <w:szCs w:val="16"/>
              </w:rPr>
              <w:t> </w:t>
            </w:r>
          </w:p>
        </w:tc>
        <w:tc>
          <w:tcPr>
            <w:tcW w:w="764" w:type="dxa"/>
            <w:tcBorders>
              <w:top w:val="nil"/>
              <w:left w:val="single" w:sz="4" w:space="0" w:color="FF0000"/>
              <w:bottom w:val="nil"/>
              <w:right w:val="nil"/>
            </w:tcBorders>
            <w:shd w:val="clear" w:color="000000" w:fill="E2EFDA"/>
            <w:noWrap/>
            <w:vAlign w:val="bottom"/>
            <w:hideMark/>
          </w:tcPr>
          <w:p w:rsidR="00B508F0" w:rsidRDefault="00B508F0">
            <w:pPr>
              <w:rPr>
                <w:rFonts w:ascii="Arial Narrow" w:hAnsi="Arial Narrow"/>
                <w:b/>
                <w:bCs/>
                <w:sz w:val="16"/>
                <w:szCs w:val="16"/>
              </w:rPr>
            </w:pPr>
            <w:r>
              <w:rPr>
                <w:rFonts w:ascii="Arial Narrow" w:hAnsi="Arial Narrow"/>
                <w:b/>
                <w:bCs/>
                <w:sz w:val="16"/>
                <w:szCs w:val="16"/>
              </w:rPr>
              <w:t> </w:t>
            </w:r>
          </w:p>
        </w:tc>
        <w:tc>
          <w:tcPr>
            <w:tcW w:w="846" w:type="dxa"/>
            <w:tcBorders>
              <w:top w:val="nil"/>
              <w:left w:val="single" w:sz="4" w:space="0" w:color="FF0000"/>
              <w:bottom w:val="nil"/>
              <w:right w:val="single" w:sz="4" w:space="0" w:color="FF0000"/>
            </w:tcBorders>
            <w:shd w:val="clear" w:color="000000" w:fill="E2EFDA"/>
            <w:noWrap/>
            <w:vAlign w:val="bottom"/>
            <w:hideMark/>
          </w:tcPr>
          <w:p w:rsidR="00B508F0" w:rsidRDefault="00B508F0">
            <w:pPr>
              <w:rPr>
                <w:rFonts w:ascii="Arial Narrow" w:hAnsi="Arial Narrow"/>
                <w:b/>
                <w:bCs/>
                <w:sz w:val="16"/>
                <w:szCs w:val="16"/>
              </w:rPr>
            </w:pPr>
            <w:r>
              <w:rPr>
                <w:rFonts w:ascii="Arial Narrow" w:hAnsi="Arial Narrow"/>
                <w:b/>
                <w:bCs/>
                <w:sz w:val="16"/>
                <w:szCs w:val="16"/>
              </w:rPr>
              <w:t> </w:t>
            </w:r>
          </w:p>
        </w:tc>
        <w:tc>
          <w:tcPr>
            <w:tcW w:w="705" w:type="dxa"/>
            <w:tcBorders>
              <w:top w:val="nil"/>
              <w:left w:val="nil"/>
              <w:bottom w:val="nil"/>
              <w:right w:val="single" w:sz="4" w:space="0" w:color="FF0000"/>
            </w:tcBorders>
            <w:shd w:val="clear" w:color="000000" w:fill="E2EFDA"/>
            <w:noWrap/>
            <w:vAlign w:val="bottom"/>
            <w:hideMark/>
          </w:tcPr>
          <w:p w:rsidR="00B508F0" w:rsidRDefault="00B508F0">
            <w:pPr>
              <w:rPr>
                <w:rFonts w:ascii="Arial Narrow" w:hAnsi="Arial Narrow"/>
                <w:b/>
                <w:bCs/>
                <w:sz w:val="16"/>
                <w:szCs w:val="16"/>
              </w:rPr>
            </w:pPr>
            <w:r>
              <w:rPr>
                <w:rFonts w:ascii="Arial Narrow" w:hAnsi="Arial Narrow"/>
                <w:b/>
                <w:bCs/>
                <w:sz w:val="16"/>
                <w:szCs w:val="16"/>
              </w:rPr>
              <w:t> </w:t>
            </w:r>
          </w:p>
        </w:tc>
        <w:tc>
          <w:tcPr>
            <w:tcW w:w="706" w:type="dxa"/>
            <w:tcBorders>
              <w:top w:val="nil"/>
              <w:left w:val="nil"/>
              <w:bottom w:val="nil"/>
              <w:right w:val="single" w:sz="4" w:space="0" w:color="FF0000"/>
            </w:tcBorders>
            <w:shd w:val="clear" w:color="000000" w:fill="E2EFDA"/>
            <w:noWrap/>
            <w:vAlign w:val="bottom"/>
            <w:hideMark/>
          </w:tcPr>
          <w:p w:rsidR="00B508F0" w:rsidRDefault="00B508F0">
            <w:pPr>
              <w:rPr>
                <w:rFonts w:ascii="Arial Narrow" w:hAnsi="Arial Narrow"/>
                <w:b/>
                <w:bCs/>
                <w:sz w:val="16"/>
                <w:szCs w:val="16"/>
              </w:rPr>
            </w:pPr>
            <w:r>
              <w:rPr>
                <w:rFonts w:ascii="Arial Narrow" w:hAnsi="Arial Narrow"/>
                <w:b/>
                <w:bCs/>
                <w:sz w:val="16"/>
                <w:szCs w:val="16"/>
              </w:rPr>
              <w:t> </w:t>
            </w:r>
          </w:p>
        </w:tc>
        <w:tc>
          <w:tcPr>
            <w:tcW w:w="846" w:type="dxa"/>
            <w:tcBorders>
              <w:top w:val="nil"/>
              <w:left w:val="nil"/>
              <w:bottom w:val="nil"/>
              <w:right w:val="single" w:sz="4" w:space="0" w:color="FF0000"/>
            </w:tcBorders>
            <w:shd w:val="clear" w:color="000000" w:fill="E2EFDA"/>
            <w:noWrap/>
            <w:vAlign w:val="bottom"/>
            <w:hideMark/>
          </w:tcPr>
          <w:p w:rsidR="00B508F0" w:rsidRDefault="00B508F0">
            <w:pPr>
              <w:rPr>
                <w:rFonts w:ascii="Arial Narrow" w:hAnsi="Arial Narrow"/>
                <w:b/>
                <w:bCs/>
                <w:sz w:val="16"/>
                <w:szCs w:val="16"/>
              </w:rPr>
            </w:pPr>
            <w:r>
              <w:rPr>
                <w:rFonts w:ascii="Arial Narrow" w:hAnsi="Arial Narrow"/>
                <w:b/>
                <w:bCs/>
                <w:sz w:val="16"/>
                <w:szCs w:val="16"/>
              </w:rPr>
              <w:t> </w:t>
            </w:r>
          </w:p>
        </w:tc>
        <w:tc>
          <w:tcPr>
            <w:tcW w:w="564" w:type="dxa"/>
            <w:tcBorders>
              <w:top w:val="nil"/>
              <w:left w:val="nil"/>
              <w:bottom w:val="nil"/>
              <w:right w:val="single" w:sz="4" w:space="0" w:color="FF0000"/>
            </w:tcBorders>
            <w:shd w:val="clear" w:color="000000" w:fill="E2EFDA"/>
            <w:noWrap/>
            <w:vAlign w:val="bottom"/>
            <w:hideMark/>
          </w:tcPr>
          <w:p w:rsidR="00B508F0" w:rsidRDefault="00B508F0">
            <w:pPr>
              <w:rPr>
                <w:rFonts w:ascii="Arial Narrow" w:hAnsi="Arial Narrow"/>
                <w:b/>
                <w:bCs/>
                <w:sz w:val="16"/>
                <w:szCs w:val="16"/>
              </w:rPr>
            </w:pPr>
            <w:r>
              <w:rPr>
                <w:rFonts w:ascii="Arial Narrow" w:hAnsi="Arial Narrow"/>
                <w:b/>
                <w:bCs/>
                <w:sz w:val="16"/>
                <w:szCs w:val="16"/>
              </w:rPr>
              <w:t> </w:t>
            </w:r>
          </w:p>
        </w:tc>
        <w:tc>
          <w:tcPr>
            <w:tcW w:w="761" w:type="dxa"/>
            <w:tcBorders>
              <w:top w:val="nil"/>
              <w:left w:val="nil"/>
              <w:bottom w:val="nil"/>
              <w:right w:val="nil"/>
            </w:tcBorders>
            <w:shd w:val="clear" w:color="000000" w:fill="E2EFDA"/>
            <w:noWrap/>
            <w:vAlign w:val="bottom"/>
            <w:hideMark/>
          </w:tcPr>
          <w:p w:rsidR="00B508F0" w:rsidRDefault="00B508F0">
            <w:pPr>
              <w:rPr>
                <w:rFonts w:ascii="Arial Narrow" w:hAnsi="Arial Narrow"/>
                <w:sz w:val="16"/>
                <w:szCs w:val="16"/>
              </w:rPr>
            </w:pPr>
            <w:r>
              <w:rPr>
                <w:rFonts w:ascii="Arial Narrow" w:hAnsi="Arial Narrow"/>
                <w:sz w:val="16"/>
                <w:szCs w:val="16"/>
              </w:rPr>
              <w:t> </w:t>
            </w:r>
          </w:p>
        </w:tc>
      </w:tr>
      <w:tr w:rsidR="00170F50" w:rsidTr="00AA4EBE">
        <w:trPr>
          <w:trHeight w:val="231"/>
        </w:trPr>
        <w:tc>
          <w:tcPr>
            <w:tcW w:w="642" w:type="dxa"/>
            <w:tcBorders>
              <w:top w:val="nil"/>
              <w:left w:val="nil"/>
              <w:bottom w:val="nil"/>
              <w:right w:val="nil"/>
            </w:tcBorders>
            <w:shd w:val="clear" w:color="auto" w:fill="auto"/>
            <w:noWrap/>
            <w:vAlign w:val="bottom"/>
            <w:hideMark/>
          </w:tcPr>
          <w:p w:rsidR="00B508F0" w:rsidRDefault="00B508F0">
            <w:pPr>
              <w:rPr>
                <w:rFonts w:ascii="Arial Narrow" w:hAnsi="Arial Narrow"/>
                <w:sz w:val="16"/>
                <w:szCs w:val="16"/>
              </w:rPr>
            </w:pPr>
          </w:p>
        </w:tc>
        <w:tc>
          <w:tcPr>
            <w:tcW w:w="177" w:type="dxa"/>
            <w:tcBorders>
              <w:top w:val="nil"/>
              <w:left w:val="nil"/>
              <w:bottom w:val="nil"/>
              <w:right w:val="nil"/>
            </w:tcBorders>
            <w:shd w:val="clear" w:color="auto" w:fill="auto"/>
            <w:noWrap/>
            <w:vAlign w:val="bottom"/>
            <w:hideMark/>
          </w:tcPr>
          <w:p w:rsidR="00B508F0" w:rsidRDefault="00B508F0">
            <w:pPr>
              <w:rPr>
                <w:sz w:val="20"/>
                <w:szCs w:val="20"/>
              </w:rPr>
            </w:pPr>
          </w:p>
        </w:tc>
        <w:tc>
          <w:tcPr>
            <w:tcW w:w="745" w:type="dxa"/>
            <w:tcBorders>
              <w:top w:val="nil"/>
              <w:left w:val="nil"/>
              <w:bottom w:val="nil"/>
              <w:right w:val="nil"/>
            </w:tcBorders>
            <w:shd w:val="clear" w:color="auto" w:fill="auto"/>
            <w:noWrap/>
            <w:vAlign w:val="center"/>
            <w:hideMark/>
          </w:tcPr>
          <w:p w:rsidR="00B508F0" w:rsidRDefault="00B508F0">
            <w:pPr>
              <w:rPr>
                <w:sz w:val="20"/>
                <w:szCs w:val="20"/>
              </w:rPr>
            </w:pPr>
          </w:p>
        </w:tc>
        <w:tc>
          <w:tcPr>
            <w:tcW w:w="1652" w:type="dxa"/>
            <w:gridSpan w:val="2"/>
            <w:tcBorders>
              <w:top w:val="nil"/>
              <w:left w:val="nil"/>
              <w:bottom w:val="nil"/>
              <w:right w:val="nil"/>
            </w:tcBorders>
            <w:shd w:val="clear" w:color="auto" w:fill="auto"/>
            <w:noWrap/>
            <w:vAlign w:val="center"/>
            <w:hideMark/>
          </w:tcPr>
          <w:p w:rsidR="00B508F0" w:rsidRDefault="00B508F0">
            <w:pPr>
              <w:rPr>
                <w:rFonts w:ascii="Arial Narrow" w:hAnsi="Arial Narrow"/>
                <w:sz w:val="16"/>
                <w:szCs w:val="16"/>
              </w:rPr>
            </w:pPr>
            <w:r>
              <w:rPr>
                <w:rFonts w:ascii="Arial Narrow" w:hAnsi="Arial Narrow"/>
                <w:sz w:val="16"/>
                <w:szCs w:val="16"/>
              </w:rPr>
              <w:t>Ústredná štátna správa</w:t>
            </w:r>
          </w:p>
        </w:tc>
        <w:tc>
          <w:tcPr>
            <w:tcW w:w="775" w:type="dxa"/>
            <w:tcBorders>
              <w:top w:val="nil"/>
              <w:left w:val="nil"/>
              <w:bottom w:val="nil"/>
              <w:right w:val="nil"/>
            </w:tcBorders>
            <w:shd w:val="clear" w:color="auto" w:fill="auto"/>
            <w:noWrap/>
            <w:vAlign w:val="center"/>
            <w:hideMark/>
          </w:tcPr>
          <w:p w:rsidR="00B508F0" w:rsidRDefault="00B508F0">
            <w:pPr>
              <w:rPr>
                <w:rFonts w:ascii="Arial Narrow" w:hAnsi="Arial Narrow"/>
                <w:sz w:val="16"/>
                <w:szCs w:val="16"/>
              </w:rPr>
            </w:pPr>
          </w:p>
        </w:tc>
        <w:tc>
          <w:tcPr>
            <w:tcW w:w="764"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 xml:space="preserve">5 </w:t>
            </w:r>
            <w:r w:rsidR="008C510B">
              <w:rPr>
                <w:rFonts w:ascii="Arial Narrow" w:hAnsi="Arial Narrow"/>
                <w:sz w:val="16"/>
                <w:szCs w:val="16"/>
              </w:rPr>
              <w:t>2</w:t>
            </w:r>
            <w:r>
              <w:rPr>
                <w:rFonts w:ascii="Arial Narrow" w:hAnsi="Arial Narrow"/>
                <w:sz w:val="16"/>
                <w:szCs w:val="16"/>
              </w:rPr>
              <w:t>17,</w:t>
            </w:r>
            <w:r w:rsidR="008C510B">
              <w:rPr>
                <w:rFonts w:ascii="Arial Narrow" w:hAnsi="Arial Narrow"/>
                <w:sz w:val="16"/>
                <w:szCs w:val="16"/>
              </w:rPr>
              <w:t>0</w:t>
            </w:r>
          </w:p>
        </w:tc>
        <w:tc>
          <w:tcPr>
            <w:tcW w:w="846"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4 5</w:t>
            </w:r>
            <w:r w:rsidR="008C510B">
              <w:rPr>
                <w:rFonts w:ascii="Arial Narrow" w:hAnsi="Arial Narrow"/>
                <w:sz w:val="16"/>
                <w:szCs w:val="16"/>
              </w:rPr>
              <w:t>03</w:t>
            </w:r>
            <w:r>
              <w:rPr>
                <w:rFonts w:ascii="Arial Narrow" w:hAnsi="Arial Narrow"/>
                <w:sz w:val="16"/>
                <w:szCs w:val="16"/>
              </w:rPr>
              <w:t>,</w:t>
            </w:r>
            <w:r w:rsidR="008C510B">
              <w:rPr>
                <w:rFonts w:ascii="Arial Narrow" w:hAnsi="Arial Narrow"/>
                <w:sz w:val="16"/>
                <w:szCs w:val="16"/>
              </w:rPr>
              <w:t>3</w:t>
            </w:r>
          </w:p>
        </w:tc>
        <w:tc>
          <w:tcPr>
            <w:tcW w:w="705"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9</w:t>
            </w:r>
            <w:r w:rsidR="008C510B">
              <w:rPr>
                <w:rFonts w:ascii="Arial Narrow" w:hAnsi="Arial Narrow"/>
                <w:sz w:val="16"/>
                <w:szCs w:val="16"/>
              </w:rPr>
              <w:t>56</w:t>
            </w:r>
            <w:r>
              <w:rPr>
                <w:rFonts w:ascii="Arial Narrow" w:hAnsi="Arial Narrow"/>
                <w:sz w:val="16"/>
                <w:szCs w:val="16"/>
              </w:rPr>
              <w:t>,</w:t>
            </w:r>
            <w:r w:rsidR="008C510B">
              <w:rPr>
                <w:rFonts w:ascii="Arial Narrow" w:hAnsi="Arial Narrow"/>
                <w:sz w:val="16"/>
                <w:szCs w:val="16"/>
              </w:rPr>
              <w:t>5</w:t>
            </w:r>
          </w:p>
        </w:tc>
        <w:tc>
          <w:tcPr>
            <w:tcW w:w="706"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1 3</w:t>
            </w:r>
            <w:r w:rsidR="008C510B">
              <w:rPr>
                <w:rFonts w:ascii="Arial Narrow" w:hAnsi="Arial Narrow"/>
                <w:sz w:val="16"/>
                <w:szCs w:val="16"/>
              </w:rPr>
              <w:t>17</w:t>
            </w:r>
            <w:r>
              <w:rPr>
                <w:rFonts w:ascii="Arial Narrow" w:hAnsi="Arial Narrow"/>
                <w:sz w:val="16"/>
                <w:szCs w:val="16"/>
              </w:rPr>
              <w:t>,</w:t>
            </w:r>
            <w:r w:rsidR="008C510B">
              <w:rPr>
                <w:rFonts w:ascii="Arial Narrow" w:hAnsi="Arial Narrow"/>
                <w:sz w:val="16"/>
                <w:szCs w:val="16"/>
              </w:rPr>
              <w:t>1</w:t>
            </w:r>
          </w:p>
        </w:tc>
        <w:tc>
          <w:tcPr>
            <w:tcW w:w="846" w:type="dxa"/>
            <w:tcBorders>
              <w:top w:val="nil"/>
              <w:left w:val="single" w:sz="4" w:space="0" w:color="FF0000"/>
              <w:bottom w:val="nil"/>
              <w:right w:val="nil"/>
            </w:tcBorders>
            <w:shd w:val="clear" w:color="auto" w:fill="auto"/>
            <w:noWrap/>
            <w:vAlign w:val="bottom"/>
            <w:hideMark/>
          </w:tcPr>
          <w:p w:rsidR="00B508F0" w:rsidRDefault="008C510B" w:rsidP="008C510B">
            <w:pPr>
              <w:jc w:val="right"/>
              <w:rPr>
                <w:rFonts w:ascii="Arial Narrow" w:hAnsi="Arial Narrow"/>
                <w:sz w:val="16"/>
                <w:szCs w:val="16"/>
              </w:rPr>
            </w:pPr>
            <w:r>
              <w:rPr>
                <w:rFonts w:ascii="Arial Narrow" w:hAnsi="Arial Narrow"/>
                <w:sz w:val="16"/>
                <w:szCs w:val="16"/>
              </w:rPr>
              <w:t>28</w:t>
            </w:r>
            <w:r w:rsidR="00B508F0">
              <w:rPr>
                <w:rFonts w:ascii="Arial Narrow" w:hAnsi="Arial Narrow"/>
                <w:sz w:val="16"/>
                <w:szCs w:val="16"/>
              </w:rPr>
              <w:t>,</w:t>
            </w:r>
            <w:r>
              <w:rPr>
                <w:rFonts w:ascii="Arial Narrow" w:hAnsi="Arial Narrow"/>
                <w:sz w:val="16"/>
                <w:szCs w:val="16"/>
              </w:rPr>
              <w:t>9</w:t>
            </w:r>
          </w:p>
        </w:tc>
        <w:tc>
          <w:tcPr>
            <w:tcW w:w="564"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5,</w:t>
            </w:r>
            <w:r w:rsidR="008C510B">
              <w:rPr>
                <w:rFonts w:ascii="Arial Narrow" w:hAnsi="Arial Narrow"/>
                <w:sz w:val="16"/>
                <w:szCs w:val="16"/>
              </w:rPr>
              <w:t>6</w:t>
            </w:r>
          </w:p>
        </w:tc>
        <w:tc>
          <w:tcPr>
            <w:tcW w:w="761"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1</w:t>
            </w:r>
            <w:r w:rsidR="008C510B">
              <w:rPr>
                <w:rFonts w:ascii="Arial Narrow" w:hAnsi="Arial Narrow"/>
                <w:sz w:val="16"/>
                <w:szCs w:val="16"/>
              </w:rPr>
              <w:t>00</w:t>
            </w:r>
            <w:r>
              <w:rPr>
                <w:rFonts w:ascii="Arial Narrow" w:hAnsi="Arial Narrow"/>
                <w:sz w:val="16"/>
                <w:szCs w:val="16"/>
              </w:rPr>
              <w:t>,</w:t>
            </w:r>
            <w:r w:rsidR="008C510B">
              <w:rPr>
                <w:rFonts w:ascii="Arial Narrow" w:hAnsi="Arial Narrow"/>
                <w:sz w:val="16"/>
                <w:szCs w:val="16"/>
              </w:rPr>
              <w:t>9</w:t>
            </w:r>
          </w:p>
        </w:tc>
      </w:tr>
      <w:tr w:rsidR="00170F50" w:rsidTr="00AA4EBE">
        <w:trPr>
          <w:trHeight w:val="308"/>
        </w:trPr>
        <w:tc>
          <w:tcPr>
            <w:tcW w:w="642" w:type="dxa"/>
            <w:tcBorders>
              <w:top w:val="nil"/>
              <w:left w:val="nil"/>
              <w:bottom w:val="nil"/>
              <w:right w:val="nil"/>
            </w:tcBorders>
            <w:shd w:val="clear" w:color="auto" w:fill="auto"/>
            <w:noWrap/>
            <w:vAlign w:val="bottom"/>
            <w:hideMark/>
          </w:tcPr>
          <w:p w:rsidR="00B508F0" w:rsidRDefault="00B508F0">
            <w:pPr>
              <w:jc w:val="right"/>
              <w:rPr>
                <w:rFonts w:ascii="Arial Narrow" w:hAnsi="Arial Narrow"/>
                <w:sz w:val="16"/>
                <w:szCs w:val="16"/>
              </w:rPr>
            </w:pPr>
          </w:p>
        </w:tc>
        <w:tc>
          <w:tcPr>
            <w:tcW w:w="177" w:type="dxa"/>
            <w:tcBorders>
              <w:top w:val="nil"/>
              <w:left w:val="nil"/>
              <w:bottom w:val="nil"/>
              <w:right w:val="nil"/>
            </w:tcBorders>
            <w:shd w:val="clear" w:color="auto" w:fill="auto"/>
            <w:noWrap/>
            <w:vAlign w:val="bottom"/>
            <w:hideMark/>
          </w:tcPr>
          <w:p w:rsidR="00B508F0" w:rsidRDefault="00B508F0">
            <w:pPr>
              <w:rPr>
                <w:sz w:val="20"/>
                <w:szCs w:val="20"/>
              </w:rPr>
            </w:pPr>
          </w:p>
        </w:tc>
        <w:tc>
          <w:tcPr>
            <w:tcW w:w="745" w:type="dxa"/>
            <w:tcBorders>
              <w:top w:val="nil"/>
              <w:left w:val="nil"/>
              <w:bottom w:val="nil"/>
              <w:right w:val="nil"/>
            </w:tcBorders>
            <w:shd w:val="clear" w:color="auto" w:fill="auto"/>
            <w:noWrap/>
            <w:vAlign w:val="center"/>
            <w:hideMark/>
          </w:tcPr>
          <w:p w:rsidR="00B508F0" w:rsidRDefault="00B508F0">
            <w:pPr>
              <w:rPr>
                <w:sz w:val="20"/>
                <w:szCs w:val="20"/>
              </w:rPr>
            </w:pPr>
          </w:p>
        </w:tc>
        <w:tc>
          <w:tcPr>
            <w:tcW w:w="2427" w:type="dxa"/>
            <w:gridSpan w:val="3"/>
            <w:tcBorders>
              <w:top w:val="nil"/>
              <w:left w:val="nil"/>
              <w:bottom w:val="nil"/>
              <w:right w:val="nil"/>
            </w:tcBorders>
            <w:shd w:val="clear" w:color="auto" w:fill="auto"/>
            <w:vAlign w:val="center"/>
            <w:hideMark/>
          </w:tcPr>
          <w:p w:rsidR="00B508F0" w:rsidRDefault="00B508F0" w:rsidP="006939DA">
            <w:pPr>
              <w:rPr>
                <w:rFonts w:ascii="Arial Narrow" w:hAnsi="Arial Narrow"/>
                <w:sz w:val="16"/>
                <w:szCs w:val="16"/>
              </w:rPr>
            </w:pPr>
            <w:proofErr w:type="spellStart"/>
            <w:r>
              <w:rPr>
                <w:rFonts w:ascii="Arial Narrow" w:hAnsi="Arial Narrow"/>
                <w:sz w:val="16"/>
                <w:szCs w:val="16"/>
              </w:rPr>
              <w:t>Regionál</w:t>
            </w:r>
            <w:proofErr w:type="spellEnd"/>
            <w:r>
              <w:rPr>
                <w:rFonts w:ascii="Arial Narrow" w:hAnsi="Arial Narrow"/>
                <w:sz w:val="16"/>
                <w:szCs w:val="16"/>
              </w:rPr>
              <w:t>. štátna a miestna samospráva</w:t>
            </w:r>
          </w:p>
        </w:tc>
        <w:tc>
          <w:tcPr>
            <w:tcW w:w="764"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 xml:space="preserve">1 </w:t>
            </w:r>
            <w:r w:rsidR="008C510B">
              <w:rPr>
                <w:rFonts w:ascii="Arial Narrow" w:hAnsi="Arial Narrow"/>
                <w:sz w:val="16"/>
                <w:szCs w:val="16"/>
              </w:rPr>
              <w:t>171</w:t>
            </w:r>
            <w:r>
              <w:rPr>
                <w:rFonts w:ascii="Arial Narrow" w:hAnsi="Arial Narrow"/>
                <w:sz w:val="16"/>
                <w:szCs w:val="16"/>
              </w:rPr>
              <w:t>,</w:t>
            </w:r>
            <w:r w:rsidR="008C510B">
              <w:rPr>
                <w:rFonts w:ascii="Arial Narrow" w:hAnsi="Arial Narrow"/>
                <w:sz w:val="16"/>
                <w:szCs w:val="16"/>
              </w:rPr>
              <w:t>8</w:t>
            </w:r>
          </w:p>
        </w:tc>
        <w:tc>
          <w:tcPr>
            <w:tcW w:w="846" w:type="dxa"/>
            <w:tcBorders>
              <w:top w:val="nil"/>
              <w:left w:val="single" w:sz="4" w:space="0" w:color="FF0000"/>
              <w:bottom w:val="nil"/>
              <w:right w:val="nil"/>
            </w:tcBorders>
            <w:shd w:val="clear" w:color="auto" w:fill="auto"/>
            <w:noWrap/>
            <w:vAlign w:val="bottom"/>
            <w:hideMark/>
          </w:tcPr>
          <w:p w:rsidR="00B508F0" w:rsidRDefault="008C510B" w:rsidP="008C510B">
            <w:pPr>
              <w:jc w:val="right"/>
              <w:rPr>
                <w:rFonts w:ascii="Arial Narrow" w:hAnsi="Arial Narrow"/>
                <w:sz w:val="16"/>
                <w:szCs w:val="16"/>
              </w:rPr>
            </w:pPr>
            <w:r>
              <w:rPr>
                <w:rFonts w:ascii="Arial Narrow" w:hAnsi="Arial Narrow"/>
                <w:sz w:val="16"/>
                <w:szCs w:val="16"/>
              </w:rPr>
              <w:t>1 011</w:t>
            </w:r>
            <w:r w:rsidR="00B508F0">
              <w:rPr>
                <w:rFonts w:ascii="Arial Narrow" w:hAnsi="Arial Narrow"/>
                <w:sz w:val="16"/>
                <w:szCs w:val="16"/>
              </w:rPr>
              <w:t>,</w:t>
            </w:r>
            <w:r>
              <w:rPr>
                <w:rFonts w:ascii="Arial Narrow" w:hAnsi="Arial Narrow"/>
                <w:sz w:val="16"/>
                <w:szCs w:val="16"/>
              </w:rPr>
              <w:t>5</w:t>
            </w:r>
          </w:p>
        </w:tc>
        <w:tc>
          <w:tcPr>
            <w:tcW w:w="705" w:type="dxa"/>
            <w:tcBorders>
              <w:top w:val="nil"/>
              <w:left w:val="single" w:sz="4" w:space="0" w:color="FF0000"/>
              <w:bottom w:val="nil"/>
              <w:right w:val="nil"/>
            </w:tcBorders>
            <w:shd w:val="clear" w:color="auto" w:fill="auto"/>
            <w:noWrap/>
            <w:vAlign w:val="bottom"/>
            <w:hideMark/>
          </w:tcPr>
          <w:p w:rsidR="00B508F0" w:rsidRDefault="008C510B" w:rsidP="008C510B">
            <w:pPr>
              <w:jc w:val="right"/>
              <w:rPr>
                <w:rFonts w:ascii="Arial Narrow" w:hAnsi="Arial Narrow"/>
                <w:sz w:val="16"/>
                <w:szCs w:val="16"/>
              </w:rPr>
            </w:pPr>
            <w:r>
              <w:rPr>
                <w:rFonts w:ascii="Arial Narrow" w:hAnsi="Arial Narrow"/>
                <w:sz w:val="16"/>
                <w:szCs w:val="16"/>
              </w:rPr>
              <w:t>214</w:t>
            </w:r>
            <w:r w:rsidR="00B508F0">
              <w:rPr>
                <w:rFonts w:ascii="Arial Narrow" w:hAnsi="Arial Narrow"/>
                <w:sz w:val="16"/>
                <w:szCs w:val="16"/>
              </w:rPr>
              <w:t>,</w:t>
            </w:r>
            <w:r>
              <w:rPr>
                <w:rFonts w:ascii="Arial Narrow" w:hAnsi="Arial Narrow"/>
                <w:sz w:val="16"/>
                <w:szCs w:val="16"/>
              </w:rPr>
              <w:t>9</w:t>
            </w:r>
          </w:p>
        </w:tc>
        <w:tc>
          <w:tcPr>
            <w:tcW w:w="706"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2</w:t>
            </w:r>
            <w:r w:rsidR="008C510B">
              <w:rPr>
                <w:rFonts w:ascii="Arial Narrow" w:hAnsi="Arial Narrow"/>
                <w:sz w:val="16"/>
                <w:szCs w:val="16"/>
              </w:rPr>
              <w:t>95</w:t>
            </w:r>
            <w:r>
              <w:rPr>
                <w:rFonts w:ascii="Arial Narrow" w:hAnsi="Arial Narrow"/>
                <w:sz w:val="16"/>
                <w:szCs w:val="16"/>
              </w:rPr>
              <w:t>,</w:t>
            </w:r>
            <w:r w:rsidR="008C510B">
              <w:rPr>
                <w:rFonts w:ascii="Arial Narrow" w:hAnsi="Arial Narrow"/>
                <w:sz w:val="16"/>
                <w:szCs w:val="16"/>
              </w:rPr>
              <w:t>8</w:t>
            </w:r>
          </w:p>
        </w:tc>
        <w:tc>
          <w:tcPr>
            <w:tcW w:w="846" w:type="dxa"/>
            <w:tcBorders>
              <w:top w:val="nil"/>
              <w:left w:val="single" w:sz="4" w:space="0" w:color="FF0000"/>
              <w:bottom w:val="nil"/>
              <w:right w:val="nil"/>
            </w:tcBorders>
            <w:shd w:val="clear" w:color="auto" w:fill="auto"/>
            <w:noWrap/>
            <w:vAlign w:val="bottom"/>
            <w:hideMark/>
          </w:tcPr>
          <w:p w:rsidR="00B508F0" w:rsidRDefault="00B508F0">
            <w:pPr>
              <w:jc w:val="right"/>
              <w:rPr>
                <w:rFonts w:ascii="Arial Narrow" w:hAnsi="Arial Narrow"/>
                <w:sz w:val="16"/>
                <w:szCs w:val="16"/>
              </w:rPr>
            </w:pPr>
            <w:r>
              <w:rPr>
                <w:rFonts w:ascii="Arial Narrow" w:hAnsi="Arial Narrow"/>
                <w:sz w:val="16"/>
                <w:szCs w:val="16"/>
              </w:rPr>
              <w:t>6</w:t>
            </w:r>
            <w:r w:rsidR="008C510B">
              <w:rPr>
                <w:rFonts w:ascii="Arial Narrow" w:hAnsi="Arial Narrow"/>
                <w:sz w:val="16"/>
                <w:szCs w:val="16"/>
              </w:rPr>
              <w:t>,5</w:t>
            </w:r>
          </w:p>
        </w:tc>
        <w:tc>
          <w:tcPr>
            <w:tcW w:w="564" w:type="dxa"/>
            <w:tcBorders>
              <w:top w:val="nil"/>
              <w:left w:val="single" w:sz="4" w:space="0" w:color="FF0000"/>
              <w:bottom w:val="nil"/>
              <w:right w:val="nil"/>
            </w:tcBorders>
            <w:shd w:val="clear" w:color="auto" w:fill="auto"/>
            <w:noWrap/>
            <w:vAlign w:val="bottom"/>
            <w:hideMark/>
          </w:tcPr>
          <w:p w:rsidR="00B508F0" w:rsidRDefault="008C510B">
            <w:pPr>
              <w:jc w:val="right"/>
              <w:rPr>
                <w:rFonts w:ascii="Arial Narrow" w:hAnsi="Arial Narrow"/>
                <w:sz w:val="16"/>
                <w:szCs w:val="16"/>
              </w:rPr>
            </w:pPr>
            <w:r>
              <w:rPr>
                <w:rFonts w:ascii="Arial Narrow" w:hAnsi="Arial Narrow"/>
                <w:sz w:val="16"/>
                <w:szCs w:val="16"/>
              </w:rPr>
              <w:t>1,2</w:t>
            </w:r>
          </w:p>
        </w:tc>
        <w:tc>
          <w:tcPr>
            <w:tcW w:w="761" w:type="dxa"/>
            <w:tcBorders>
              <w:top w:val="nil"/>
              <w:left w:val="single" w:sz="4" w:space="0" w:color="FF0000"/>
              <w:bottom w:val="nil"/>
              <w:right w:val="nil"/>
            </w:tcBorders>
            <w:shd w:val="clear" w:color="auto" w:fill="auto"/>
            <w:noWrap/>
            <w:vAlign w:val="bottom"/>
            <w:hideMark/>
          </w:tcPr>
          <w:p w:rsidR="00B508F0" w:rsidRDefault="008C510B" w:rsidP="008C510B">
            <w:pPr>
              <w:jc w:val="right"/>
              <w:rPr>
                <w:rFonts w:ascii="Arial Narrow" w:hAnsi="Arial Narrow"/>
                <w:sz w:val="16"/>
                <w:szCs w:val="16"/>
              </w:rPr>
            </w:pPr>
            <w:r>
              <w:rPr>
                <w:rFonts w:ascii="Arial Narrow" w:hAnsi="Arial Narrow"/>
                <w:sz w:val="16"/>
                <w:szCs w:val="16"/>
              </w:rPr>
              <w:t>117</w:t>
            </w:r>
            <w:r w:rsidR="00B508F0">
              <w:rPr>
                <w:rFonts w:ascii="Arial Narrow" w:hAnsi="Arial Narrow"/>
                <w:sz w:val="16"/>
                <w:szCs w:val="16"/>
              </w:rPr>
              <w:t>,</w:t>
            </w:r>
            <w:r>
              <w:rPr>
                <w:rFonts w:ascii="Arial Narrow" w:hAnsi="Arial Narrow"/>
                <w:sz w:val="16"/>
                <w:szCs w:val="16"/>
              </w:rPr>
              <w:t>2</w:t>
            </w:r>
          </w:p>
        </w:tc>
      </w:tr>
      <w:tr w:rsidR="00170F50" w:rsidTr="00AA4EBE">
        <w:trPr>
          <w:trHeight w:val="291"/>
        </w:trPr>
        <w:tc>
          <w:tcPr>
            <w:tcW w:w="642" w:type="dxa"/>
            <w:tcBorders>
              <w:top w:val="nil"/>
              <w:left w:val="nil"/>
              <w:bottom w:val="nil"/>
              <w:right w:val="nil"/>
            </w:tcBorders>
            <w:shd w:val="clear" w:color="auto" w:fill="auto"/>
            <w:noWrap/>
            <w:vAlign w:val="bottom"/>
            <w:hideMark/>
          </w:tcPr>
          <w:p w:rsidR="00B508F0" w:rsidRDefault="00B508F0">
            <w:pPr>
              <w:jc w:val="right"/>
              <w:rPr>
                <w:rFonts w:ascii="Arial Narrow" w:hAnsi="Arial Narrow"/>
                <w:sz w:val="16"/>
                <w:szCs w:val="16"/>
              </w:rPr>
            </w:pPr>
          </w:p>
        </w:tc>
        <w:tc>
          <w:tcPr>
            <w:tcW w:w="177" w:type="dxa"/>
            <w:tcBorders>
              <w:top w:val="nil"/>
              <w:left w:val="nil"/>
              <w:bottom w:val="nil"/>
              <w:right w:val="nil"/>
            </w:tcBorders>
            <w:shd w:val="clear" w:color="auto" w:fill="auto"/>
            <w:noWrap/>
            <w:vAlign w:val="bottom"/>
            <w:hideMark/>
          </w:tcPr>
          <w:p w:rsidR="00B508F0" w:rsidRDefault="00B508F0">
            <w:pPr>
              <w:rPr>
                <w:sz w:val="20"/>
                <w:szCs w:val="20"/>
              </w:rPr>
            </w:pPr>
          </w:p>
        </w:tc>
        <w:tc>
          <w:tcPr>
            <w:tcW w:w="745" w:type="dxa"/>
            <w:tcBorders>
              <w:top w:val="nil"/>
              <w:left w:val="nil"/>
              <w:bottom w:val="nil"/>
              <w:right w:val="nil"/>
            </w:tcBorders>
            <w:shd w:val="clear" w:color="auto" w:fill="auto"/>
            <w:noWrap/>
            <w:vAlign w:val="center"/>
            <w:hideMark/>
          </w:tcPr>
          <w:p w:rsidR="00B508F0" w:rsidRDefault="00B508F0">
            <w:pPr>
              <w:rPr>
                <w:sz w:val="20"/>
                <w:szCs w:val="20"/>
              </w:rPr>
            </w:pPr>
          </w:p>
        </w:tc>
        <w:tc>
          <w:tcPr>
            <w:tcW w:w="2427" w:type="dxa"/>
            <w:gridSpan w:val="3"/>
            <w:tcBorders>
              <w:top w:val="nil"/>
              <w:left w:val="nil"/>
              <w:bottom w:val="nil"/>
              <w:right w:val="nil"/>
            </w:tcBorders>
            <w:shd w:val="clear" w:color="auto" w:fill="auto"/>
            <w:noWrap/>
            <w:vAlign w:val="center"/>
            <w:hideMark/>
          </w:tcPr>
          <w:p w:rsidR="00B508F0" w:rsidRDefault="00B508F0">
            <w:pPr>
              <w:rPr>
                <w:rFonts w:ascii="Arial Narrow" w:hAnsi="Arial Narrow"/>
                <w:sz w:val="16"/>
                <w:szCs w:val="16"/>
              </w:rPr>
            </w:pPr>
            <w:r>
              <w:rPr>
                <w:rFonts w:ascii="Arial Narrow" w:hAnsi="Arial Narrow"/>
                <w:sz w:val="16"/>
                <w:szCs w:val="16"/>
              </w:rPr>
              <w:t>Fondy sociálneho zabezpečenia</w:t>
            </w:r>
          </w:p>
        </w:tc>
        <w:tc>
          <w:tcPr>
            <w:tcW w:w="764"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2</w:t>
            </w:r>
            <w:r w:rsidR="008C510B">
              <w:rPr>
                <w:rFonts w:ascii="Arial Narrow" w:hAnsi="Arial Narrow"/>
                <w:sz w:val="16"/>
                <w:szCs w:val="16"/>
              </w:rPr>
              <w:t>30</w:t>
            </w:r>
            <w:r>
              <w:rPr>
                <w:rFonts w:ascii="Arial Narrow" w:hAnsi="Arial Narrow"/>
                <w:sz w:val="16"/>
                <w:szCs w:val="16"/>
              </w:rPr>
              <w:t>,</w:t>
            </w:r>
            <w:r w:rsidR="008C510B">
              <w:rPr>
                <w:rFonts w:ascii="Arial Narrow" w:hAnsi="Arial Narrow"/>
                <w:sz w:val="16"/>
                <w:szCs w:val="16"/>
              </w:rPr>
              <w:t>1</w:t>
            </w:r>
          </w:p>
        </w:tc>
        <w:tc>
          <w:tcPr>
            <w:tcW w:w="846"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19</w:t>
            </w:r>
            <w:r w:rsidR="008C510B">
              <w:rPr>
                <w:rFonts w:ascii="Arial Narrow" w:hAnsi="Arial Narrow"/>
                <w:sz w:val="16"/>
                <w:szCs w:val="16"/>
              </w:rPr>
              <w:t>8</w:t>
            </w:r>
            <w:r>
              <w:rPr>
                <w:rFonts w:ascii="Arial Narrow" w:hAnsi="Arial Narrow"/>
                <w:sz w:val="16"/>
                <w:szCs w:val="16"/>
              </w:rPr>
              <w:t>,</w:t>
            </w:r>
            <w:r w:rsidR="008C510B">
              <w:rPr>
                <w:rFonts w:ascii="Arial Narrow" w:hAnsi="Arial Narrow"/>
                <w:sz w:val="16"/>
                <w:szCs w:val="16"/>
              </w:rPr>
              <w:t>6</w:t>
            </w:r>
          </w:p>
        </w:tc>
        <w:tc>
          <w:tcPr>
            <w:tcW w:w="705"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4</w:t>
            </w:r>
            <w:r w:rsidR="008C510B">
              <w:rPr>
                <w:rFonts w:ascii="Arial Narrow" w:hAnsi="Arial Narrow"/>
                <w:sz w:val="16"/>
                <w:szCs w:val="16"/>
              </w:rPr>
              <w:t>2</w:t>
            </w:r>
            <w:r>
              <w:rPr>
                <w:rFonts w:ascii="Arial Narrow" w:hAnsi="Arial Narrow"/>
                <w:sz w:val="16"/>
                <w:szCs w:val="16"/>
              </w:rPr>
              <w:t>,</w:t>
            </w:r>
            <w:r w:rsidR="008C510B">
              <w:rPr>
                <w:rFonts w:ascii="Arial Narrow" w:hAnsi="Arial Narrow"/>
                <w:sz w:val="16"/>
                <w:szCs w:val="16"/>
              </w:rPr>
              <w:t>2</w:t>
            </w:r>
          </w:p>
        </w:tc>
        <w:tc>
          <w:tcPr>
            <w:tcW w:w="706"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5</w:t>
            </w:r>
            <w:r w:rsidR="008C510B">
              <w:rPr>
                <w:rFonts w:ascii="Arial Narrow" w:hAnsi="Arial Narrow"/>
                <w:sz w:val="16"/>
                <w:szCs w:val="16"/>
              </w:rPr>
              <w:t>8</w:t>
            </w:r>
            <w:r>
              <w:rPr>
                <w:rFonts w:ascii="Arial Narrow" w:hAnsi="Arial Narrow"/>
                <w:sz w:val="16"/>
                <w:szCs w:val="16"/>
              </w:rPr>
              <w:t>,</w:t>
            </w:r>
            <w:r w:rsidR="008C510B">
              <w:rPr>
                <w:rFonts w:ascii="Arial Narrow" w:hAnsi="Arial Narrow"/>
                <w:sz w:val="16"/>
                <w:szCs w:val="16"/>
              </w:rPr>
              <w:t>1</w:t>
            </w:r>
          </w:p>
        </w:tc>
        <w:tc>
          <w:tcPr>
            <w:tcW w:w="846"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1,</w:t>
            </w:r>
            <w:r w:rsidR="008C510B">
              <w:rPr>
                <w:rFonts w:ascii="Arial Narrow" w:hAnsi="Arial Narrow"/>
                <w:sz w:val="16"/>
                <w:szCs w:val="16"/>
              </w:rPr>
              <w:t>3</w:t>
            </w:r>
          </w:p>
        </w:tc>
        <w:tc>
          <w:tcPr>
            <w:tcW w:w="564" w:type="dxa"/>
            <w:tcBorders>
              <w:top w:val="nil"/>
              <w:left w:val="single" w:sz="4" w:space="0" w:color="FF0000"/>
              <w:bottom w:val="nil"/>
              <w:right w:val="nil"/>
            </w:tcBorders>
            <w:shd w:val="clear" w:color="auto" w:fill="auto"/>
            <w:noWrap/>
            <w:vAlign w:val="bottom"/>
            <w:hideMark/>
          </w:tcPr>
          <w:p w:rsidR="00B508F0" w:rsidRDefault="00B508F0">
            <w:pPr>
              <w:jc w:val="right"/>
              <w:rPr>
                <w:rFonts w:ascii="Arial Narrow" w:hAnsi="Arial Narrow"/>
                <w:sz w:val="16"/>
                <w:szCs w:val="16"/>
              </w:rPr>
            </w:pPr>
            <w:r>
              <w:rPr>
                <w:rFonts w:ascii="Arial Narrow" w:hAnsi="Arial Narrow"/>
                <w:sz w:val="16"/>
                <w:szCs w:val="16"/>
              </w:rPr>
              <w:t>0,2</w:t>
            </w:r>
          </w:p>
        </w:tc>
        <w:tc>
          <w:tcPr>
            <w:tcW w:w="761" w:type="dxa"/>
            <w:tcBorders>
              <w:top w:val="nil"/>
              <w:left w:val="single" w:sz="4" w:space="0" w:color="FF0000"/>
              <w:bottom w:val="nil"/>
              <w:right w:val="nil"/>
            </w:tcBorders>
            <w:shd w:val="clear" w:color="auto" w:fill="auto"/>
            <w:noWrap/>
            <w:vAlign w:val="bottom"/>
            <w:hideMark/>
          </w:tcPr>
          <w:p w:rsidR="00B508F0" w:rsidRDefault="00B508F0" w:rsidP="008C510B">
            <w:pPr>
              <w:jc w:val="right"/>
              <w:rPr>
                <w:rFonts w:ascii="Arial Narrow" w:hAnsi="Arial Narrow"/>
                <w:sz w:val="16"/>
                <w:szCs w:val="16"/>
              </w:rPr>
            </w:pPr>
            <w:r>
              <w:rPr>
                <w:rFonts w:ascii="Arial Narrow" w:hAnsi="Arial Narrow"/>
                <w:sz w:val="16"/>
                <w:szCs w:val="16"/>
              </w:rPr>
              <w:t>103,</w:t>
            </w:r>
            <w:r w:rsidR="008C510B">
              <w:rPr>
                <w:rFonts w:ascii="Arial Narrow" w:hAnsi="Arial Narrow"/>
                <w:sz w:val="16"/>
                <w:szCs w:val="16"/>
              </w:rPr>
              <w:t>4</w:t>
            </w:r>
          </w:p>
        </w:tc>
      </w:tr>
      <w:tr w:rsidR="00170F50" w:rsidRPr="00AA4EBE" w:rsidTr="00AA4EBE">
        <w:trPr>
          <w:trHeight w:val="282"/>
        </w:trPr>
        <w:tc>
          <w:tcPr>
            <w:tcW w:w="642" w:type="dxa"/>
            <w:tcBorders>
              <w:top w:val="nil"/>
              <w:left w:val="nil"/>
              <w:bottom w:val="nil"/>
              <w:right w:val="nil"/>
            </w:tcBorders>
            <w:shd w:val="clear" w:color="000000" w:fill="E2EFDA"/>
            <w:noWrap/>
            <w:vAlign w:val="bottom"/>
            <w:hideMark/>
          </w:tcPr>
          <w:p w:rsidR="00B508F0" w:rsidRPr="00AA4EBE" w:rsidRDefault="00B508F0">
            <w:pPr>
              <w:rPr>
                <w:rFonts w:ascii="Arial Narrow" w:hAnsi="Arial Narrow"/>
                <w:b/>
                <w:color w:val="FFFFFF"/>
                <w:sz w:val="16"/>
                <w:szCs w:val="16"/>
              </w:rPr>
            </w:pPr>
            <w:r w:rsidRPr="00AA4EBE">
              <w:rPr>
                <w:rFonts w:ascii="Arial Narrow" w:hAnsi="Arial Narrow"/>
                <w:b/>
                <w:color w:val="FFFFFF"/>
                <w:sz w:val="16"/>
                <w:szCs w:val="16"/>
              </w:rPr>
              <w:t> </w:t>
            </w:r>
          </w:p>
        </w:tc>
        <w:tc>
          <w:tcPr>
            <w:tcW w:w="177" w:type="dxa"/>
            <w:tcBorders>
              <w:top w:val="nil"/>
              <w:left w:val="nil"/>
              <w:bottom w:val="nil"/>
              <w:right w:val="nil"/>
            </w:tcBorders>
            <w:shd w:val="clear" w:color="000000" w:fill="E2EFDA"/>
            <w:noWrap/>
            <w:vAlign w:val="bottom"/>
            <w:hideMark/>
          </w:tcPr>
          <w:p w:rsidR="00B508F0" w:rsidRPr="00AA4EBE" w:rsidRDefault="00B508F0">
            <w:pPr>
              <w:rPr>
                <w:rFonts w:ascii="Arial Narrow" w:hAnsi="Arial Narrow"/>
                <w:b/>
                <w:sz w:val="16"/>
                <w:szCs w:val="16"/>
              </w:rPr>
            </w:pPr>
            <w:r w:rsidRPr="00AA4EBE">
              <w:rPr>
                <w:rFonts w:ascii="Arial Narrow" w:hAnsi="Arial Narrow"/>
                <w:b/>
                <w:sz w:val="16"/>
                <w:szCs w:val="16"/>
              </w:rPr>
              <w:t> </w:t>
            </w:r>
          </w:p>
        </w:tc>
        <w:tc>
          <w:tcPr>
            <w:tcW w:w="1270" w:type="dxa"/>
            <w:gridSpan w:val="2"/>
            <w:tcBorders>
              <w:top w:val="nil"/>
              <w:left w:val="nil"/>
              <w:bottom w:val="nil"/>
              <w:right w:val="nil"/>
            </w:tcBorders>
            <w:shd w:val="clear" w:color="000000" w:fill="E2EFDA"/>
            <w:noWrap/>
            <w:vAlign w:val="center"/>
            <w:hideMark/>
          </w:tcPr>
          <w:p w:rsidR="00B508F0" w:rsidRPr="00AA4EBE" w:rsidRDefault="00B508F0">
            <w:pPr>
              <w:rPr>
                <w:rFonts w:ascii="Arial Narrow" w:hAnsi="Arial Narrow"/>
                <w:b/>
                <w:sz w:val="16"/>
                <w:szCs w:val="16"/>
              </w:rPr>
            </w:pPr>
            <w:r w:rsidRPr="00AA4EBE">
              <w:rPr>
                <w:rFonts w:ascii="Arial Narrow" w:hAnsi="Arial Narrow"/>
                <w:b/>
                <w:sz w:val="16"/>
                <w:szCs w:val="16"/>
              </w:rPr>
              <w:t>Domácnosti</w:t>
            </w:r>
          </w:p>
        </w:tc>
        <w:tc>
          <w:tcPr>
            <w:tcW w:w="1127" w:type="dxa"/>
            <w:tcBorders>
              <w:top w:val="nil"/>
              <w:left w:val="nil"/>
              <w:bottom w:val="nil"/>
              <w:right w:val="nil"/>
            </w:tcBorders>
            <w:shd w:val="clear" w:color="000000" w:fill="E2EFDA"/>
            <w:noWrap/>
            <w:vAlign w:val="center"/>
            <w:hideMark/>
          </w:tcPr>
          <w:p w:rsidR="00B508F0" w:rsidRPr="00AA4EBE" w:rsidRDefault="00B508F0">
            <w:pPr>
              <w:rPr>
                <w:rFonts w:ascii="Arial Narrow" w:hAnsi="Arial Narrow"/>
                <w:b/>
                <w:sz w:val="16"/>
                <w:szCs w:val="16"/>
              </w:rPr>
            </w:pPr>
            <w:r w:rsidRPr="00AA4EBE">
              <w:rPr>
                <w:rFonts w:ascii="Arial Narrow" w:hAnsi="Arial Narrow"/>
                <w:b/>
                <w:sz w:val="16"/>
                <w:szCs w:val="16"/>
              </w:rPr>
              <w:t> </w:t>
            </w:r>
          </w:p>
        </w:tc>
        <w:tc>
          <w:tcPr>
            <w:tcW w:w="775" w:type="dxa"/>
            <w:tcBorders>
              <w:top w:val="nil"/>
              <w:left w:val="nil"/>
              <w:bottom w:val="nil"/>
              <w:right w:val="nil"/>
            </w:tcBorders>
            <w:shd w:val="clear" w:color="000000" w:fill="E2EFDA"/>
            <w:noWrap/>
            <w:vAlign w:val="center"/>
            <w:hideMark/>
          </w:tcPr>
          <w:p w:rsidR="00B508F0" w:rsidRPr="00AA4EBE" w:rsidRDefault="00B508F0">
            <w:pPr>
              <w:rPr>
                <w:rFonts w:ascii="Arial Narrow" w:hAnsi="Arial Narrow"/>
                <w:b/>
                <w:sz w:val="16"/>
                <w:szCs w:val="16"/>
              </w:rPr>
            </w:pPr>
            <w:r w:rsidRPr="00AA4EBE">
              <w:rPr>
                <w:rFonts w:ascii="Arial Narrow" w:hAnsi="Arial Narrow"/>
                <w:b/>
                <w:sz w:val="16"/>
                <w:szCs w:val="16"/>
              </w:rPr>
              <w:t> </w:t>
            </w:r>
          </w:p>
        </w:tc>
        <w:tc>
          <w:tcPr>
            <w:tcW w:w="764" w:type="dxa"/>
            <w:tcBorders>
              <w:top w:val="nil"/>
              <w:left w:val="single" w:sz="4" w:space="0" w:color="FF0000"/>
              <w:bottom w:val="nil"/>
              <w:right w:val="nil"/>
            </w:tcBorders>
            <w:shd w:val="clear" w:color="000000" w:fill="E2EFDA"/>
            <w:noWrap/>
            <w:vAlign w:val="bottom"/>
            <w:hideMark/>
          </w:tcPr>
          <w:p w:rsidR="00B508F0" w:rsidRPr="00AA4EBE" w:rsidRDefault="00B508F0" w:rsidP="008C510B">
            <w:pPr>
              <w:jc w:val="right"/>
              <w:rPr>
                <w:rFonts w:ascii="Arial Narrow" w:hAnsi="Arial Narrow"/>
                <w:b/>
                <w:sz w:val="16"/>
                <w:szCs w:val="16"/>
              </w:rPr>
            </w:pPr>
            <w:r w:rsidRPr="00AA4EBE">
              <w:rPr>
                <w:rFonts w:ascii="Arial Narrow" w:hAnsi="Arial Narrow"/>
                <w:b/>
                <w:sz w:val="16"/>
                <w:szCs w:val="16"/>
              </w:rPr>
              <w:t xml:space="preserve">4 </w:t>
            </w:r>
            <w:r w:rsidR="008C510B" w:rsidRPr="00AA4EBE">
              <w:rPr>
                <w:rFonts w:ascii="Arial Narrow" w:hAnsi="Arial Narrow"/>
                <w:b/>
                <w:sz w:val="16"/>
                <w:szCs w:val="16"/>
              </w:rPr>
              <w:t>525</w:t>
            </w:r>
            <w:r w:rsidRPr="00AA4EBE">
              <w:rPr>
                <w:rFonts w:ascii="Arial Narrow" w:hAnsi="Arial Narrow"/>
                <w:b/>
                <w:sz w:val="16"/>
                <w:szCs w:val="16"/>
              </w:rPr>
              <w:t>,</w:t>
            </w:r>
            <w:r w:rsidR="008C510B" w:rsidRPr="00AA4EBE">
              <w:rPr>
                <w:rFonts w:ascii="Arial Narrow" w:hAnsi="Arial Narrow"/>
                <w:b/>
                <w:sz w:val="16"/>
                <w:szCs w:val="16"/>
              </w:rPr>
              <w:t>2</w:t>
            </w:r>
          </w:p>
        </w:tc>
        <w:tc>
          <w:tcPr>
            <w:tcW w:w="846" w:type="dxa"/>
            <w:tcBorders>
              <w:top w:val="nil"/>
              <w:left w:val="single" w:sz="4" w:space="0" w:color="FF0000"/>
              <w:bottom w:val="nil"/>
              <w:right w:val="nil"/>
            </w:tcBorders>
            <w:shd w:val="clear" w:color="000000" w:fill="E2EFDA"/>
            <w:noWrap/>
            <w:vAlign w:val="bottom"/>
            <w:hideMark/>
          </w:tcPr>
          <w:p w:rsidR="00B508F0" w:rsidRPr="00AA4EBE" w:rsidRDefault="00B508F0" w:rsidP="008C510B">
            <w:pPr>
              <w:jc w:val="right"/>
              <w:rPr>
                <w:rFonts w:ascii="Arial Narrow" w:hAnsi="Arial Narrow"/>
                <w:b/>
                <w:sz w:val="16"/>
                <w:szCs w:val="16"/>
              </w:rPr>
            </w:pPr>
            <w:r w:rsidRPr="00AA4EBE">
              <w:rPr>
                <w:rFonts w:ascii="Arial Narrow" w:hAnsi="Arial Narrow"/>
                <w:b/>
                <w:sz w:val="16"/>
                <w:szCs w:val="16"/>
              </w:rPr>
              <w:t xml:space="preserve">3 </w:t>
            </w:r>
            <w:r w:rsidR="008C510B" w:rsidRPr="00AA4EBE">
              <w:rPr>
                <w:rFonts w:ascii="Arial Narrow" w:hAnsi="Arial Narrow"/>
                <w:b/>
                <w:sz w:val="16"/>
                <w:szCs w:val="16"/>
              </w:rPr>
              <w:t>906</w:t>
            </w:r>
            <w:r w:rsidRPr="00AA4EBE">
              <w:rPr>
                <w:rFonts w:ascii="Arial Narrow" w:hAnsi="Arial Narrow"/>
                <w:b/>
                <w:sz w:val="16"/>
                <w:szCs w:val="16"/>
              </w:rPr>
              <w:t>,</w:t>
            </w:r>
            <w:r w:rsidR="008C510B" w:rsidRPr="00AA4EBE">
              <w:rPr>
                <w:rFonts w:ascii="Arial Narrow" w:hAnsi="Arial Narrow"/>
                <w:b/>
                <w:sz w:val="16"/>
                <w:szCs w:val="16"/>
              </w:rPr>
              <w:t>1</w:t>
            </w:r>
          </w:p>
        </w:tc>
        <w:tc>
          <w:tcPr>
            <w:tcW w:w="705" w:type="dxa"/>
            <w:tcBorders>
              <w:top w:val="nil"/>
              <w:left w:val="single" w:sz="4" w:space="0" w:color="FF0000"/>
              <w:bottom w:val="nil"/>
              <w:right w:val="nil"/>
            </w:tcBorders>
            <w:shd w:val="clear" w:color="000000" w:fill="E2EFDA"/>
            <w:noWrap/>
            <w:vAlign w:val="bottom"/>
            <w:hideMark/>
          </w:tcPr>
          <w:p w:rsidR="00B508F0" w:rsidRPr="00AA4EBE" w:rsidRDefault="008C510B" w:rsidP="008C510B">
            <w:pPr>
              <w:jc w:val="right"/>
              <w:rPr>
                <w:rFonts w:ascii="Arial Narrow" w:hAnsi="Arial Narrow"/>
                <w:b/>
                <w:sz w:val="16"/>
                <w:szCs w:val="16"/>
              </w:rPr>
            </w:pPr>
            <w:r w:rsidRPr="00AA4EBE">
              <w:rPr>
                <w:rFonts w:ascii="Arial Narrow" w:hAnsi="Arial Narrow"/>
                <w:b/>
                <w:sz w:val="16"/>
                <w:szCs w:val="16"/>
              </w:rPr>
              <w:t>8</w:t>
            </w:r>
            <w:r w:rsidR="00B508F0" w:rsidRPr="00AA4EBE">
              <w:rPr>
                <w:rFonts w:ascii="Arial Narrow" w:hAnsi="Arial Narrow"/>
                <w:b/>
                <w:sz w:val="16"/>
                <w:szCs w:val="16"/>
              </w:rPr>
              <w:t>2</w:t>
            </w:r>
            <w:r w:rsidRPr="00AA4EBE">
              <w:rPr>
                <w:rFonts w:ascii="Arial Narrow" w:hAnsi="Arial Narrow"/>
                <w:b/>
                <w:sz w:val="16"/>
                <w:szCs w:val="16"/>
              </w:rPr>
              <w:t>9</w:t>
            </w:r>
            <w:r w:rsidR="00B508F0" w:rsidRPr="00AA4EBE">
              <w:rPr>
                <w:rFonts w:ascii="Arial Narrow" w:hAnsi="Arial Narrow"/>
                <w:b/>
                <w:sz w:val="16"/>
                <w:szCs w:val="16"/>
              </w:rPr>
              <w:t>,</w:t>
            </w:r>
            <w:r w:rsidRPr="00AA4EBE">
              <w:rPr>
                <w:rFonts w:ascii="Arial Narrow" w:hAnsi="Arial Narrow"/>
                <w:b/>
                <w:sz w:val="16"/>
                <w:szCs w:val="16"/>
              </w:rPr>
              <w:t>7</w:t>
            </w:r>
          </w:p>
        </w:tc>
        <w:tc>
          <w:tcPr>
            <w:tcW w:w="706" w:type="dxa"/>
            <w:tcBorders>
              <w:top w:val="nil"/>
              <w:left w:val="single" w:sz="4" w:space="0" w:color="FF0000"/>
              <w:bottom w:val="nil"/>
              <w:right w:val="nil"/>
            </w:tcBorders>
            <w:shd w:val="clear" w:color="000000" w:fill="E2EFDA"/>
            <w:noWrap/>
            <w:vAlign w:val="bottom"/>
            <w:hideMark/>
          </w:tcPr>
          <w:p w:rsidR="00B508F0" w:rsidRPr="00AA4EBE" w:rsidRDefault="00B508F0" w:rsidP="008C510B">
            <w:pPr>
              <w:jc w:val="right"/>
              <w:rPr>
                <w:rFonts w:ascii="Arial Narrow" w:hAnsi="Arial Narrow"/>
                <w:b/>
                <w:sz w:val="16"/>
                <w:szCs w:val="16"/>
              </w:rPr>
            </w:pPr>
            <w:r w:rsidRPr="00AA4EBE">
              <w:rPr>
                <w:rFonts w:ascii="Arial Narrow" w:hAnsi="Arial Narrow"/>
                <w:b/>
                <w:sz w:val="16"/>
                <w:szCs w:val="16"/>
              </w:rPr>
              <w:t xml:space="preserve">1 </w:t>
            </w:r>
            <w:r w:rsidR="008C510B" w:rsidRPr="00AA4EBE">
              <w:rPr>
                <w:rFonts w:ascii="Arial Narrow" w:hAnsi="Arial Narrow"/>
                <w:b/>
                <w:sz w:val="16"/>
                <w:szCs w:val="16"/>
              </w:rPr>
              <w:t>142</w:t>
            </w:r>
            <w:r w:rsidRPr="00AA4EBE">
              <w:rPr>
                <w:rFonts w:ascii="Arial Narrow" w:hAnsi="Arial Narrow"/>
                <w:b/>
                <w:sz w:val="16"/>
                <w:szCs w:val="16"/>
              </w:rPr>
              <w:t>,</w:t>
            </w:r>
            <w:r w:rsidR="008C510B" w:rsidRPr="00AA4EBE">
              <w:rPr>
                <w:rFonts w:ascii="Arial Narrow" w:hAnsi="Arial Narrow"/>
                <w:b/>
                <w:sz w:val="16"/>
                <w:szCs w:val="16"/>
              </w:rPr>
              <w:t>4</w:t>
            </w:r>
          </w:p>
        </w:tc>
        <w:tc>
          <w:tcPr>
            <w:tcW w:w="846" w:type="dxa"/>
            <w:tcBorders>
              <w:top w:val="nil"/>
              <w:left w:val="single" w:sz="4" w:space="0" w:color="FF0000"/>
              <w:bottom w:val="nil"/>
              <w:right w:val="nil"/>
            </w:tcBorders>
            <w:shd w:val="clear" w:color="000000" w:fill="E2EFDA"/>
            <w:noWrap/>
            <w:vAlign w:val="bottom"/>
            <w:hideMark/>
          </w:tcPr>
          <w:p w:rsidR="00B508F0" w:rsidRPr="00AA4EBE" w:rsidRDefault="00B508F0" w:rsidP="008C510B">
            <w:pPr>
              <w:jc w:val="right"/>
              <w:rPr>
                <w:rFonts w:ascii="Arial Narrow" w:hAnsi="Arial Narrow"/>
                <w:b/>
                <w:sz w:val="16"/>
                <w:szCs w:val="16"/>
              </w:rPr>
            </w:pPr>
            <w:r w:rsidRPr="00AA4EBE">
              <w:rPr>
                <w:rFonts w:ascii="Arial Narrow" w:hAnsi="Arial Narrow"/>
                <w:b/>
                <w:sz w:val="16"/>
                <w:szCs w:val="16"/>
              </w:rPr>
              <w:t>2</w:t>
            </w:r>
            <w:r w:rsidR="008C510B" w:rsidRPr="00AA4EBE">
              <w:rPr>
                <w:rFonts w:ascii="Arial Narrow" w:hAnsi="Arial Narrow"/>
                <w:b/>
                <w:sz w:val="16"/>
                <w:szCs w:val="16"/>
              </w:rPr>
              <w:t>5</w:t>
            </w:r>
            <w:r w:rsidRPr="00AA4EBE">
              <w:rPr>
                <w:rFonts w:ascii="Arial Narrow" w:hAnsi="Arial Narrow"/>
                <w:b/>
                <w:sz w:val="16"/>
                <w:szCs w:val="16"/>
              </w:rPr>
              <w:t>,</w:t>
            </w:r>
            <w:r w:rsidR="008C510B" w:rsidRPr="00AA4EBE">
              <w:rPr>
                <w:rFonts w:ascii="Arial Narrow" w:hAnsi="Arial Narrow"/>
                <w:b/>
                <w:sz w:val="16"/>
                <w:szCs w:val="16"/>
              </w:rPr>
              <w:t>1</w:t>
            </w:r>
          </w:p>
        </w:tc>
        <w:tc>
          <w:tcPr>
            <w:tcW w:w="564" w:type="dxa"/>
            <w:tcBorders>
              <w:top w:val="nil"/>
              <w:left w:val="single" w:sz="4" w:space="0" w:color="FF0000"/>
              <w:bottom w:val="nil"/>
              <w:right w:val="nil"/>
            </w:tcBorders>
            <w:shd w:val="clear" w:color="000000" w:fill="E2EFDA"/>
            <w:noWrap/>
            <w:vAlign w:val="bottom"/>
            <w:hideMark/>
          </w:tcPr>
          <w:p w:rsidR="00B508F0" w:rsidRPr="00AA4EBE" w:rsidRDefault="00B508F0" w:rsidP="008C510B">
            <w:pPr>
              <w:jc w:val="right"/>
              <w:rPr>
                <w:rFonts w:ascii="Arial Narrow" w:hAnsi="Arial Narrow"/>
                <w:b/>
                <w:sz w:val="16"/>
                <w:szCs w:val="16"/>
              </w:rPr>
            </w:pPr>
            <w:r w:rsidRPr="00AA4EBE">
              <w:rPr>
                <w:rFonts w:ascii="Arial Narrow" w:hAnsi="Arial Narrow"/>
                <w:b/>
                <w:sz w:val="16"/>
                <w:szCs w:val="16"/>
              </w:rPr>
              <w:t>4,</w:t>
            </w:r>
            <w:r w:rsidR="008C510B" w:rsidRPr="00AA4EBE">
              <w:rPr>
                <w:rFonts w:ascii="Arial Narrow" w:hAnsi="Arial Narrow"/>
                <w:b/>
                <w:sz w:val="16"/>
                <w:szCs w:val="16"/>
              </w:rPr>
              <w:t>8</w:t>
            </w:r>
          </w:p>
        </w:tc>
        <w:tc>
          <w:tcPr>
            <w:tcW w:w="761" w:type="dxa"/>
            <w:tcBorders>
              <w:top w:val="nil"/>
              <w:left w:val="single" w:sz="4" w:space="0" w:color="FF0000"/>
              <w:bottom w:val="nil"/>
              <w:right w:val="nil"/>
            </w:tcBorders>
            <w:shd w:val="clear" w:color="000000" w:fill="E2EFDA"/>
            <w:noWrap/>
            <w:vAlign w:val="bottom"/>
            <w:hideMark/>
          </w:tcPr>
          <w:p w:rsidR="00B508F0" w:rsidRPr="00AA4EBE" w:rsidRDefault="00B508F0" w:rsidP="008C510B">
            <w:pPr>
              <w:jc w:val="right"/>
              <w:rPr>
                <w:rFonts w:ascii="Arial Narrow" w:hAnsi="Arial Narrow"/>
                <w:b/>
                <w:sz w:val="16"/>
                <w:szCs w:val="16"/>
              </w:rPr>
            </w:pPr>
            <w:r w:rsidRPr="00AA4EBE">
              <w:rPr>
                <w:rFonts w:ascii="Arial Narrow" w:hAnsi="Arial Narrow"/>
                <w:b/>
                <w:sz w:val="16"/>
                <w:szCs w:val="16"/>
              </w:rPr>
              <w:t>1</w:t>
            </w:r>
            <w:r w:rsidR="008C510B" w:rsidRPr="00AA4EBE">
              <w:rPr>
                <w:rFonts w:ascii="Arial Narrow" w:hAnsi="Arial Narrow"/>
                <w:b/>
                <w:sz w:val="16"/>
                <w:szCs w:val="16"/>
              </w:rPr>
              <w:t>1</w:t>
            </w:r>
            <w:r w:rsidRPr="00AA4EBE">
              <w:rPr>
                <w:rFonts w:ascii="Arial Narrow" w:hAnsi="Arial Narrow"/>
                <w:b/>
                <w:sz w:val="16"/>
                <w:szCs w:val="16"/>
              </w:rPr>
              <w:t>2,</w:t>
            </w:r>
            <w:r w:rsidR="008C510B" w:rsidRPr="00AA4EBE">
              <w:rPr>
                <w:rFonts w:ascii="Arial Narrow" w:hAnsi="Arial Narrow"/>
                <w:b/>
                <w:sz w:val="16"/>
                <w:szCs w:val="16"/>
              </w:rPr>
              <w:t>0</w:t>
            </w:r>
          </w:p>
        </w:tc>
      </w:tr>
      <w:tr w:rsidR="00170F50" w:rsidRPr="00AA4EBE" w:rsidTr="00AA4EBE">
        <w:trPr>
          <w:trHeight w:val="282"/>
        </w:trPr>
        <w:tc>
          <w:tcPr>
            <w:tcW w:w="642" w:type="dxa"/>
            <w:tcBorders>
              <w:top w:val="nil"/>
              <w:left w:val="nil"/>
              <w:bottom w:val="nil"/>
              <w:right w:val="nil"/>
            </w:tcBorders>
            <w:shd w:val="clear" w:color="000000" w:fill="E2EFDA"/>
            <w:noWrap/>
            <w:vAlign w:val="bottom"/>
            <w:hideMark/>
          </w:tcPr>
          <w:p w:rsidR="00B508F0" w:rsidRPr="00AA4EBE" w:rsidRDefault="00B508F0">
            <w:pPr>
              <w:rPr>
                <w:rFonts w:ascii="Arial Narrow" w:hAnsi="Arial Narrow"/>
                <w:b/>
                <w:color w:val="FFFFFF"/>
                <w:sz w:val="16"/>
                <w:szCs w:val="16"/>
              </w:rPr>
            </w:pPr>
            <w:r w:rsidRPr="00AA4EBE">
              <w:rPr>
                <w:rFonts w:ascii="Arial Narrow" w:hAnsi="Arial Narrow"/>
                <w:b/>
                <w:color w:val="FFFFFF"/>
                <w:sz w:val="16"/>
                <w:szCs w:val="16"/>
              </w:rPr>
              <w:t> </w:t>
            </w:r>
          </w:p>
        </w:tc>
        <w:tc>
          <w:tcPr>
            <w:tcW w:w="177" w:type="dxa"/>
            <w:tcBorders>
              <w:top w:val="nil"/>
              <w:left w:val="nil"/>
              <w:bottom w:val="nil"/>
              <w:right w:val="nil"/>
            </w:tcBorders>
            <w:shd w:val="clear" w:color="000000" w:fill="E2EFDA"/>
            <w:noWrap/>
            <w:vAlign w:val="bottom"/>
            <w:hideMark/>
          </w:tcPr>
          <w:p w:rsidR="00B508F0" w:rsidRPr="00AA4EBE" w:rsidRDefault="00B508F0">
            <w:pPr>
              <w:rPr>
                <w:rFonts w:ascii="Arial Narrow" w:hAnsi="Arial Narrow"/>
                <w:b/>
                <w:sz w:val="16"/>
                <w:szCs w:val="16"/>
              </w:rPr>
            </w:pPr>
            <w:r w:rsidRPr="00AA4EBE">
              <w:rPr>
                <w:rFonts w:ascii="Arial Narrow" w:hAnsi="Arial Narrow"/>
                <w:b/>
                <w:sz w:val="16"/>
                <w:szCs w:val="16"/>
              </w:rPr>
              <w:t> </w:t>
            </w:r>
          </w:p>
        </w:tc>
        <w:tc>
          <w:tcPr>
            <w:tcW w:w="3172" w:type="dxa"/>
            <w:gridSpan w:val="4"/>
            <w:tcBorders>
              <w:top w:val="nil"/>
              <w:left w:val="nil"/>
              <w:bottom w:val="nil"/>
              <w:right w:val="nil"/>
            </w:tcBorders>
            <w:shd w:val="clear" w:color="000000" w:fill="E2EFDA"/>
            <w:noWrap/>
            <w:vAlign w:val="center"/>
            <w:hideMark/>
          </w:tcPr>
          <w:p w:rsidR="00B508F0" w:rsidRPr="00AA4EBE" w:rsidRDefault="00B508F0">
            <w:pPr>
              <w:rPr>
                <w:rFonts w:ascii="Arial Narrow" w:hAnsi="Arial Narrow"/>
                <w:b/>
                <w:sz w:val="16"/>
                <w:szCs w:val="16"/>
              </w:rPr>
            </w:pPr>
            <w:r w:rsidRPr="00AA4EBE">
              <w:rPr>
                <w:rFonts w:ascii="Arial Narrow" w:hAnsi="Arial Narrow"/>
                <w:b/>
                <w:sz w:val="16"/>
                <w:szCs w:val="16"/>
              </w:rPr>
              <w:t>Neziskové inštitúcie slúžiace domácnostiam</w:t>
            </w:r>
          </w:p>
        </w:tc>
        <w:tc>
          <w:tcPr>
            <w:tcW w:w="764" w:type="dxa"/>
            <w:tcBorders>
              <w:top w:val="nil"/>
              <w:left w:val="single" w:sz="4" w:space="0" w:color="FF0000"/>
              <w:bottom w:val="nil"/>
              <w:right w:val="nil"/>
            </w:tcBorders>
            <w:shd w:val="clear" w:color="000000" w:fill="E2EFDA"/>
            <w:noWrap/>
            <w:vAlign w:val="bottom"/>
            <w:hideMark/>
          </w:tcPr>
          <w:p w:rsidR="00B508F0" w:rsidRPr="00AA4EBE" w:rsidRDefault="00B508F0" w:rsidP="008C510B">
            <w:pPr>
              <w:jc w:val="right"/>
              <w:rPr>
                <w:rFonts w:ascii="Arial Narrow" w:hAnsi="Arial Narrow"/>
                <w:b/>
                <w:sz w:val="16"/>
                <w:szCs w:val="16"/>
              </w:rPr>
            </w:pPr>
            <w:r w:rsidRPr="00AA4EBE">
              <w:rPr>
                <w:rFonts w:ascii="Arial Narrow" w:hAnsi="Arial Narrow"/>
                <w:b/>
                <w:sz w:val="16"/>
                <w:szCs w:val="16"/>
              </w:rPr>
              <w:t>16</w:t>
            </w:r>
            <w:r w:rsidR="008C510B" w:rsidRPr="00AA4EBE">
              <w:rPr>
                <w:rFonts w:ascii="Arial Narrow" w:hAnsi="Arial Narrow"/>
                <w:b/>
                <w:sz w:val="16"/>
                <w:szCs w:val="16"/>
              </w:rPr>
              <w:t>9</w:t>
            </w:r>
            <w:r w:rsidRPr="00AA4EBE">
              <w:rPr>
                <w:rFonts w:ascii="Arial Narrow" w:hAnsi="Arial Narrow"/>
                <w:b/>
                <w:sz w:val="16"/>
                <w:szCs w:val="16"/>
              </w:rPr>
              <w:t>,</w:t>
            </w:r>
            <w:r w:rsidR="008C510B" w:rsidRPr="00AA4EBE">
              <w:rPr>
                <w:rFonts w:ascii="Arial Narrow" w:hAnsi="Arial Narrow"/>
                <w:b/>
                <w:sz w:val="16"/>
                <w:szCs w:val="16"/>
              </w:rPr>
              <w:t>3</w:t>
            </w:r>
          </w:p>
        </w:tc>
        <w:tc>
          <w:tcPr>
            <w:tcW w:w="846" w:type="dxa"/>
            <w:tcBorders>
              <w:top w:val="nil"/>
              <w:left w:val="single" w:sz="4" w:space="0" w:color="FF0000"/>
              <w:bottom w:val="nil"/>
              <w:right w:val="nil"/>
            </w:tcBorders>
            <w:shd w:val="clear" w:color="000000" w:fill="E2EFDA"/>
            <w:noWrap/>
            <w:vAlign w:val="bottom"/>
            <w:hideMark/>
          </w:tcPr>
          <w:p w:rsidR="00B508F0" w:rsidRPr="00AA4EBE" w:rsidRDefault="00B508F0" w:rsidP="008C510B">
            <w:pPr>
              <w:jc w:val="right"/>
              <w:rPr>
                <w:rFonts w:ascii="Arial Narrow" w:hAnsi="Arial Narrow"/>
                <w:b/>
                <w:sz w:val="16"/>
                <w:szCs w:val="16"/>
              </w:rPr>
            </w:pPr>
            <w:r w:rsidRPr="00AA4EBE">
              <w:rPr>
                <w:rFonts w:ascii="Arial Narrow" w:hAnsi="Arial Narrow"/>
                <w:b/>
                <w:sz w:val="16"/>
                <w:szCs w:val="16"/>
              </w:rPr>
              <w:t>1</w:t>
            </w:r>
            <w:r w:rsidR="008C510B" w:rsidRPr="00AA4EBE">
              <w:rPr>
                <w:rFonts w:ascii="Arial Narrow" w:hAnsi="Arial Narrow"/>
                <w:b/>
                <w:sz w:val="16"/>
                <w:szCs w:val="16"/>
              </w:rPr>
              <w:t>46</w:t>
            </w:r>
            <w:r w:rsidRPr="00AA4EBE">
              <w:rPr>
                <w:rFonts w:ascii="Arial Narrow" w:hAnsi="Arial Narrow"/>
                <w:b/>
                <w:sz w:val="16"/>
                <w:szCs w:val="16"/>
              </w:rPr>
              <w:t>,</w:t>
            </w:r>
            <w:r w:rsidR="008C510B" w:rsidRPr="00AA4EBE">
              <w:rPr>
                <w:rFonts w:ascii="Arial Narrow" w:hAnsi="Arial Narrow"/>
                <w:b/>
                <w:sz w:val="16"/>
                <w:szCs w:val="16"/>
              </w:rPr>
              <w:t>2</w:t>
            </w:r>
          </w:p>
        </w:tc>
        <w:tc>
          <w:tcPr>
            <w:tcW w:w="705" w:type="dxa"/>
            <w:tcBorders>
              <w:top w:val="nil"/>
              <w:left w:val="single" w:sz="4" w:space="0" w:color="FF0000"/>
              <w:bottom w:val="nil"/>
              <w:right w:val="nil"/>
            </w:tcBorders>
            <w:shd w:val="clear" w:color="000000" w:fill="E2EFDA"/>
            <w:noWrap/>
            <w:vAlign w:val="bottom"/>
            <w:hideMark/>
          </w:tcPr>
          <w:p w:rsidR="00B508F0" w:rsidRPr="00AA4EBE" w:rsidRDefault="008C510B">
            <w:pPr>
              <w:jc w:val="right"/>
              <w:rPr>
                <w:rFonts w:ascii="Arial Narrow" w:hAnsi="Arial Narrow"/>
                <w:b/>
                <w:sz w:val="16"/>
                <w:szCs w:val="16"/>
              </w:rPr>
            </w:pPr>
            <w:r w:rsidRPr="00AA4EBE">
              <w:rPr>
                <w:rFonts w:ascii="Arial Narrow" w:hAnsi="Arial Narrow"/>
                <w:b/>
                <w:sz w:val="16"/>
                <w:szCs w:val="16"/>
              </w:rPr>
              <w:t>31</w:t>
            </w:r>
            <w:r w:rsidR="00B508F0" w:rsidRPr="00AA4EBE">
              <w:rPr>
                <w:rFonts w:ascii="Arial Narrow" w:hAnsi="Arial Narrow"/>
                <w:b/>
                <w:sz w:val="16"/>
                <w:szCs w:val="16"/>
              </w:rPr>
              <w:t>,0</w:t>
            </w:r>
          </w:p>
        </w:tc>
        <w:tc>
          <w:tcPr>
            <w:tcW w:w="706" w:type="dxa"/>
            <w:tcBorders>
              <w:top w:val="nil"/>
              <w:left w:val="single" w:sz="4" w:space="0" w:color="FF0000"/>
              <w:bottom w:val="nil"/>
              <w:right w:val="nil"/>
            </w:tcBorders>
            <w:shd w:val="clear" w:color="000000" w:fill="E2EFDA"/>
            <w:noWrap/>
            <w:vAlign w:val="bottom"/>
            <w:hideMark/>
          </w:tcPr>
          <w:p w:rsidR="00B508F0" w:rsidRPr="00AA4EBE" w:rsidRDefault="008C510B" w:rsidP="008C510B">
            <w:pPr>
              <w:jc w:val="right"/>
              <w:rPr>
                <w:rFonts w:ascii="Arial Narrow" w:hAnsi="Arial Narrow"/>
                <w:b/>
                <w:sz w:val="16"/>
                <w:szCs w:val="16"/>
              </w:rPr>
            </w:pPr>
            <w:r w:rsidRPr="00AA4EBE">
              <w:rPr>
                <w:rFonts w:ascii="Arial Narrow" w:hAnsi="Arial Narrow"/>
                <w:b/>
                <w:sz w:val="16"/>
                <w:szCs w:val="16"/>
              </w:rPr>
              <w:t>42</w:t>
            </w:r>
            <w:r w:rsidR="00B508F0" w:rsidRPr="00AA4EBE">
              <w:rPr>
                <w:rFonts w:ascii="Arial Narrow" w:hAnsi="Arial Narrow"/>
                <w:b/>
                <w:sz w:val="16"/>
                <w:szCs w:val="16"/>
              </w:rPr>
              <w:t>,</w:t>
            </w:r>
            <w:r w:rsidRPr="00AA4EBE">
              <w:rPr>
                <w:rFonts w:ascii="Arial Narrow" w:hAnsi="Arial Narrow"/>
                <w:b/>
                <w:sz w:val="16"/>
                <w:szCs w:val="16"/>
              </w:rPr>
              <w:t>7</w:t>
            </w:r>
          </w:p>
        </w:tc>
        <w:tc>
          <w:tcPr>
            <w:tcW w:w="846" w:type="dxa"/>
            <w:tcBorders>
              <w:top w:val="nil"/>
              <w:left w:val="single" w:sz="4" w:space="0" w:color="FF0000"/>
              <w:bottom w:val="nil"/>
              <w:right w:val="nil"/>
            </w:tcBorders>
            <w:shd w:val="clear" w:color="000000" w:fill="E2EFDA"/>
            <w:noWrap/>
            <w:vAlign w:val="bottom"/>
            <w:hideMark/>
          </w:tcPr>
          <w:p w:rsidR="00B508F0" w:rsidRPr="00AA4EBE" w:rsidRDefault="00B508F0" w:rsidP="008C510B">
            <w:pPr>
              <w:jc w:val="right"/>
              <w:rPr>
                <w:rFonts w:ascii="Arial Narrow" w:hAnsi="Arial Narrow"/>
                <w:b/>
                <w:sz w:val="16"/>
                <w:szCs w:val="16"/>
              </w:rPr>
            </w:pPr>
            <w:r w:rsidRPr="00AA4EBE">
              <w:rPr>
                <w:rFonts w:ascii="Arial Narrow" w:hAnsi="Arial Narrow"/>
                <w:b/>
                <w:sz w:val="16"/>
                <w:szCs w:val="16"/>
              </w:rPr>
              <w:t>0,</w:t>
            </w:r>
            <w:r w:rsidR="008C510B" w:rsidRPr="00AA4EBE">
              <w:rPr>
                <w:rFonts w:ascii="Arial Narrow" w:hAnsi="Arial Narrow"/>
                <w:b/>
                <w:sz w:val="16"/>
                <w:szCs w:val="16"/>
              </w:rPr>
              <w:t>9</w:t>
            </w:r>
          </w:p>
        </w:tc>
        <w:tc>
          <w:tcPr>
            <w:tcW w:w="564" w:type="dxa"/>
            <w:tcBorders>
              <w:top w:val="nil"/>
              <w:left w:val="single" w:sz="4" w:space="0" w:color="FF0000"/>
              <w:bottom w:val="nil"/>
              <w:right w:val="nil"/>
            </w:tcBorders>
            <w:shd w:val="clear" w:color="000000" w:fill="E2EFDA"/>
            <w:noWrap/>
            <w:vAlign w:val="bottom"/>
            <w:hideMark/>
          </w:tcPr>
          <w:p w:rsidR="00B508F0" w:rsidRPr="00AA4EBE" w:rsidRDefault="00B508F0">
            <w:pPr>
              <w:jc w:val="right"/>
              <w:rPr>
                <w:rFonts w:ascii="Arial Narrow" w:hAnsi="Arial Narrow"/>
                <w:b/>
                <w:sz w:val="16"/>
                <w:szCs w:val="16"/>
              </w:rPr>
            </w:pPr>
            <w:r w:rsidRPr="00AA4EBE">
              <w:rPr>
                <w:rFonts w:ascii="Arial Narrow" w:hAnsi="Arial Narrow"/>
                <w:b/>
                <w:sz w:val="16"/>
                <w:szCs w:val="16"/>
              </w:rPr>
              <w:t>0,2</w:t>
            </w:r>
          </w:p>
        </w:tc>
        <w:tc>
          <w:tcPr>
            <w:tcW w:w="761" w:type="dxa"/>
            <w:tcBorders>
              <w:top w:val="nil"/>
              <w:left w:val="single" w:sz="4" w:space="0" w:color="FF0000"/>
              <w:bottom w:val="nil"/>
              <w:right w:val="nil"/>
            </w:tcBorders>
            <w:shd w:val="clear" w:color="000000" w:fill="E2EFDA"/>
            <w:noWrap/>
            <w:vAlign w:val="bottom"/>
            <w:hideMark/>
          </w:tcPr>
          <w:p w:rsidR="00B508F0" w:rsidRPr="00AA4EBE" w:rsidRDefault="00B508F0" w:rsidP="00150164">
            <w:pPr>
              <w:jc w:val="right"/>
              <w:rPr>
                <w:rFonts w:ascii="Arial Narrow" w:hAnsi="Arial Narrow"/>
                <w:b/>
                <w:sz w:val="16"/>
                <w:szCs w:val="16"/>
              </w:rPr>
            </w:pPr>
            <w:r w:rsidRPr="00AA4EBE">
              <w:rPr>
                <w:rFonts w:ascii="Arial Narrow" w:hAnsi="Arial Narrow"/>
                <w:b/>
                <w:sz w:val="16"/>
                <w:szCs w:val="16"/>
              </w:rPr>
              <w:t>12</w:t>
            </w:r>
            <w:r w:rsidR="00150164" w:rsidRPr="00AA4EBE">
              <w:rPr>
                <w:rFonts w:ascii="Arial Narrow" w:hAnsi="Arial Narrow"/>
                <w:b/>
                <w:sz w:val="16"/>
                <w:szCs w:val="16"/>
              </w:rPr>
              <w:t>4</w:t>
            </w:r>
            <w:r w:rsidRPr="00AA4EBE">
              <w:rPr>
                <w:rFonts w:ascii="Arial Narrow" w:hAnsi="Arial Narrow"/>
                <w:b/>
                <w:sz w:val="16"/>
                <w:szCs w:val="16"/>
              </w:rPr>
              <w:t>,</w:t>
            </w:r>
            <w:r w:rsidR="00150164" w:rsidRPr="00AA4EBE">
              <w:rPr>
                <w:rFonts w:ascii="Arial Narrow" w:hAnsi="Arial Narrow"/>
                <w:b/>
                <w:sz w:val="16"/>
                <w:szCs w:val="16"/>
              </w:rPr>
              <w:t>4</w:t>
            </w:r>
          </w:p>
        </w:tc>
      </w:tr>
      <w:tr w:rsidR="00AA4EBE" w:rsidTr="00AA4EBE">
        <w:trPr>
          <w:trHeight w:val="282"/>
        </w:trPr>
        <w:tc>
          <w:tcPr>
            <w:tcW w:w="642" w:type="dxa"/>
            <w:tcBorders>
              <w:top w:val="nil"/>
              <w:left w:val="nil"/>
              <w:bottom w:val="nil"/>
              <w:right w:val="nil"/>
            </w:tcBorders>
            <w:shd w:val="clear" w:color="000000" w:fill="E2EFDA"/>
            <w:noWrap/>
            <w:vAlign w:val="bottom"/>
          </w:tcPr>
          <w:p w:rsidR="00AA4EBE" w:rsidRDefault="00AA4EBE" w:rsidP="00AA4EBE">
            <w:pPr>
              <w:rPr>
                <w:rFonts w:ascii="Arial Narrow" w:hAnsi="Arial Narrow"/>
                <w:color w:val="FFFFFF"/>
                <w:sz w:val="16"/>
                <w:szCs w:val="16"/>
              </w:rPr>
            </w:pPr>
          </w:p>
        </w:tc>
        <w:tc>
          <w:tcPr>
            <w:tcW w:w="177" w:type="dxa"/>
            <w:tcBorders>
              <w:top w:val="nil"/>
              <w:left w:val="nil"/>
              <w:bottom w:val="nil"/>
              <w:right w:val="nil"/>
            </w:tcBorders>
            <w:shd w:val="clear" w:color="000000" w:fill="E2EFDA"/>
            <w:noWrap/>
            <w:vAlign w:val="bottom"/>
          </w:tcPr>
          <w:p w:rsidR="00AA4EBE" w:rsidRDefault="00AA4EBE" w:rsidP="00AA4EBE">
            <w:pPr>
              <w:rPr>
                <w:rFonts w:ascii="Arial Narrow" w:hAnsi="Arial Narrow"/>
                <w:sz w:val="16"/>
                <w:szCs w:val="16"/>
              </w:rPr>
            </w:pPr>
          </w:p>
        </w:tc>
        <w:tc>
          <w:tcPr>
            <w:tcW w:w="3172" w:type="dxa"/>
            <w:gridSpan w:val="4"/>
            <w:tcBorders>
              <w:top w:val="nil"/>
              <w:left w:val="nil"/>
              <w:bottom w:val="nil"/>
              <w:right w:val="nil"/>
            </w:tcBorders>
            <w:shd w:val="clear" w:color="000000" w:fill="E2EFDA"/>
            <w:noWrap/>
            <w:vAlign w:val="center"/>
          </w:tcPr>
          <w:p w:rsidR="00AA4EBE" w:rsidRPr="00A76DD4" w:rsidRDefault="00AA4EBE" w:rsidP="00AA4EBE">
            <w:pPr>
              <w:rPr>
                <w:rFonts w:ascii="Arial Narrow" w:hAnsi="Arial Narrow"/>
                <w:b/>
                <w:sz w:val="16"/>
                <w:szCs w:val="16"/>
              </w:rPr>
            </w:pPr>
            <w:r>
              <w:rPr>
                <w:rFonts w:ascii="Arial Narrow" w:hAnsi="Arial Narrow"/>
                <w:b/>
                <w:bCs/>
                <w:sz w:val="16"/>
                <w:szCs w:val="16"/>
              </w:rPr>
              <w:t>Zvyšok sveta (nerezidenti)</w:t>
            </w:r>
          </w:p>
        </w:tc>
        <w:tc>
          <w:tcPr>
            <w:tcW w:w="764" w:type="dxa"/>
            <w:tcBorders>
              <w:top w:val="nil"/>
              <w:left w:val="single" w:sz="4" w:space="0" w:color="FF0000"/>
              <w:bottom w:val="nil"/>
              <w:right w:val="nil"/>
            </w:tcBorders>
            <w:shd w:val="clear" w:color="000000" w:fill="E2EFDA"/>
            <w:noWrap/>
            <w:vAlign w:val="bottom"/>
          </w:tcPr>
          <w:p w:rsidR="00AA4EBE" w:rsidRPr="00A76DD4" w:rsidRDefault="00AA4EBE" w:rsidP="00AA4EBE">
            <w:pPr>
              <w:jc w:val="right"/>
              <w:rPr>
                <w:rFonts w:ascii="Arial Narrow" w:hAnsi="Arial Narrow"/>
                <w:b/>
                <w:sz w:val="16"/>
                <w:szCs w:val="16"/>
              </w:rPr>
            </w:pPr>
            <w:r>
              <w:rPr>
                <w:rFonts w:ascii="Arial Narrow" w:hAnsi="Arial Narrow"/>
                <w:b/>
                <w:bCs/>
                <w:sz w:val="16"/>
                <w:szCs w:val="16"/>
              </w:rPr>
              <w:t>7,8</w:t>
            </w:r>
          </w:p>
        </w:tc>
        <w:tc>
          <w:tcPr>
            <w:tcW w:w="846" w:type="dxa"/>
            <w:tcBorders>
              <w:top w:val="nil"/>
              <w:left w:val="single" w:sz="4" w:space="0" w:color="FF0000"/>
              <w:bottom w:val="nil"/>
              <w:right w:val="nil"/>
            </w:tcBorders>
            <w:shd w:val="clear" w:color="000000" w:fill="E2EFDA"/>
            <w:noWrap/>
            <w:vAlign w:val="bottom"/>
          </w:tcPr>
          <w:p w:rsidR="00AA4EBE" w:rsidRPr="00A76DD4" w:rsidRDefault="00AA4EBE" w:rsidP="00AA4EBE">
            <w:pPr>
              <w:jc w:val="right"/>
              <w:rPr>
                <w:rFonts w:ascii="Arial Narrow" w:hAnsi="Arial Narrow"/>
                <w:b/>
                <w:sz w:val="16"/>
                <w:szCs w:val="16"/>
              </w:rPr>
            </w:pPr>
            <w:r>
              <w:rPr>
                <w:rFonts w:ascii="Arial Narrow" w:hAnsi="Arial Narrow"/>
                <w:b/>
                <w:bCs/>
                <w:sz w:val="16"/>
                <w:szCs w:val="16"/>
              </w:rPr>
              <w:t>6,7</w:t>
            </w:r>
          </w:p>
        </w:tc>
        <w:tc>
          <w:tcPr>
            <w:tcW w:w="705" w:type="dxa"/>
            <w:tcBorders>
              <w:top w:val="nil"/>
              <w:left w:val="single" w:sz="4" w:space="0" w:color="FF0000"/>
              <w:bottom w:val="nil"/>
              <w:right w:val="nil"/>
            </w:tcBorders>
            <w:shd w:val="clear" w:color="000000" w:fill="E2EFDA"/>
            <w:noWrap/>
            <w:vAlign w:val="bottom"/>
          </w:tcPr>
          <w:p w:rsidR="00AA4EBE" w:rsidRPr="00A76DD4" w:rsidRDefault="00AA4EBE" w:rsidP="00AA4EBE">
            <w:pPr>
              <w:jc w:val="right"/>
              <w:rPr>
                <w:rFonts w:ascii="Arial Narrow" w:hAnsi="Arial Narrow"/>
                <w:b/>
                <w:sz w:val="16"/>
                <w:szCs w:val="16"/>
              </w:rPr>
            </w:pPr>
            <w:r>
              <w:rPr>
                <w:rFonts w:ascii="Arial Narrow" w:hAnsi="Arial Narrow"/>
                <w:b/>
                <w:bCs/>
                <w:sz w:val="16"/>
                <w:szCs w:val="16"/>
              </w:rPr>
              <w:t>1,4</w:t>
            </w:r>
          </w:p>
        </w:tc>
        <w:tc>
          <w:tcPr>
            <w:tcW w:w="706" w:type="dxa"/>
            <w:tcBorders>
              <w:top w:val="nil"/>
              <w:left w:val="single" w:sz="4" w:space="0" w:color="FF0000"/>
              <w:bottom w:val="nil"/>
              <w:right w:val="nil"/>
            </w:tcBorders>
            <w:shd w:val="clear" w:color="000000" w:fill="E2EFDA"/>
            <w:noWrap/>
            <w:vAlign w:val="bottom"/>
          </w:tcPr>
          <w:p w:rsidR="00AA4EBE" w:rsidRPr="00A76DD4" w:rsidRDefault="00AA4EBE" w:rsidP="00AA4EBE">
            <w:pPr>
              <w:jc w:val="right"/>
              <w:rPr>
                <w:rFonts w:ascii="Arial Narrow" w:hAnsi="Arial Narrow"/>
                <w:b/>
                <w:sz w:val="16"/>
                <w:szCs w:val="16"/>
              </w:rPr>
            </w:pPr>
            <w:r>
              <w:rPr>
                <w:rFonts w:ascii="Arial Narrow" w:hAnsi="Arial Narrow"/>
                <w:b/>
                <w:bCs/>
                <w:sz w:val="16"/>
                <w:szCs w:val="16"/>
              </w:rPr>
              <w:t>2,0</w:t>
            </w:r>
          </w:p>
        </w:tc>
        <w:tc>
          <w:tcPr>
            <w:tcW w:w="846" w:type="dxa"/>
            <w:tcBorders>
              <w:top w:val="nil"/>
              <w:left w:val="single" w:sz="4" w:space="0" w:color="FF0000"/>
              <w:bottom w:val="nil"/>
              <w:right w:val="nil"/>
            </w:tcBorders>
            <w:shd w:val="clear" w:color="000000" w:fill="E2EFDA"/>
            <w:noWrap/>
            <w:vAlign w:val="bottom"/>
          </w:tcPr>
          <w:p w:rsidR="00AA4EBE" w:rsidRPr="00A76DD4" w:rsidRDefault="00AA4EBE" w:rsidP="00AA4EBE">
            <w:pPr>
              <w:jc w:val="right"/>
              <w:rPr>
                <w:rFonts w:ascii="Arial Narrow" w:hAnsi="Arial Narrow"/>
                <w:b/>
                <w:sz w:val="16"/>
                <w:szCs w:val="16"/>
              </w:rPr>
            </w:pPr>
            <w:r>
              <w:rPr>
                <w:rFonts w:ascii="Arial Narrow" w:hAnsi="Arial Narrow"/>
                <w:b/>
                <w:bCs/>
                <w:sz w:val="16"/>
                <w:szCs w:val="16"/>
              </w:rPr>
              <w:t>0,0</w:t>
            </w:r>
          </w:p>
        </w:tc>
        <w:tc>
          <w:tcPr>
            <w:tcW w:w="564" w:type="dxa"/>
            <w:tcBorders>
              <w:top w:val="nil"/>
              <w:left w:val="single" w:sz="4" w:space="0" w:color="FF0000"/>
              <w:bottom w:val="nil"/>
              <w:right w:val="nil"/>
            </w:tcBorders>
            <w:shd w:val="clear" w:color="000000" w:fill="E2EFDA"/>
            <w:noWrap/>
            <w:vAlign w:val="bottom"/>
          </w:tcPr>
          <w:p w:rsidR="00AA4EBE" w:rsidRPr="00A76DD4" w:rsidRDefault="00AA4EBE" w:rsidP="00AA4EBE">
            <w:pPr>
              <w:jc w:val="right"/>
              <w:rPr>
                <w:rFonts w:ascii="Arial Narrow" w:hAnsi="Arial Narrow"/>
                <w:b/>
                <w:sz w:val="16"/>
                <w:szCs w:val="16"/>
              </w:rPr>
            </w:pPr>
            <w:r>
              <w:rPr>
                <w:rFonts w:ascii="Arial Narrow" w:hAnsi="Arial Narrow"/>
                <w:b/>
                <w:bCs/>
                <w:sz w:val="16"/>
                <w:szCs w:val="16"/>
              </w:rPr>
              <w:t>0,0</w:t>
            </w:r>
          </w:p>
        </w:tc>
        <w:tc>
          <w:tcPr>
            <w:tcW w:w="761" w:type="dxa"/>
            <w:tcBorders>
              <w:top w:val="nil"/>
              <w:left w:val="single" w:sz="4" w:space="0" w:color="FF0000"/>
              <w:bottom w:val="nil"/>
              <w:right w:val="nil"/>
            </w:tcBorders>
            <w:shd w:val="clear" w:color="000000" w:fill="E2EFDA"/>
            <w:noWrap/>
            <w:vAlign w:val="bottom"/>
          </w:tcPr>
          <w:p w:rsidR="00AA4EBE" w:rsidRPr="00AA4EBE" w:rsidRDefault="00AA4EBE" w:rsidP="00AA4EBE">
            <w:pPr>
              <w:jc w:val="right"/>
              <w:rPr>
                <w:rFonts w:ascii="Arial Narrow" w:hAnsi="Arial Narrow"/>
                <w:b/>
                <w:sz w:val="16"/>
                <w:szCs w:val="16"/>
              </w:rPr>
            </w:pPr>
            <w:r>
              <w:rPr>
                <w:rFonts w:ascii="Arial Narrow" w:hAnsi="Arial Narrow"/>
                <w:b/>
                <w:sz w:val="16"/>
                <w:szCs w:val="16"/>
              </w:rPr>
              <w:t>104,0</w:t>
            </w:r>
          </w:p>
        </w:tc>
      </w:tr>
    </w:tbl>
    <w:p w:rsidR="004610AF" w:rsidRPr="004610AF" w:rsidRDefault="004610AF" w:rsidP="00CF134A">
      <w:pPr>
        <w:jc w:val="both"/>
        <w:rPr>
          <w:rFonts w:ascii="Arial Narrow" w:hAnsi="Arial Narrow"/>
          <w:i/>
          <w:iCs/>
          <w:sz w:val="10"/>
          <w:szCs w:val="10"/>
        </w:rPr>
      </w:pPr>
    </w:p>
    <w:p w:rsidR="000C7EE5" w:rsidRDefault="004610AF" w:rsidP="00CF134A">
      <w:pPr>
        <w:jc w:val="both"/>
        <w:rPr>
          <w:rFonts w:ascii="Arial Narrow" w:hAnsi="Arial Narrow"/>
          <w:sz w:val="20"/>
          <w:szCs w:val="20"/>
        </w:rPr>
      </w:pPr>
      <w:r w:rsidRPr="00841C12">
        <w:rPr>
          <w:rFonts w:ascii="Arial Narrow" w:hAnsi="Arial Narrow"/>
          <w:i/>
          <w:iCs/>
          <w:sz w:val="15"/>
          <w:szCs w:val="15"/>
        </w:rPr>
        <w:t>Zdroj: ŠÚ SR – ESSPROS</w:t>
      </w:r>
    </w:p>
    <w:p w:rsidR="004610AF" w:rsidRDefault="004610AF" w:rsidP="00F11A1A">
      <w:pPr>
        <w:ind w:firstLine="708"/>
        <w:jc w:val="both"/>
        <w:rPr>
          <w:rFonts w:ascii="Arial Narrow" w:hAnsi="Arial Narrow"/>
          <w:sz w:val="22"/>
          <w:szCs w:val="22"/>
        </w:rPr>
      </w:pPr>
    </w:p>
    <w:p w:rsidR="00AA4EBE" w:rsidRDefault="00AA4EBE" w:rsidP="00AA4EBE">
      <w:pPr>
        <w:ind w:firstLine="708"/>
        <w:jc w:val="both"/>
        <w:rPr>
          <w:rFonts w:ascii="Arial Narrow" w:hAnsi="Arial Narrow"/>
          <w:sz w:val="22"/>
          <w:szCs w:val="20"/>
        </w:rPr>
      </w:pPr>
      <w:r w:rsidRPr="00AA4EBE">
        <w:rPr>
          <w:rFonts w:ascii="Arial Narrow" w:hAnsi="Arial Narrow"/>
          <w:sz w:val="22"/>
          <w:szCs w:val="20"/>
        </w:rPr>
        <w:t xml:space="preserve">Z pohľadu príjmov podľa sektorov národných účtov v roku 2019 všetky inštitucionálne jednotky vynaložili na systém sociálnej ochrany v SR 18 059,2  mil. eur. </w:t>
      </w:r>
    </w:p>
    <w:p w:rsidR="009D7200" w:rsidRDefault="009D7200" w:rsidP="00AA4EBE">
      <w:pPr>
        <w:ind w:firstLine="708"/>
        <w:jc w:val="both"/>
        <w:rPr>
          <w:rFonts w:ascii="Arial Narrow" w:hAnsi="Arial Narrow"/>
          <w:sz w:val="22"/>
          <w:szCs w:val="20"/>
        </w:rPr>
      </w:pPr>
    </w:p>
    <w:p w:rsidR="00FB0334" w:rsidRPr="00AA4EBE" w:rsidRDefault="00FB0334" w:rsidP="00AA4EBE">
      <w:pPr>
        <w:ind w:firstLine="708"/>
        <w:jc w:val="both"/>
        <w:rPr>
          <w:rFonts w:ascii="Arial Narrow" w:hAnsi="Arial Narrow" w:cs="Arial"/>
          <w:sz w:val="22"/>
          <w:szCs w:val="20"/>
        </w:rPr>
      </w:pPr>
      <w:r>
        <w:rPr>
          <w:rFonts w:ascii="Arial Narrow" w:hAnsi="Arial Narrow"/>
          <w:sz w:val="22"/>
          <w:szCs w:val="20"/>
        </w:rPr>
        <w:t>Na nasledujúcom grafe je vidieť štruktúru príjmov na sociálnu ochranu, pričom od roku 2012 sledujeme pokles v odvetví Ústrednej štátnej správy</w:t>
      </w:r>
      <w:r w:rsidR="009D7200">
        <w:rPr>
          <w:rFonts w:ascii="Arial Narrow" w:hAnsi="Arial Narrow"/>
          <w:sz w:val="22"/>
          <w:szCs w:val="20"/>
        </w:rPr>
        <w:t xml:space="preserve"> z 40,4</w:t>
      </w:r>
      <w:r w:rsidR="007B7FAB">
        <w:rPr>
          <w:rFonts w:ascii="Arial Narrow" w:hAnsi="Arial Narrow"/>
          <w:sz w:val="22"/>
          <w:szCs w:val="20"/>
        </w:rPr>
        <w:t xml:space="preserve"> </w:t>
      </w:r>
      <w:r w:rsidR="009D7200">
        <w:rPr>
          <w:rFonts w:ascii="Arial Narrow" w:hAnsi="Arial Narrow"/>
          <w:sz w:val="22"/>
          <w:szCs w:val="20"/>
        </w:rPr>
        <w:t>% na 28,9</w:t>
      </w:r>
      <w:r w:rsidR="007B7FAB">
        <w:rPr>
          <w:rFonts w:ascii="Arial Narrow" w:hAnsi="Arial Narrow"/>
          <w:sz w:val="22"/>
          <w:szCs w:val="20"/>
        </w:rPr>
        <w:t xml:space="preserve"> </w:t>
      </w:r>
      <w:r w:rsidR="009D7200">
        <w:rPr>
          <w:rFonts w:ascii="Arial Narrow" w:hAnsi="Arial Narrow"/>
          <w:sz w:val="22"/>
          <w:szCs w:val="20"/>
        </w:rPr>
        <w:t>%. Z hľadiska štruktúry sú najvýznamnejším odvetvím s odvetvie finančné a nefinančné korporácie s podielom 37,3</w:t>
      </w:r>
      <w:r w:rsidR="007B7FAB">
        <w:rPr>
          <w:rFonts w:ascii="Arial Narrow" w:hAnsi="Arial Narrow"/>
          <w:sz w:val="22"/>
          <w:szCs w:val="20"/>
        </w:rPr>
        <w:t xml:space="preserve"> </w:t>
      </w:r>
      <w:r w:rsidR="009D7200">
        <w:rPr>
          <w:rFonts w:ascii="Arial Narrow" w:hAnsi="Arial Narrow"/>
          <w:sz w:val="22"/>
          <w:szCs w:val="20"/>
        </w:rPr>
        <w:t>% v roku 2019 (maximum za 10 rokov).</w:t>
      </w:r>
    </w:p>
    <w:p w:rsidR="004D6179" w:rsidRPr="00C55841" w:rsidRDefault="004D6179" w:rsidP="004D6179">
      <w:pPr>
        <w:rPr>
          <w:rFonts w:ascii="Arial Narrow" w:hAnsi="Arial Narrow"/>
          <w:b/>
          <w:bCs/>
          <w:color w:val="000000"/>
          <w:sz w:val="20"/>
          <w:szCs w:val="20"/>
          <w:highlight w:val="cyan"/>
        </w:rPr>
      </w:pPr>
    </w:p>
    <w:p w:rsidR="00AA4EBE" w:rsidRDefault="00AA4EBE" w:rsidP="004D6179">
      <w:pPr>
        <w:rPr>
          <w:rFonts w:ascii="Arial Narrow" w:hAnsi="Arial Narrow"/>
          <w:b/>
          <w:bCs/>
          <w:color w:val="000000"/>
          <w:sz w:val="20"/>
          <w:szCs w:val="20"/>
        </w:rPr>
      </w:pPr>
    </w:p>
    <w:p w:rsidR="00AA4EBE" w:rsidRDefault="00AA4EBE" w:rsidP="004D6179">
      <w:pPr>
        <w:rPr>
          <w:rFonts w:ascii="Arial Narrow" w:hAnsi="Arial Narrow"/>
          <w:b/>
          <w:bCs/>
          <w:color w:val="000000"/>
          <w:sz w:val="20"/>
          <w:szCs w:val="20"/>
        </w:rPr>
      </w:pPr>
    </w:p>
    <w:p w:rsidR="00AA4EBE" w:rsidRDefault="00AA4EBE" w:rsidP="004D6179">
      <w:pPr>
        <w:rPr>
          <w:rFonts w:ascii="Arial Narrow" w:hAnsi="Arial Narrow"/>
          <w:b/>
          <w:bCs/>
          <w:color w:val="000000"/>
          <w:sz w:val="20"/>
          <w:szCs w:val="20"/>
        </w:rPr>
      </w:pPr>
    </w:p>
    <w:p w:rsidR="00AA4EBE" w:rsidRDefault="00AA4EBE" w:rsidP="004D6179">
      <w:pPr>
        <w:rPr>
          <w:rFonts w:ascii="Arial Narrow" w:hAnsi="Arial Narrow"/>
          <w:b/>
          <w:bCs/>
          <w:color w:val="000000"/>
          <w:sz w:val="20"/>
          <w:szCs w:val="20"/>
        </w:rPr>
      </w:pPr>
    </w:p>
    <w:p w:rsidR="00AA4EBE" w:rsidRDefault="00AA4EBE" w:rsidP="004D6179">
      <w:pPr>
        <w:rPr>
          <w:rFonts w:ascii="Arial Narrow" w:hAnsi="Arial Narrow"/>
          <w:b/>
          <w:bCs/>
          <w:color w:val="000000"/>
          <w:sz w:val="20"/>
          <w:szCs w:val="20"/>
        </w:rPr>
      </w:pPr>
    </w:p>
    <w:p w:rsidR="00AA4EBE" w:rsidRDefault="00AA4EBE" w:rsidP="004D6179">
      <w:pPr>
        <w:rPr>
          <w:rFonts w:ascii="Arial Narrow" w:hAnsi="Arial Narrow"/>
          <w:b/>
          <w:bCs/>
          <w:color w:val="000000"/>
          <w:sz w:val="20"/>
          <w:szCs w:val="20"/>
        </w:rPr>
      </w:pPr>
    </w:p>
    <w:p w:rsidR="00AA4EBE" w:rsidRDefault="00AA4EBE" w:rsidP="004D6179">
      <w:pPr>
        <w:rPr>
          <w:rFonts w:ascii="Arial Narrow" w:hAnsi="Arial Narrow"/>
          <w:b/>
          <w:bCs/>
          <w:color w:val="000000"/>
          <w:sz w:val="20"/>
          <w:szCs w:val="20"/>
        </w:rPr>
      </w:pPr>
    </w:p>
    <w:p w:rsidR="00AA4EBE" w:rsidRDefault="00AA4EBE" w:rsidP="004D6179">
      <w:pPr>
        <w:rPr>
          <w:rFonts w:ascii="Arial Narrow" w:hAnsi="Arial Narrow"/>
          <w:b/>
          <w:bCs/>
          <w:color w:val="000000"/>
          <w:sz w:val="20"/>
          <w:szCs w:val="20"/>
        </w:rPr>
      </w:pPr>
    </w:p>
    <w:p w:rsidR="004D6179" w:rsidRDefault="004D6179" w:rsidP="004D6179">
      <w:pPr>
        <w:rPr>
          <w:rFonts w:ascii="Arial Narrow" w:hAnsi="Arial Narrow"/>
          <w:b/>
          <w:bCs/>
          <w:color w:val="000000"/>
          <w:sz w:val="20"/>
          <w:szCs w:val="20"/>
        </w:rPr>
      </w:pPr>
      <w:r w:rsidRPr="005E5CC2">
        <w:rPr>
          <w:rFonts w:ascii="Arial Narrow" w:hAnsi="Arial Narrow"/>
          <w:b/>
          <w:bCs/>
          <w:color w:val="000000"/>
          <w:sz w:val="20"/>
          <w:szCs w:val="20"/>
        </w:rPr>
        <w:lastRenderedPageBreak/>
        <w:t>Graf 1.3</w:t>
      </w:r>
      <w:r w:rsidR="007C7F3F" w:rsidRPr="005E5CC2">
        <w:rPr>
          <w:rFonts w:ascii="Arial Narrow" w:hAnsi="Arial Narrow"/>
          <w:b/>
          <w:bCs/>
          <w:color w:val="000000"/>
          <w:sz w:val="20"/>
          <w:szCs w:val="20"/>
        </w:rPr>
        <w:t xml:space="preserve"> </w:t>
      </w:r>
      <w:r w:rsidRPr="005E5CC2">
        <w:rPr>
          <w:rFonts w:ascii="Arial Narrow" w:hAnsi="Arial Narrow"/>
          <w:b/>
          <w:bCs/>
          <w:color w:val="000000"/>
          <w:sz w:val="20"/>
          <w:szCs w:val="20"/>
        </w:rPr>
        <w:t xml:space="preserve"> Štruktúra príjmov v SR podľa odvetví pôvodu, 199</w:t>
      </w:r>
      <w:r w:rsidR="00AA4EBE">
        <w:rPr>
          <w:rFonts w:ascii="Arial Narrow" w:hAnsi="Arial Narrow"/>
          <w:b/>
          <w:bCs/>
          <w:color w:val="000000"/>
          <w:sz w:val="20"/>
          <w:szCs w:val="20"/>
        </w:rPr>
        <w:t>8</w:t>
      </w:r>
      <w:r w:rsidRPr="005E5CC2">
        <w:rPr>
          <w:rFonts w:ascii="Arial Narrow" w:hAnsi="Arial Narrow"/>
          <w:b/>
          <w:bCs/>
          <w:color w:val="000000"/>
          <w:sz w:val="20"/>
          <w:szCs w:val="20"/>
        </w:rPr>
        <w:t xml:space="preserve"> </w:t>
      </w:r>
      <w:r w:rsidR="00676D2B">
        <w:rPr>
          <w:rFonts w:ascii="Arial Narrow" w:hAnsi="Arial Narrow"/>
          <w:b/>
          <w:bCs/>
          <w:color w:val="000000"/>
          <w:sz w:val="20"/>
          <w:szCs w:val="20"/>
        </w:rPr>
        <w:t>–</w:t>
      </w:r>
      <w:r w:rsidR="005E5CC2">
        <w:rPr>
          <w:rFonts w:ascii="Arial Narrow" w:hAnsi="Arial Narrow"/>
          <w:b/>
          <w:bCs/>
          <w:color w:val="000000"/>
          <w:sz w:val="20"/>
          <w:szCs w:val="20"/>
        </w:rPr>
        <w:t xml:space="preserve"> 2019</w:t>
      </w:r>
    </w:p>
    <w:p w:rsidR="00676D2B" w:rsidRPr="00676D2B" w:rsidRDefault="00676D2B" w:rsidP="004D6179">
      <w:pPr>
        <w:rPr>
          <w:rFonts w:ascii="Arial Narrow" w:hAnsi="Arial Narrow"/>
          <w:b/>
          <w:bCs/>
          <w:color w:val="000000"/>
          <w:sz w:val="10"/>
          <w:szCs w:val="10"/>
        </w:rPr>
      </w:pPr>
    </w:p>
    <w:p w:rsidR="004D6179" w:rsidRDefault="00D74A81" w:rsidP="004D6179">
      <w:pPr>
        <w:rPr>
          <w:rFonts w:ascii="Arial Narrow" w:hAnsi="Arial Narrow"/>
          <w:b/>
          <w:bCs/>
          <w:color w:val="000000"/>
          <w:sz w:val="20"/>
          <w:szCs w:val="20"/>
          <w:lang w:eastAsia="sk-SK"/>
        </w:rPr>
      </w:pPr>
      <w:r>
        <w:rPr>
          <w:noProof/>
          <w:lang w:eastAsia="sk-SK"/>
        </w:rPr>
        <w:drawing>
          <wp:inline distT="0" distB="0" distL="0" distR="0" wp14:anchorId="1A0AE33A" wp14:editId="4773D8E1">
            <wp:extent cx="5721350" cy="2162175"/>
            <wp:effectExtent l="0" t="0" r="12700" b="9525"/>
            <wp:docPr id="10" name="Graf 10">
              <a:extLst xmlns:a="http://schemas.openxmlformats.org/drawingml/2006/main">
                <a:ext uri="{FF2B5EF4-FFF2-40B4-BE49-F238E27FC236}">
                  <a16:creationId xmlns:a16="http://schemas.microsoft.com/office/drawing/2014/main" id="{00000000-0008-0000-02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76D2B" w:rsidRDefault="00B33461" w:rsidP="00B33461">
      <w:pPr>
        <w:rPr>
          <w:rFonts w:ascii="Arial Narrow" w:hAnsi="Arial Narrow" w:cs="Arial"/>
          <w:i/>
          <w:iCs/>
          <w:sz w:val="16"/>
          <w:szCs w:val="16"/>
        </w:rPr>
      </w:pPr>
      <w:r>
        <w:rPr>
          <w:rFonts w:ascii="Arial Narrow" w:hAnsi="Arial Narrow" w:cs="Arial"/>
          <w:i/>
          <w:iCs/>
          <w:sz w:val="16"/>
          <w:szCs w:val="16"/>
        </w:rPr>
        <w:t xml:space="preserve">                            </w:t>
      </w:r>
      <w:r>
        <w:rPr>
          <w:rFonts w:ascii="Arial Narrow" w:hAnsi="Arial Narrow" w:cs="Arial"/>
          <w:i/>
          <w:iCs/>
          <w:sz w:val="16"/>
          <w:szCs w:val="16"/>
        </w:rPr>
        <w:tab/>
      </w:r>
      <w:r>
        <w:rPr>
          <w:rFonts w:ascii="Arial Narrow" w:hAnsi="Arial Narrow" w:cs="Arial"/>
          <w:i/>
          <w:iCs/>
          <w:sz w:val="16"/>
          <w:szCs w:val="16"/>
        </w:rPr>
        <w:tab/>
      </w:r>
      <w:r>
        <w:rPr>
          <w:rFonts w:ascii="Arial Narrow" w:hAnsi="Arial Narrow" w:cs="Arial"/>
          <w:i/>
          <w:iCs/>
          <w:sz w:val="16"/>
          <w:szCs w:val="16"/>
        </w:rPr>
        <w:tab/>
      </w:r>
      <w:r>
        <w:rPr>
          <w:rFonts w:ascii="Arial Narrow" w:hAnsi="Arial Narrow" w:cs="Arial"/>
          <w:i/>
          <w:iCs/>
          <w:sz w:val="16"/>
          <w:szCs w:val="16"/>
        </w:rPr>
        <w:tab/>
      </w:r>
      <w:r>
        <w:rPr>
          <w:rFonts w:ascii="Arial Narrow" w:hAnsi="Arial Narrow" w:cs="Arial"/>
          <w:i/>
          <w:iCs/>
          <w:sz w:val="16"/>
          <w:szCs w:val="16"/>
        </w:rPr>
        <w:tab/>
      </w:r>
      <w:r>
        <w:rPr>
          <w:rFonts w:ascii="Arial Narrow" w:hAnsi="Arial Narrow" w:cs="Arial"/>
          <w:i/>
          <w:iCs/>
          <w:sz w:val="16"/>
          <w:szCs w:val="16"/>
        </w:rPr>
        <w:tab/>
      </w:r>
      <w:r>
        <w:rPr>
          <w:rFonts w:ascii="Arial Narrow" w:hAnsi="Arial Narrow" w:cs="Arial"/>
          <w:i/>
          <w:iCs/>
          <w:sz w:val="16"/>
          <w:szCs w:val="16"/>
        </w:rPr>
        <w:tab/>
      </w:r>
      <w:r>
        <w:rPr>
          <w:rFonts w:ascii="Arial Narrow" w:hAnsi="Arial Narrow" w:cs="Arial"/>
          <w:i/>
          <w:iCs/>
          <w:sz w:val="16"/>
          <w:szCs w:val="16"/>
        </w:rPr>
        <w:tab/>
      </w:r>
      <w:r>
        <w:rPr>
          <w:rFonts w:ascii="Arial Narrow" w:hAnsi="Arial Narrow" w:cs="Arial"/>
          <w:i/>
          <w:iCs/>
          <w:sz w:val="16"/>
          <w:szCs w:val="16"/>
        </w:rPr>
        <w:tab/>
      </w:r>
    </w:p>
    <w:p w:rsidR="004F5491" w:rsidRPr="00841C12" w:rsidRDefault="004F5491" w:rsidP="00B33461">
      <w:pPr>
        <w:rPr>
          <w:rFonts w:ascii="Arial Narrow" w:hAnsi="Arial Narrow" w:cs="Arial"/>
          <w:i/>
          <w:iCs/>
          <w:sz w:val="15"/>
          <w:szCs w:val="15"/>
        </w:rPr>
      </w:pPr>
      <w:r w:rsidRPr="00841C12">
        <w:rPr>
          <w:rFonts w:ascii="Arial Narrow" w:hAnsi="Arial Narrow" w:cs="Arial"/>
          <w:i/>
          <w:iCs/>
          <w:sz w:val="15"/>
          <w:szCs w:val="15"/>
        </w:rPr>
        <w:t xml:space="preserve">Zdroj: ŠÚ SR </w:t>
      </w:r>
      <w:r w:rsidR="00B33461" w:rsidRPr="00841C12">
        <w:rPr>
          <w:rFonts w:ascii="Arial Narrow" w:hAnsi="Arial Narrow" w:cs="Arial"/>
          <w:i/>
          <w:iCs/>
          <w:sz w:val="15"/>
          <w:szCs w:val="15"/>
        </w:rPr>
        <w:t>–</w:t>
      </w:r>
      <w:r w:rsidRPr="00841C12">
        <w:rPr>
          <w:rFonts w:ascii="Arial Narrow" w:hAnsi="Arial Narrow" w:cs="Arial"/>
          <w:i/>
          <w:iCs/>
          <w:sz w:val="15"/>
          <w:szCs w:val="15"/>
        </w:rPr>
        <w:t xml:space="preserve"> ESSPROS</w:t>
      </w:r>
    </w:p>
    <w:p w:rsidR="00676D2B" w:rsidRDefault="00676D2B" w:rsidP="004D6179">
      <w:pPr>
        <w:spacing w:before="20"/>
        <w:rPr>
          <w:rFonts w:ascii="Arial Narrow" w:hAnsi="Arial Narrow" w:cs="Arial"/>
          <w:b/>
          <w:sz w:val="22"/>
          <w:szCs w:val="22"/>
        </w:rPr>
      </w:pPr>
    </w:p>
    <w:p w:rsidR="000C7EE5" w:rsidRPr="00676D2B" w:rsidRDefault="009948C8" w:rsidP="004D6179">
      <w:pPr>
        <w:spacing w:before="20"/>
        <w:rPr>
          <w:rFonts w:ascii="Arial Narrow" w:hAnsi="Arial Narrow"/>
          <w:i/>
        </w:rPr>
      </w:pPr>
      <w:r w:rsidRPr="00676D2B">
        <w:rPr>
          <w:rFonts w:ascii="Arial Narrow" w:hAnsi="Arial Narrow" w:cs="Arial"/>
          <w:b/>
        </w:rPr>
        <w:t>1.2</w:t>
      </w:r>
      <w:r w:rsidR="00FB1DA1" w:rsidRPr="00676D2B">
        <w:rPr>
          <w:rFonts w:ascii="Arial Narrow" w:hAnsi="Arial Narrow" w:cs="Arial"/>
          <w:b/>
        </w:rPr>
        <w:t xml:space="preserve"> </w:t>
      </w:r>
      <w:r w:rsidR="00207FB7" w:rsidRPr="00676D2B">
        <w:rPr>
          <w:rFonts w:ascii="Arial Narrow" w:hAnsi="Arial Narrow" w:cs="Arial"/>
          <w:b/>
        </w:rPr>
        <w:t xml:space="preserve"> </w:t>
      </w:r>
      <w:r w:rsidR="00FB1DA1" w:rsidRPr="00676D2B">
        <w:rPr>
          <w:rFonts w:ascii="Arial Narrow" w:hAnsi="Arial Narrow" w:cs="Arial"/>
          <w:b/>
        </w:rPr>
        <w:t>VÝDAVKY NA SOCIÁLNU OCHRANU V SR</w:t>
      </w:r>
    </w:p>
    <w:p w:rsidR="00FB1DA1" w:rsidRPr="00FB1DA1" w:rsidRDefault="00FB1DA1" w:rsidP="00C901F4">
      <w:pPr>
        <w:jc w:val="both"/>
        <w:rPr>
          <w:rFonts w:ascii="Arial Narrow" w:hAnsi="Arial Narrow" w:cs="Arial"/>
          <w:b/>
          <w:sz w:val="20"/>
          <w:szCs w:val="20"/>
        </w:rPr>
      </w:pPr>
    </w:p>
    <w:p w:rsidR="002B04C7" w:rsidRPr="00676D2B" w:rsidRDefault="002B04C7" w:rsidP="005D117D">
      <w:pPr>
        <w:jc w:val="both"/>
        <w:rPr>
          <w:rFonts w:ascii="Arial Narrow" w:hAnsi="Arial Narrow"/>
          <w:sz w:val="22"/>
          <w:szCs w:val="22"/>
        </w:rPr>
      </w:pPr>
      <w:r w:rsidRPr="00676D2B">
        <w:rPr>
          <w:rFonts w:ascii="Arial Narrow" w:hAnsi="Arial Narrow"/>
          <w:sz w:val="22"/>
          <w:szCs w:val="22"/>
        </w:rPr>
        <w:t>Výdavky programov na sociálnu ochranu sa klasifikujú podľa typu, ktorý určuje ich povahu alebo podľa dôvodu na ich vyplatenie.</w:t>
      </w:r>
    </w:p>
    <w:p w:rsidR="002B04C7" w:rsidRPr="00676D2B" w:rsidRDefault="002B04C7" w:rsidP="002B04C7">
      <w:pPr>
        <w:jc w:val="both"/>
        <w:rPr>
          <w:rFonts w:ascii="Arial Narrow" w:hAnsi="Arial Narrow"/>
          <w:b/>
          <w:sz w:val="22"/>
          <w:szCs w:val="22"/>
        </w:rPr>
      </w:pPr>
    </w:p>
    <w:p w:rsidR="002B04C7" w:rsidRPr="00676D2B" w:rsidRDefault="002B04C7" w:rsidP="005D117D">
      <w:pPr>
        <w:jc w:val="both"/>
        <w:rPr>
          <w:rFonts w:ascii="Arial Narrow" w:hAnsi="Arial Narrow"/>
          <w:sz w:val="22"/>
          <w:szCs w:val="22"/>
        </w:rPr>
      </w:pPr>
      <w:r w:rsidRPr="00676D2B">
        <w:rPr>
          <w:rFonts w:ascii="Arial Narrow" w:hAnsi="Arial Narrow"/>
          <w:sz w:val="22"/>
          <w:szCs w:val="22"/>
        </w:rPr>
        <w:t xml:space="preserve">ESSPROS rozlišuje štyri hlavné kategórie výdavkov. Prvé sú výdavky na sociálne dávky, čo sú zdroje prevedené k užívateľom vo forme peňažnej hotovosti alebo tovarov a služieb. Druhá kategória výdavkov sa vzťahuje k administratívnym nákladom programu. Tretia a štvrtá kategória sa </w:t>
      </w:r>
      <w:r w:rsidR="0090578A" w:rsidRPr="00676D2B">
        <w:rPr>
          <w:rFonts w:ascii="Arial Narrow" w:hAnsi="Arial Narrow"/>
          <w:sz w:val="22"/>
          <w:szCs w:val="22"/>
        </w:rPr>
        <w:t>týka</w:t>
      </w:r>
      <w:r w:rsidRPr="00676D2B">
        <w:rPr>
          <w:rFonts w:ascii="Arial Narrow" w:hAnsi="Arial Narrow"/>
          <w:sz w:val="22"/>
          <w:szCs w:val="22"/>
        </w:rPr>
        <w:t xml:space="preserve"> prevod</w:t>
      </w:r>
      <w:r w:rsidR="0090578A" w:rsidRPr="00676D2B">
        <w:rPr>
          <w:rFonts w:ascii="Arial Narrow" w:hAnsi="Arial Narrow"/>
          <w:sz w:val="22"/>
          <w:szCs w:val="22"/>
        </w:rPr>
        <w:t>ov</w:t>
      </w:r>
      <w:r w:rsidRPr="00676D2B">
        <w:rPr>
          <w:rFonts w:ascii="Arial Narrow" w:hAnsi="Arial Narrow"/>
          <w:sz w:val="22"/>
          <w:szCs w:val="22"/>
        </w:rPr>
        <w:t xml:space="preserve"> do iných programov a</w:t>
      </w:r>
      <w:r w:rsidR="0090578A" w:rsidRPr="00676D2B">
        <w:rPr>
          <w:rFonts w:ascii="Arial Narrow" w:hAnsi="Arial Narrow"/>
          <w:sz w:val="22"/>
          <w:szCs w:val="22"/>
        </w:rPr>
        <w:t xml:space="preserve"> ďalšími </w:t>
      </w:r>
      <w:r w:rsidRPr="00676D2B">
        <w:rPr>
          <w:rFonts w:ascii="Arial Narrow" w:hAnsi="Arial Narrow"/>
          <w:sz w:val="22"/>
          <w:szCs w:val="22"/>
        </w:rPr>
        <w:t>rôznymi výdavkami.</w:t>
      </w:r>
    </w:p>
    <w:p w:rsidR="002B04C7" w:rsidRPr="00676D2B" w:rsidRDefault="002B04C7" w:rsidP="00C75DCB">
      <w:pPr>
        <w:jc w:val="both"/>
        <w:rPr>
          <w:rFonts w:ascii="Arial Narrow" w:hAnsi="Arial Narrow" w:cs="Arial"/>
          <w:b/>
          <w:sz w:val="22"/>
          <w:szCs w:val="22"/>
        </w:rPr>
      </w:pPr>
    </w:p>
    <w:p w:rsidR="00C75DCB" w:rsidRPr="00676D2B" w:rsidRDefault="00C75DCB" w:rsidP="005D117D">
      <w:pPr>
        <w:jc w:val="both"/>
        <w:rPr>
          <w:rFonts w:ascii="Arial Narrow" w:hAnsi="Arial Narrow" w:cs="Arial"/>
          <w:sz w:val="22"/>
          <w:szCs w:val="22"/>
        </w:rPr>
      </w:pPr>
      <w:r w:rsidRPr="00676D2B">
        <w:rPr>
          <w:rFonts w:ascii="Arial Narrow" w:hAnsi="Arial Narrow" w:cs="Arial"/>
          <w:b/>
          <w:sz w:val="22"/>
          <w:szCs w:val="22"/>
        </w:rPr>
        <w:t>Výdavky na sociálne dávky (</w:t>
      </w:r>
      <w:r w:rsidRPr="009D7200">
        <w:rPr>
          <w:rFonts w:ascii="Arial Narrow" w:hAnsi="Arial Narrow" w:cs="Arial"/>
          <w:b/>
          <w:sz w:val="22"/>
          <w:szCs w:val="22"/>
        </w:rPr>
        <w:t>hrubé)</w:t>
      </w:r>
      <w:r w:rsidRPr="00676D2B">
        <w:rPr>
          <w:rFonts w:ascii="Arial Narrow" w:hAnsi="Arial Narrow" w:cs="Arial"/>
          <w:sz w:val="22"/>
          <w:szCs w:val="22"/>
        </w:rPr>
        <w:t xml:space="preserve"> sú zapísané bez odčítania daní alebo iných povinných poplatkov platených poberateľom (napr. sociálne príspevky). Fiškálne dávky (redukcia dane zo sociálnych dôvodov poskytnutá domácnostiam) sú vo všeobecnosti vylúčené. Sociálne dávky </w:t>
      </w:r>
      <w:r w:rsidR="00C95A8F" w:rsidRPr="00676D2B">
        <w:rPr>
          <w:rFonts w:ascii="Arial Narrow" w:hAnsi="Arial Narrow" w:cs="Arial"/>
          <w:sz w:val="22"/>
          <w:szCs w:val="22"/>
        </w:rPr>
        <w:t>sa členia</w:t>
      </w:r>
      <w:r w:rsidRPr="00676D2B">
        <w:rPr>
          <w:rFonts w:ascii="Arial Narrow" w:hAnsi="Arial Narrow" w:cs="Arial"/>
          <w:sz w:val="22"/>
          <w:szCs w:val="22"/>
        </w:rPr>
        <w:t xml:space="preserve"> na dávky vyplácané bez zisťovania a so zisťovaním príjmu, resp. majetku  poberateľa.</w:t>
      </w:r>
    </w:p>
    <w:p w:rsidR="00C75DCB" w:rsidRPr="00676D2B" w:rsidRDefault="00C75DCB" w:rsidP="00C75DCB">
      <w:pPr>
        <w:jc w:val="both"/>
        <w:rPr>
          <w:rFonts w:ascii="Arial Narrow" w:hAnsi="Arial Narrow" w:cs="Arial"/>
          <w:sz w:val="22"/>
          <w:szCs w:val="22"/>
        </w:rPr>
      </w:pPr>
    </w:p>
    <w:p w:rsidR="00C75DCB" w:rsidRPr="00676D2B" w:rsidRDefault="00C75DCB" w:rsidP="005D117D">
      <w:pPr>
        <w:jc w:val="both"/>
        <w:rPr>
          <w:rFonts w:ascii="Arial Narrow" w:hAnsi="Arial Narrow" w:cs="Arial"/>
          <w:sz w:val="22"/>
          <w:szCs w:val="22"/>
        </w:rPr>
      </w:pPr>
      <w:r w:rsidRPr="00676D2B">
        <w:rPr>
          <w:rFonts w:ascii="Arial Narrow" w:hAnsi="Arial Narrow" w:cs="Arial"/>
          <w:b/>
          <w:bCs/>
          <w:sz w:val="22"/>
          <w:szCs w:val="22"/>
        </w:rPr>
        <w:t>Peňažná dávka</w:t>
      </w:r>
      <w:r w:rsidRPr="00676D2B">
        <w:rPr>
          <w:rFonts w:ascii="Arial Narrow" w:hAnsi="Arial Narrow" w:cs="Arial"/>
          <w:sz w:val="22"/>
          <w:szCs w:val="22"/>
        </w:rPr>
        <w:t xml:space="preserve"> je dávka (pravidelná alebo jednorazová), ktorá je vyplácaná peňažne a nepožaduje vyúčtovanie skutočných výdavkov poberateľa. Príklady peňažných dávok: všetky </w:t>
      </w:r>
      <w:r w:rsidR="00D731CC" w:rsidRPr="00676D2B">
        <w:rPr>
          <w:rFonts w:ascii="Arial Narrow" w:hAnsi="Arial Narrow" w:cs="Arial"/>
          <w:sz w:val="22"/>
          <w:szCs w:val="22"/>
        </w:rPr>
        <w:t>druhy</w:t>
      </w:r>
      <w:r w:rsidRPr="00676D2B">
        <w:rPr>
          <w:rFonts w:ascii="Arial Narrow" w:hAnsi="Arial Narrow" w:cs="Arial"/>
          <w:sz w:val="22"/>
          <w:szCs w:val="22"/>
        </w:rPr>
        <w:t xml:space="preserve"> dôchodkov, nemocenská, rodinné prídavky, dávky v nezamestnanosti, podpora v nezamestnanosti a peňažná dávka sociálnej pomoci (napr. dávky v hmotnej núdzi).</w:t>
      </w:r>
    </w:p>
    <w:p w:rsidR="00C75DCB" w:rsidRPr="00676D2B" w:rsidRDefault="00C75DCB" w:rsidP="00C75DCB">
      <w:pPr>
        <w:jc w:val="both"/>
        <w:rPr>
          <w:rFonts w:ascii="Arial Narrow" w:hAnsi="Arial Narrow" w:cs="Arial"/>
          <w:sz w:val="22"/>
          <w:szCs w:val="22"/>
        </w:rPr>
      </w:pPr>
    </w:p>
    <w:p w:rsidR="00C75DCB" w:rsidRPr="00676D2B" w:rsidRDefault="00C75DCB" w:rsidP="005D117D">
      <w:pPr>
        <w:jc w:val="both"/>
        <w:rPr>
          <w:rFonts w:ascii="Arial Narrow" w:hAnsi="Arial Narrow" w:cs="Arial"/>
          <w:bCs/>
          <w:sz w:val="22"/>
          <w:szCs w:val="22"/>
        </w:rPr>
      </w:pPr>
      <w:r w:rsidRPr="00676D2B">
        <w:rPr>
          <w:rFonts w:ascii="Arial Narrow" w:hAnsi="Arial Narrow" w:cs="Arial"/>
          <w:b/>
          <w:sz w:val="22"/>
          <w:szCs w:val="22"/>
        </w:rPr>
        <w:t>Vecné dávky</w:t>
      </w:r>
      <w:r w:rsidRPr="00676D2B">
        <w:rPr>
          <w:rFonts w:ascii="Arial Narrow" w:hAnsi="Arial Narrow" w:cs="Arial"/>
          <w:sz w:val="22"/>
          <w:szCs w:val="22"/>
        </w:rPr>
        <w:t xml:space="preserve"> sú poskytované vo forme tovarov alebo služieb. </w:t>
      </w:r>
      <w:r w:rsidRPr="00676D2B">
        <w:rPr>
          <w:rFonts w:ascii="Arial Narrow" w:hAnsi="Arial Narrow" w:cs="Arial"/>
          <w:bCs/>
          <w:sz w:val="22"/>
          <w:szCs w:val="22"/>
        </w:rPr>
        <w:t>Poskytujú sa ako náhrada alebo priamo. Náhrady sú platby, ktoré  refundujú prijímateľovi časť alebo celé preukázané výdavky na špecifické tovary a služby. Priamo poskytnuté dávky sú tovary a  služby poskytnuté bez spoluúčasti na financovaní poberateľom. Príklady vecných sociálnych dávok sú nemocničná a ambulantná starostlivosť, liečivá na recepty, náklady na pohreb, starostlivosť o deti, domáca starostlivosť, sociálne služby s  ubytovaním, rekvalifikácia a príspevok na bývanie.</w:t>
      </w:r>
      <w:r w:rsidR="004F5491" w:rsidRPr="00676D2B">
        <w:rPr>
          <w:rFonts w:ascii="Arial Narrow" w:hAnsi="Arial Narrow" w:cs="Arial"/>
          <w:bCs/>
          <w:sz w:val="22"/>
          <w:szCs w:val="22"/>
        </w:rPr>
        <w:t xml:space="preserve"> </w:t>
      </w:r>
      <w:r w:rsidR="00A03E3E" w:rsidRPr="00676D2B">
        <w:rPr>
          <w:rFonts w:ascii="Arial Narrow" w:hAnsi="Arial Narrow" w:cs="Arial"/>
          <w:bCs/>
          <w:sz w:val="22"/>
          <w:szCs w:val="22"/>
        </w:rPr>
        <w:t>Medzi vecné dávky sú začlenené aj refundované dávky (preplatené po preukázaní dokladu o zaplatení).</w:t>
      </w:r>
    </w:p>
    <w:p w:rsidR="00C75DCB" w:rsidRPr="00676D2B" w:rsidRDefault="00C75DCB" w:rsidP="00C75DCB">
      <w:pPr>
        <w:jc w:val="both"/>
        <w:rPr>
          <w:rFonts w:ascii="Arial Narrow" w:hAnsi="Arial Narrow" w:cs="Arial"/>
          <w:color w:val="C45911" w:themeColor="accent2" w:themeShade="BF"/>
          <w:sz w:val="22"/>
          <w:szCs w:val="22"/>
        </w:rPr>
      </w:pPr>
    </w:p>
    <w:p w:rsidR="00FD258B" w:rsidRPr="00676D2B" w:rsidRDefault="00FD258B" w:rsidP="005D117D">
      <w:pPr>
        <w:jc w:val="both"/>
        <w:rPr>
          <w:rFonts w:ascii="Arial Narrow" w:hAnsi="Arial Narrow"/>
          <w:sz w:val="22"/>
          <w:szCs w:val="22"/>
        </w:rPr>
      </w:pPr>
      <w:r w:rsidRPr="00676D2B">
        <w:rPr>
          <w:rFonts w:ascii="Arial Narrow" w:hAnsi="Arial Narrow"/>
          <w:b/>
          <w:sz w:val="22"/>
          <w:szCs w:val="22"/>
        </w:rPr>
        <w:t>Administratívne náklady</w:t>
      </w:r>
      <w:r w:rsidRPr="00676D2B">
        <w:rPr>
          <w:rFonts w:ascii="Arial Narrow" w:hAnsi="Arial Narrow"/>
          <w:sz w:val="22"/>
          <w:szCs w:val="22"/>
        </w:rPr>
        <w:t xml:space="preserve"> predstavujú náklady zaúčtované do programov za manažment a administratívu.</w:t>
      </w:r>
    </w:p>
    <w:p w:rsidR="00FD258B" w:rsidRPr="00676D2B" w:rsidRDefault="00FD258B" w:rsidP="00FD258B">
      <w:pPr>
        <w:jc w:val="both"/>
        <w:rPr>
          <w:rFonts w:ascii="Arial Narrow" w:hAnsi="Arial Narrow"/>
          <w:sz w:val="22"/>
          <w:szCs w:val="22"/>
        </w:rPr>
      </w:pPr>
    </w:p>
    <w:p w:rsidR="00FD258B" w:rsidRPr="00676D2B" w:rsidRDefault="00FD258B" w:rsidP="005D117D">
      <w:pPr>
        <w:jc w:val="both"/>
        <w:rPr>
          <w:rFonts w:ascii="Arial Narrow" w:hAnsi="Arial Narrow"/>
          <w:sz w:val="22"/>
          <w:szCs w:val="22"/>
          <w:u w:val="single"/>
        </w:rPr>
      </w:pPr>
      <w:r w:rsidRPr="00676D2B">
        <w:rPr>
          <w:rFonts w:ascii="Arial Narrow" w:hAnsi="Arial Narrow"/>
          <w:b/>
          <w:sz w:val="22"/>
          <w:szCs w:val="22"/>
        </w:rPr>
        <w:t>Tr</w:t>
      </w:r>
      <w:r w:rsidR="007A3037" w:rsidRPr="00676D2B">
        <w:rPr>
          <w:rFonts w:ascii="Arial Narrow" w:hAnsi="Arial Narrow"/>
          <w:b/>
          <w:sz w:val="22"/>
          <w:szCs w:val="22"/>
        </w:rPr>
        <w:t>a</w:t>
      </w:r>
      <w:r w:rsidRPr="00676D2B">
        <w:rPr>
          <w:rFonts w:ascii="Arial Narrow" w:hAnsi="Arial Narrow"/>
          <w:b/>
          <w:sz w:val="22"/>
          <w:szCs w:val="22"/>
        </w:rPr>
        <w:t xml:space="preserve">nsfery do iných programov </w:t>
      </w:r>
      <w:r w:rsidRPr="00676D2B">
        <w:rPr>
          <w:rFonts w:ascii="Arial Narrow" w:hAnsi="Arial Narrow"/>
          <w:sz w:val="22"/>
          <w:szCs w:val="22"/>
        </w:rPr>
        <w:t>(toky finančných prostriedkov medzi programami vo vnútri systému sociálnej ochrany)</w:t>
      </w:r>
      <w:r w:rsidRPr="00676D2B">
        <w:rPr>
          <w:rFonts w:ascii="Arial Narrow" w:hAnsi="Arial Narrow"/>
          <w:b/>
          <w:sz w:val="22"/>
          <w:szCs w:val="22"/>
        </w:rPr>
        <w:t xml:space="preserve"> </w:t>
      </w:r>
      <w:r w:rsidRPr="00676D2B">
        <w:rPr>
          <w:rFonts w:ascii="Arial Narrow" w:hAnsi="Arial Narrow"/>
          <w:sz w:val="22"/>
          <w:szCs w:val="22"/>
        </w:rPr>
        <w:t xml:space="preserve">sú členené </w:t>
      </w:r>
      <w:r w:rsidR="000414EC" w:rsidRPr="00676D2B">
        <w:rPr>
          <w:rFonts w:ascii="Arial Narrow" w:hAnsi="Arial Narrow"/>
          <w:sz w:val="22"/>
          <w:szCs w:val="22"/>
        </w:rPr>
        <w:t xml:space="preserve">na </w:t>
      </w:r>
      <w:r w:rsidR="002B04C7" w:rsidRPr="00676D2B">
        <w:rPr>
          <w:rFonts w:ascii="Arial Narrow" w:hAnsi="Arial Narrow"/>
          <w:sz w:val="22"/>
          <w:szCs w:val="22"/>
        </w:rPr>
        <w:t xml:space="preserve">dve kategórie: </w:t>
      </w:r>
      <w:r w:rsidRPr="00676D2B">
        <w:rPr>
          <w:rFonts w:ascii="Arial Narrow" w:hAnsi="Arial Narrow"/>
          <w:sz w:val="22"/>
          <w:szCs w:val="22"/>
        </w:rPr>
        <w:t>presmerované sociálne príspevky prerozdelené do iných programov a iné transfery do iných programov (napr. finančná výpomoc z jedného programu za účelom zníženia deficitu iného programu</w:t>
      </w:r>
      <w:r w:rsidR="00A672D1" w:rsidRPr="00676D2B">
        <w:rPr>
          <w:rFonts w:ascii="Arial Narrow" w:hAnsi="Arial Narrow"/>
          <w:sz w:val="22"/>
          <w:szCs w:val="22"/>
        </w:rPr>
        <w:t>)</w:t>
      </w:r>
      <w:r w:rsidRPr="00676D2B">
        <w:rPr>
          <w:rFonts w:ascii="Arial Narrow" w:hAnsi="Arial Narrow"/>
          <w:sz w:val="22"/>
          <w:szCs w:val="22"/>
        </w:rPr>
        <w:t>.         </w:t>
      </w:r>
      <w:r w:rsidRPr="00676D2B">
        <w:rPr>
          <w:rFonts w:ascii="Arial Narrow" w:hAnsi="Arial Narrow"/>
          <w:sz w:val="22"/>
          <w:szCs w:val="22"/>
          <w:u w:val="single"/>
        </w:rPr>
        <w:t xml:space="preserve"> </w:t>
      </w:r>
    </w:p>
    <w:p w:rsidR="00526DCC" w:rsidRPr="00676D2B" w:rsidRDefault="00526DCC" w:rsidP="00FD258B">
      <w:pPr>
        <w:jc w:val="both"/>
        <w:rPr>
          <w:rFonts w:ascii="Arial Narrow" w:hAnsi="Arial Narrow"/>
          <w:sz w:val="22"/>
          <w:szCs w:val="22"/>
        </w:rPr>
      </w:pPr>
    </w:p>
    <w:p w:rsidR="002B04C7" w:rsidRPr="00676D2B" w:rsidRDefault="002B04C7" w:rsidP="005D117D">
      <w:pPr>
        <w:jc w:val="both"/>
        <w:rPr>
          <w:rFonts w:ascii="Arial Narrow" w:hAnsi="Arial Narrow"/>
          <w:sz w:val="22"/>
          <w:szCs w:val="22"/>
        </w:rPr>
      </w:pPr>
      <w:r w:rsidRPr="00676D2B">
        <w:rPr>
          <w:rFonts w:ascii="Arial Narrow" w:hAnsi="Arial Narrow"/>
          <w:b/>
          <w:sz w:val="22"/>
          <w:szCs w:val="22"/>
        </w:rPr>
        <w:t>Ostatné výdavky</w:t>
      </w:r>
      <w:r w:rsidRPr="00676D2B">
        <w:rPr>
          <w:rFonts w:ascii="Arial Narrow" w:hAnsi="Arial Narrow"/>
          <w:sz w:val="22"/>
          <w:szCs w:val="22"/>
        </w:rPr>
        <w:t xml:space="preserve"> znamenajú rôzne výdavky programov sociálnej ochrany. Tieto sa delia na platby vlastníckeho dôchodku a ostatné výdavky.</w:t>
      </w:r>
    </w:p>
    <w:p w:rsidR="002B04C7" w:rsidRPr="00676D2B" w:rsidRDefault="002B04C7" w:rsidP="002B04C7">
      <w:pPr>
        <w:jc w:val="both"/>
        <w:rPr>
          <w:rFonts w:ascii="Arial Narrow" w:hAnsi="Arial Narrow"/>
          <w:sz w:val="22"/>
          <w:szCs w:val="22"/>
        </w:rPr>
      </w:pPr>
    </w:p>
    <w:p w:rsidR="00240206" w:rsidRPr="00676D2B" w:rsidRDefault="00240206" w:rsidP="004F5491">
      <w:pPr>
        <w:ind w:firstLine="708"/>
        <w:jc w:val="both"/>
        <w:rPr>
          <w:rFonts w:ascii="Arial Narrow" w:hAnsi="Arial Narrow" w:cs="Arial"/>
          <w:sz w:val="22"/>
          <w:szCs w:val="22"/>
        </w:rPr>
      </w:pPr>
      <w:r w:rsidRPr="00676D2B">
        <w:rPr>
          <w:rFonts w:ascii="Arial Narrow" w:hAnsi="Arial Narrow" w:cs="Arial"/>
          <w:sz w:val="22"/>
          <w:szCs w:val="22"/>
        </w:rPr>
        <w:lastRenderedPageBreak/>
        <w:t>Celkové hrubé výdavky (bez odpočítania daní a sociálnych príspevkov platených poberateľmi dávok) na sociálnu ochranu</w:t>
      </w:r>
      <w:r w:rsidR="00DB62EC" w:rsidRPr="00676D2B">
        <w:rPr>
          <w:rFonts w:ascii="Arial Narrow" w:hAnsi="Arial Narrow" w:cs="Arial"/>
          <w:sz w:val="22"/>
          <w:szCs w:val="22"/>
        </w:rPr>
        <w:t xml:space="preserve"> </w:t>
      </w:r>
      <w:r w:rsidRPr="00676D2B">
        <w:rPr>
          <w:rFonts w:ascii="Arial Narrow" w:hAnsi="Arial Narrow" w:cs="Arial"/>
          <w:sz w:val="22"/>
          <w:szCs w:val="22"/>
        </w:rPr>
        <w:t>v roku 201</w:t>
      </w:r>
      <w:r w:rsidR="00A42F0C" w:rsidRPr="00676D2B">
        <w:rPr>
          <w:rFonts w:ascii="Arial Narrow" w:hAnsi="Arial Narrow" w:cs="Arial"/>
          <w:sz w:val="22"/>
          <w:szCs w:val="22"/>
        </w:rPr>
        <w:t>9</w:t>
      </w:r>
      <w:r w:rsidRPr="00676D2B">
        <w:rPr>
          <w:rFonts w:ascii="Arial Narrow" w:hAnsi="Arial Narrow" w:cs="Arial"/>
          <w:sz w:val="22"/>
          <w:szCs w:val="22"/>
        </w:rPr>
        <w:t xml:space="preserve"> vzrástli medziročne o</w:t>
      </w:r>
      <w:r w:rsidR="00F46505" w:rsidRPr="00676D2B">
        <w:rPr>
          <w:rFonts w:ascii="Arial Narrow" w:hAnsi="Arial Narrow" w:cs="Arial"/>
          <w:sz w:val="22"/>
          <w:szCs w:val="22"/>
        </w:rPr>
        <w:t> </w:t>
      </w:r>
      <w:r w:rsidR="00A42F0C" w:rsidRPr="00676D2B">
        <w:rPr>
          <w:rFonts w:ascii="Arial Narrow" w:hAnsi="Arial Narrow" w:cs="Arial"/>
          <w:sz w:val="22"/>
          <w:szCs w:val="22"/>
        </w:rPr>
        <w:t>4</w:t>
      </w:r>
      <w:r w:rsidR="00F46505" w:rsidRPr="00676D2B">
        <w:rPr>
          <w:rFonts w:ascii="Arial Narrow" w:hAnsi="Arial Narrow" w:cs="Arial"/>
          <w:sz w:val="22"/>
          <w:szCs w:val="22"/>
        </w:rPr>
        <w:t>,</w:t>
      </w:r>
      <w:r w:rsidR="00A42F0C" w:rsidRPr="00676D2B">
        <w:rPr>
          <w:rFonts w:ascii="Arial Narrow" w:hAnsi="Arial Narrow" w:cs="Arial"/>
          <w:sz w:val="22"/>
          <w:szCs w:val="22"/>
        </w:rPr>
        <w:t>7</w:t>
      </w:r>
      <w:r w:rsidRPr="00676D2B">
        <w:rPr>
          <w:rFonts w:ascii="Arial Narrow" w:hAnsi="Arial Narrow" w:cs="Arial"/>
          <w:sz w:val="22"/>
          <w:szCs w:val="22"/>
        </w:rPr>
        <w:t xml:space="preserve"> % a dosiahli 1</w:t>
      </w:r>
      <w:r w:rsidR="00A42F0C" w:rsidRPr="00676D2B">
        <w:rPr>
          <w:rFonts w:ascii="Arial Narrow" w:hAnsi="Arial Narrow" w:cs="Arial"/>
          <w:sz w:val="22"/>
          <w:szCs w:val="22"/>
        </w:rPr>
        <w:t>6</w:t>
      </w:r>
      <w:r w:rsidR="00F46505" w:rsidRPr="00676D2B">
        <w:rPr>
          <w:rFonts w:ascii="Arial Narrow" w:hAnsi="Arial Narrow" w:cs="Arial"/>
          <w:sz w:val="22"/>
          <w:szCs w:val="22"/>
        </w:rPr>
        <w:t> </w:t>
      </w:r>
      <w:r w:rsidR="00A42F0C" w:rsidRPr="00676D2B">
        <w:rPr>
          <w:rFonts w:ascii="Arial Narrow" w:hAnsi="Arial Narrow" w:cs="Arial"/>
          <w:sz w:val="22"/>
          <w:szCs w:val="22"/>
        </w:rPr>
        <w:t>84</w:t>
      </w:r>
      <w:r w:rsidR="00F46505" w:rsidRPr="00676D2B">
        <w:rPr>
          <w:rFonts w:ascii="Arial Narrow" w:hAnsi="Arial Narrow" w:cs="Arial"/>
          <w:sz w:val="22"/>
          <w:szCs w:val="22"/>
        </w:rPr>
        <w:t>3,</w:t>
      </w:r>
      <w:r w:rsidR="00A42F0C" w:rsidRPr="00676D2B">
        <w:rPr>
          <w:rFonts w:ascii="Arial Narrow" w:hAnsi="Arial Narrow" w:cs="Arial"/>
          <w:sz w:val="22"/>
          <w:szCs w:val="22"/>
        </w:rPr>
        <w:t>4</w:t>
      </w:r>
      <w:r w:rsidRPr="00676D2B">
        <w:rPr>
          <w:rFonts w:ascii="Arial Narrow" w:hAnsi="Arial Narrow" w:cs="Arial"/>
          <w:sz w:val="22"/>
          <w:szCs w:val="22"/>
        </w:rPr>
        <w:t xml:space="preserve"> mil. eur (1</w:t>
      </w:r>
      <w:r w:rsidR="00A42F0C" w:rsidRPr="00676D2B">
        <w:rPr>
          <w:rFonts w:ascii="Arial Narrow" w:hAnsi="Arial Narrow" w:cs="Arial"/>
          <w:sz w:val="22"/>
          <w:szCs w:val="22"/>
        </w:rPr>
        <w:t>7</w:t>
      </w:r>
      <w:r w:rsidRPr="00676D2B">
        <w:rPr>
          <w:rFonts w:ascii="Arial Narrow" w:hAnsi="Arial Narrow" w:cs="Arial"/>
          <w:sz w:val="22"/>
          <w:szCs w:val="22"/>
        </w:rPr>
        <w:t>,</w:t>
      </w:r>
      <w:r w:rsidR="00A42F0C" w:rsidRPr="00676D2B">
        <w:rPr>
          <w:rFonts w:ascii="Arial Narrow" w:hAnsi="Arial Narrow" w:cs="Arial"/>
          <w:sz w:val="22"/>
          <w:szCs w:val="22"/>
        </w:rPr>
        <w:t>9</w:t>
      </w:r>
      <w:r w:rsidRPr="00676D2B">
        <w:rPr>
          <w:rFonts w:ascii="Arial Narrow" w:hAnsi="Arial Narrow" w:cs="Arial"/>
          <w:sz w:val="22"/>
          <w:szCs w:val="22"/>
        </w:rPr>
        <w:t xml:space="preserve"> % z</w:t>
      </w:r>
      <w:r w:rsidR="00F94A68" w:rsidRPr="00676D2B">
        <w:rPr>
          <w:rFonts w:ascii="Arial Narrow" w:hAnsi="Arial Narrow" w:cs="Arial"/>
          <w:sz w:val="22"/>
          <w:szCs w:val="22"/>
        </w:rPr>
        <w:t> </w:t>
      </w:r>
      <w:r w:rsidRPr="00676D2B">
        <w:rPr>
          <w:rFonts w:ascii="Arial Narrow" w:hAnsi="Arial Narrow" w:cs="Arial"/>
          <w:sz w:val="22"/>
          <w:szCs w:val="22"/>
        </w:rPr>
        <w:t>HDP</w:t>
      </w:r>
      <w:r w:rsidR="00F94A68" w:rsidRPr="00676D2B">
        <w:rPr>
          <w:rFonts w:ascii="Arial Narrow" w:hAnsi="Arial Narrow" w:cs="Arial"/>
          <w:sz w:val="22"/>
          <w:szCs w:val="22"/>
        </w:rPr>
        <w:t>, 1</w:t>
      </w:r>
      <w:r w:rsidR="00A42F0C" w:rsidRPr="00676D2B">
        <w:rPr>
          <w:rFonts w:ascii="Arial Narrow" w:hAnsi="Arial Narrow" w:cs="Arial"/>
          <w:sz w:val="22"/>
          <w:szCs w:val="22"/>
        </w:rPr>
        <w:t>4</w:t>
      </w:r>
      <w:r w:rsidR="00152DA1" w:rsidRPr="00676D2B">
        <w:rPr>
          <w:rFonts w:ascii="Arial Narrow" w:hAnsi="Arial Narrow" w:cs="Arial"/>
          <w:sz w:val="22"/>
          <w:szCs w:val="22"/>
        </w:rPr>
        <w:t> </w:t>
      </w:r>
      <w:r w:rsidR="00A42F0C" w:rsidRPr="00676D2B">
        <w:rPr>
          <w:rFonts w:ascii="Arial Narrow" w:hAnsi="Arial Narrow" w:cs="Arial"/>
          <w:sz w:val="22"/>
          <w:szCs w:val="22"/>
        </w:rPr>
        <w:t>5</w:t>
      </w:r>
      <w:r w:rsidR="00152DA1" w:rsidRPr="00676D2B">
        <w:rPr>
          <w:rFonts w:ascii="Arial Narrow" w:hAnsi="Arial Narrow" w:cs="Arial"/>
          <w:sz w:val="22"/>
          <w:szCs w:val="22"/>
        </w:rPr>
        <w:t>3</w:t>
      </w:r>
      <w:r w:rsidR="00A42F0C" w:rsidRPr="00676D2B">
        <w:rPr>
          <w:rFonts w:ascii="Arial Narrow" w:hAnsi="Arial Narrow" w:cs="Arial"/>
          <w:sz w:val="22"/>
          <w:szCs w:val="22"/>
        </w:rPr>
        <w:t>9</w:t>
      </w:r>
      <w:r w:rsidR="00152DA1" w:rsidRPr="00676D2B">
        <w:rPr>
          <w:rFonts w:ascii="Arial Narrow" w:hAnsi="Arial Narrow" w:cs="Arial"/>
          <w:sz w:val="22"/>
          <w:szCs w:val="22"/>
        </w:rPr>
        <w:t>,</w:t>
      </w:r>
      <w:r w:rsidR="00A42F0C" w:rsidRPr="00676D2B">
        <w:rPr>
          <w:rFonts w:ascii="Arial Narrow" w:hAnsi="Arial Narrow" w:cs="Arial"/>
          <w:sz w:val="22"/>
          <w:szCs w:val="22"/>
        </w:rPr>
        <w:t>2</w:t>
      </w:r>
      <w:r w:rsidR="00F94A68" w:rsidRPr="00676D2B">
        <w:rPr>
          <w:rFonts w:ascii="Arial Narrow" w:hAnsi="Arial Narrow" w:cs="Arial"/>
          <w:sz w:val="22"/>
          <w:szCs w:val="22"/>
        </w:rPr>
        <w:t xml:space="preserve"> </w:t>
      </w:r>
      <w:r w:rsidR="00152DA1" w:rsidRPr="00676D2B">
        <w:rPr>
          <w:rFonts w:ascii="Arial Narrow" w:hAnsi="Arial Narrow" w:cs="Arial"/>
          <w:sz w:val="22"/>
          <w:szCs w:val="22"/>
        </w:rPr>
        <w:t xml:space="preserve">mil. </w:t>
      </w:r>
      <w:r w:rsidR="00F94A68" w:rsidRPr="00676D2B">
        <w:rPr>
          <w:rFonts w:ascii="Arial Narrow" w:hAnsi="Arial Narrow" w:cs="Arial"/>
          <w:sz w:val="22"/>
          <w:szCs w:val="22"/>
        </w:rPr>
        <w:t>eur v</w:t>
      </w:r>
      <w:r w:rsidR="0098008C" w:rsidRPr="00676D2B">
        <w:rPr>
          <w:rFonts w:ascii="Arial Narrow" w:hAnsi="Arial Narrow" w:cs="Arial"/>
          <w:sz w:val="22"/>
          <w:szCs w:val="22"/>
        </w:rPr>
        <w:t> </w:t>
      </w:r>
      <w:r w:rsidR="008A27F1" w:rsidRPr="00676D2B">
        <w:rPr>
          <w:rFonts w:ascii="Arial Narrow" w:hAnsi="Arial Narrow" w:cs="Arial"/>
          <w:sz w:val="22"/>
          <w:szCs w:val="22"/>
        </w:rPr>
        <w:t>s</w:t>
      </w:r>
      <w:r w:rsidR="0098008C" w:rsidRPr="00676D2B">
        <w:rPr>
          <w:rFonts w:ascii="Arial Narrow" w:hAnsi="Arial Narrow" w:cs="Arial"/>
          <w:sz w:val="22"/>
          <w:szCs w:val="22"/>
        </w:rPr>
        <w:t xml:space="preserve">. </w:t>
      </w:r>
      <w:r w:rsidR="008A27F1" w:rsidRPr="00676D2B">
        <w:rPr>
          <w:rFonts w:ascii="Arial Narrow" w:hAnsi="Arial Narrow" w:cs="Arial"/>
          <w:sz w:val="22"/>
          <w:szCs w:val="22"/>
        </w:rPr>
        <w:t>c.</w:t>
      </w:r>
      <w:r w:rsidR="00F94A68" w:rsidRPr="00676D2B">
        <w:rPr>
          <w:rFonts w:ascii="Arial Narrow" w:hAnsi="Arial Narrow" w:cs="Arial"/>
          <w:sz w:val="22"/>
          <w:szCs w:val="22"/>
        </w:rPr>
        <w:t xml:space="preserve"> 2010 a </w:t>
      </w:r>
      <w:r w:rsidR="00A42F0C" w:rsidRPr="00676D2B">
        <w:rPr>
          <w:rFonts w:ascii="Arial Narrow" w:hAnsi="Arial Narrow" w:cs="Arial"/>
          <w:sz w:val="22"/>
          <w:szCs w:val="22"/>
        </w:rPr>
        <w:t>3</w:t>
      </w:r>
      <w:r w:rsidR="00F94A68" w:rsidRPr="00676D2B">
        <w:rPr>
          <w:rFonts w:ascii="Arial Narrow" w:hAnsi="Arial Narrow" w:cs="Arial"/>
          <w:sz w:val="22"/>
          <w:szCs w:val="22"/>
        </w:rPr>
        <w:t> </w:t>
      </w:r>
      <w:r w:rsidR="000B34E1" w:rsidRPr="00676D2B">
        <w:rPr>
          <w:rFonts w:ascii="Arial Narrow" w:hAnsi="Arial Narrow" w:cs="Arial"/>
          <w:sz w:val="22"/>
          <w:szCs w:val="22"/>
        </w:rPr>
        <w:t>0</w:t>
      </w:r>
      <w:r w:rsidR="00A42F0C" w:rsidRPr="00676D2B">
        <w:rPr>
          <w:rFonts w:ascii="Arial Narrow" w:hAnsi="Arial Narrow" w:cs="Arial"/>
          <w:sz w:val="22"/>
          <w:szCs w:val="22"/>
        </w:rPr>
        <w:t>88</w:t>
      </w:r>
      <w:r w:rsidR="00F94A68" w:rsidRPr="00676D2B">
        <w:rPr>
          <w:rFonts w:ascii="Arial Narrow" w:hAnsi="Arial Narrow" w:cs="Arial"/>
          <w:sz w:val="22"/>
          <w:szCs w:val="22"/>
        </w:rPr>
        <w:t>,</w:t>
      </w:r>
      <w:r w:rsidR="00A42F0C" w:rsidRPr="00676D2B">
        <w:rPr>
          <w:rFonts w:ascii="Arial Narrow" w:hAnsi="Arial Narrow" w:cs="Arial"/>
          <w:sz w:val="22"/>
          <w:szCs w:val="22"/>
        </w:rPr>
        <w:t>2</w:t>
      </w:r>
      <w:r w:rsidR="00F94A68" w:rsidRPr="00676D2B">
        <w:rPr>
          <w:rFonts w:ascii="Arial Narrow" w:hAnsi="Arial Narrow" w:cs="Arial"/>
          <w:sz w:val="22"/>
          <w:szCs w:val="22"/>
        </w:rPr>
        <w:t xml:space="preserve"> eur na obyvateľa</w:t>
      </w:r>
      <w:r w:rsidRPr="00676D2B">
        <w:rPr>
          <w:rFonts w:ascii="Arial Narrow" w:hAnsi="Arial Narrow" w:cs="Arial"/>
          <w:sz w:val="22"/>
          <w:szCs w:val="22"/>
        </w:rPr>
        <w:t>)</w:t>
      </w:r>
      <w:r w:rsidR="00F94A68" w:rsidRPr="00676D2B">
        <w:rPr>
          <w:rFonts w:ascii="Arial Narrow" w:hAnsi="Arial Narrow" w:cs="Arial"/>
          <w:sz w:val="22"/>
          <w:szCs w:val="22"/>
        </w:rPr>
        <w:t>.</w:t>
      </w:r>
      <w:r w:rsidR="009374FB" w:rsidRPr="00676D2B">
        <w:rPr>
          <w:rFonts w:ascii="Arial Narrow" w:hAnsi="Arial Narrow" w:cs="Arial"/>
          <w:sz w:val="22"/>
          <w:szCs w:val="22"/>
        </w:rPr>
        <w:t xml:space="preserve"> </w:t>
      </w:r>
      <w:r w:rsidRPr="00676D2B">
        <w:rPr>
          <w:rFonts w:ascii="Arial Narrow" w:hAnsi="Arial Narrow" w:cs="Arial"/>
          <w:sz w:val="22"/>
          <w:szCs w:val="22"/>
        </w:rPr>
        <w:t xml:space="preserve">  </w:t>
      </w:r>
    </w:p>
    <w:p w:rsidR="007357CF" w:rsidRPr="00676D2B" w:rsidRDefault="007357CF" w:rsidP="00C901F4">
      <w:pPr>
        <w:jc w:val="both"/>
        <w:rPr>
          <w:rFonts w:ascii="Arial Narrow" w:hAnsi="Arial Narrow" w:cs="Arial"/>
          <w:sz w:val="22"/>
          <w:szCs w:val="22"/>
        </w:rPr>
      </w:pPr>
    </w:p>
    <w:p w:rsidR="00240206" w:rsidRPr="00676D2B" w:rsidRDefault="00240206" w:rsidP="00621354">
      <w:pPr>
        <w:ind w:firstLine="708"/>
        <w:jc w:val="both"/>
        <w:rPr>
          <w:rFonts w:ascii="Arial Narrow" w:hAnsi="Arial Narrow" w:cs="Arial"/>
          <w:sz w:val="22"/>
          <w:szCs w:val="22"/>
        </w:rPr>
      </w:pPr>
      <w:r w:rsidRPr="00676D2B">
        <w:rPr>
          <w:rFonts w:ascii="Arial Narrow" w:hAnsi="Arial Narrow" w:cs="Arial"/>
          <w:sz w:val="22"/>
          <w:szCs w:val="22"/>
        </w:rPr>
        <w:t xml:space="preserve">Štruktúra výdavkov na sociálnu ochranu v Slovenskej republike bola </w:t>
      </w:r>
      <w:r w:rsidR="00FB1DA1" w:rsidRPr="00676D2B">
        <w:rPr>
          <w:rFonts w:ascii="Arial Narrow" w:hAnsi="Arial Narrow" w:cs="Arial"/>
          <w:sz w:val="22"/>
          <w:szCs w:val="22"/>
        </w:rPr>
        <w:t>v roku 201</w:t>
      </w:r>
      <w:r w:rsidR="00A42F0C" w:rsidRPr="00676D2B">
        <w:rPr>
          <w:rFonts w:ascii="Arial Narrow" w:hAnsi="Arial Narrow" w:cs="Arial"/>
          <w:sz w:val="22"/>
          <w:szCs w:val="22"/>
        </w:rPr>
        <w:t>9</w:t>
      </w:r>
      <w:r w:rsidR="00FB1DA1" w:rsidRPr="00676D2B">
        <w:rPr>
          <w:rFonts w:ascii="Arial Narrow" w:hAnsi="Arial Narrow" w:cs="Arial"/>
          <w:sz w:val="22"/>
          <w:szCs w:val="22"/>
        </w:rPr>
        <w:t xml:space="preserve"> </w:t>
      </w:r>
      <w:r w:rsidRPr="00676D2B">
        <w:rPr>
          <w:rFonts w:ascii="Arial Narrow" w:hAnsi="Arial Narrow" w:cs="Arial"/>
          <w:sz w:val="22"/>
          <w:szCs w:val="22"/>
        </w:rPr>
        <w:t>nasledovná: sociálne dávky tvorili 97,</w:t>
      </w:r>
      <w:r w:rsidR="00A92FCF" w:rsidRPr="00676D2B">
        <w:rPr>
          <w:rFonts w:ascii="Arial Narrow" w:hAnsi="Arial Narrow" w:cs="Arial"/>
          <w:sz w:val="22"/>
          <w:szCs w:val="22"/>
        </w:rPr>
        <w:t>2</w:t>
      </w:r>
      <w:r w:rsidRPr="00676D2B">
        <w:rPr>
          <w:rFonts w:ascii="Arial Narrow" w:hAnsi="Arial Narrow" w:cs="Arial"/>
          <w:sz w:val="22"/>
          <w:szCs w:val="22"/>
        </w:rPr>
        <w:t xml:space="preserve"> %, administratívne náklady 2,</w:t>
      </w:r>
      <w:r w:rsidR="00A92FCF" w:rsidRPr="00676D2B">
        <w:rPr>
          <w:rFonts w:ascii="Arial Narrow" w:hAnsi="Arial Narrow" w:cs="Arial"/>
          <w:sz w:val="22"/>
          <w:szCs w:val="22"/>
        </w:rPr>
        <w:t>6</w:t>
      </w:r>
      <w:r w:rsidRPr="00676D2B">
        <w:rPr>
          <w:rFonts w:ascii="Arial Narrow" w:hAnsi="Arial Narrow" w:cs="Arial"/>
          <w:sz w:val="22"/>
          <w:szCs w:val="22"/>
        </w:rPr>
        <w:t xml:space="preserve"> % a iné výdavky 0,</w:t>
      </w:r>
      <w:r w:rsidR="00FB1DA1" w:rsidRPr="00676D2B">
        <w:rPr>
          <w:rFonts w:ascii="Arial Narrow" w:hAnsi="Arial Narrow" w:cs="Arial"/>
          <w:sz w:val="22"/>
          <w:szCs w:val="22"/>
        </w:rPr>
        <w:t>2</w:t>
      </w:r>
      <w:r w:rsidRPr="00676D2B">
        <w:rPr>
          <w:rFonts w:ascii="Arial Narrow" w:hAnsi="Arial Narrow" w:cs="Arial"/>
          <w:sz w:val="22"/>
          <w:szCs w:val="22"/>
        </w:rPr>
        <w:t xml:space="preserve"> %. </w:t>
      </w:r>
    </w:p>
    <w:p w:rsidR="00D61EBB" w:rsidRDefault="00D61EBB" w:rsidP="00F67202">
      <w:pPr>
        <w:rPr>
          <w:rFonts w:ascii="Arial Narrow" w:hAnsi="Arial Narrow"/>
          <w:b/>
          <w:sz w:val="20"/>
          <w:szCs w:val="20"/>
        </w:rPr>
      </w:pPr>
    </w:p>
    <w:p w:rsidR="00676D2B" w:rsidRDefault="00F67202" w:rsidP="00405948">
      <w:pPr>
        <w:spacing w:line="312" w:lineRule="auto"/>
        <w:rPr>
          <w:rFonts w:ascii="Arial Narrow" w:hAnsi="Arial Narrow"/>
          <w:b/>
          <w:sz w:val="20"/>
          <w:szCs w:val="20"/>
        </w:rPr>
      </w:pPr>
      <w:r w:rsidRPr="0042276E">
        <w:rPr>
          <w:rFonts w:ascii="Arial Narrow" w:hAnsi="Arial Narrow"/>
          <w:b/>
          <w:sz w:val="20"/>
          <w:szCs w:val="20"/>
        </w:rPr>
        <w:t>Tab. 1.</w:t>
      </w:r>
      <w:r w:rsidR="008C7367" w:rsidRPr="0042276E">
        <w:rPr>
          <w:rFonts w:ascii="Arial Narrow" w:hAnsi="Arial Narrow"/>
          <w:b/>
          <w:sz w:val="20"/>
          <w:szCs w:val="20"/>
        </w:rPr>
        <w:t>3</w:t>
      </w:r>
      <w:r w:rsidRPr="0042276E">
        <w:rPr>
          <w:rFonts w:ascii="Arial Narrow" w:hAnsi="Arial Narrow"/>
          <w:b/>
          <w:sz w:val="20"/>
          <w:szCs w:val="20"/>
        </w:rPr>
        <w:t xml:space="preserve"> </w:t>
      </w:r>
      <w:r w:rsidR="00CA152F" w:rsidRPr="0042276E">
        <w:rPr>
          <w:rFonts w:ascii="Arial Narrow" w:hAnsi="Arial Narrow"/>
          <w:b/>
          <w:sz w:val="20"/>
          <w:szCs w:val="20"/>
        </w:rPr>
        <w:t xml:space="preserve"> </w:t>
      </w:r>
      <w:r w:rsidRPr="0042276E">
        <w:rPr>
          <w:rFonts w:ascii="Arial Narrow" w:hAnsi="Arial Narrow"/>
          <w:b/>
          <w:sz w:val="20"/>
          <w:szCs w:val="20"/>
        </w:rPr>
        <w:t>Výdavky na sociálnu ochranu v</w:t>
      </w:r>
      <w:r w:rsidR="00CA152F" w:rsidRPr="0042276E">
        <w:rPr>
          <w:rFonts w:ascii="Arial Narrow" w:hAnsi="Arial Narrow"/>
          <w:b/>
          <w:sz w:val="20"/>
          <w:szCs w:val="20"/>
        </w:rPr>
        <w:t> </w:t>
      </w:r>
      <w:r w:rsidRPr="0042276E">
        <w:rPr>
          <w:rFonts w:ascii="Arial Narrow" w:hAnsi="Arial Narrow"/>
          <w:b/>
          <w:sz w:val="20"/>
          <w:szCs w:val="20"/>
        </w:rPr>
        <w:t>SR</w:t>
      </w:r>
      <w:r w:rsidR="008C7367" w:rsidRPr="0042276E">
        <w:rPr>
          <w:rFonts w:ascii="Arial Narrow" w:hAnsi="Arial Narrow"/>
          <w:b/>
          <w:sz w:val="20"/>
          <w:szCs w:val="20"/>
        </w:rPr>
        <w:t>, 201</w:t>
      </w:r>
      <w:r w:rsidR="008D4F0D" w:rsidRPr="0042276E">
        <w:rPr>
          <w:rFonts w:ascii="Arial Narrow" w:hAnsi="Arial Narrow"/>
          <w:b/>
          <w:sz w:val="20"/>
          <w:szCs w:val="20"/>
        </w:rPr>
        <w:t>9</w:t>
      </w:r>
      <w:r w:rsidR="00676D2B" w:rsidRPr="0042276E">
        <w:rPr>
          <w:rFonts w:ascii="Arial Narrow" w:hAnsi="Arial Narrow"/>
          <w:b/>
          <w:sz w:val="20"/>
          <w:szCs w:val="20"/>
        </w:rPr>
        <w:t xml:space="preserve"> </w:t>
      </w:r>
      <w:r w:rsidR="0042276E" w:rsidRPr="0042276E">
        <w:rPr>
          <w:rFonts w:ascii="Arial Narrow" w:hAnsi="Arial Narrow"/>
          <w:b/>
          <w:sz w:val="20"/>
          <w:szCs w:val="20"/>
        </w:rPr>
        <w:t>(v mil. EUR a v %</w:t>
      </w:r>
      <w:r w:rsidR="00841C12" w:rsidRPr="0042276E">
        <w:rPr>
          <w:rFonts w:ascii="Arial Narrow" w:hAnsi="Arial Narrow"/>
          <w:b/>
          <w:sz w:val="20"/>
          <w:szCs w:val="20"/>
        </w:rPr>
        <w:t>)</w:t>
      </w:r>
    </w:p>
    <w:p w:rsidR="00405948" w:rsidRPr="00405948" w:rsidRDefault="00405948" w:rsidP="00405948">
      <w:pPr>
        <w:spacing w:line="312" w:lineRule="auto"/>
        <w:rPr>
          <w:rFonts w:ascii="Arial Narrow" w:hAnsi="Arial Narrow"/>
          <w:b/>
          <w:sz w:val="10"/>
          <w:szCs w:val="10"/>
        </w:rPr>
      </w:pPr>
    </w:p>
    <w:tbl>
      <w:tblPr>
        <w:tblW w:w="9070" w:type="dxa"/>
        <w:tblCellMar>
          <w:left w:w="70" w:type="dxa"/>
          <w:right w:w="70" w:type="dxa"/>
        </w:tblCellMar>
        <w:tblLook w:val="04A0" w:firstRow="1" w:lastRow="0" w:firstColumn="1" w:lastColumn="0" w:noHBand="0" w:noVBand="1"/>
      </w:tblPr>
      <w:tblGrid>
        <w:gridCol w:w="516"/>
        <w:gridCol w:w="392"/>
        <w:gridCol w:w="766"/>
        <w:gridCol w:w="185"/>
        <w:gridCol w:w="337"/>
        <w:gridCol w:w="903"/>
        <w:gridCol w:w="706"/>
        <w:gridCol w:w="789"/>
        <w:gridCol w:w="790"/>
        <w:gridCol w:w="853"/>
        <w:gridCol w:w="685"/>
        <w:gridCol w:w="700"/>
        <w:gridCol w:w="617"/>
        <w:gridCol w:w="831"/>
      </w:tblGrid>
      <w:tr w:rsidR="009D7BDA" w:rsidTr="009D7BDA">
        <w:trPr>
          <w:trHeight w:val="435"/>
        </w:trPr>
        <w:tc>
          <w:tcPr>
            <w:tcW w:w="908" w:type="dxa"/>
            <w:gridSpan w:val="2"/>
            <w:tcBorders>
              <w:top w:val="nil"/>
              <w:left w:val="nil"/>
              <w:bottom w:val="single" w:sz="4" w:space="0" w:color="FF0000"/>
              <w:right w:val="nil"/>
            </w:tcBorders>
            <w:shd w:val="clear" w:color="000000" w:fill="A9D08E"/>
            <w:noWrap/>
            <w:vAlign w:val="center"/>
            <w:hideMark/>
          </w:tcPr>
          <w:p w:rsidR="00841C12" w:rsidRDefault="00841C12">
            <w:pPr>
              <w:rPr>
                <w:rFonts w:ascii="Arial Narrow" w:hAnsi="Arial Narrow"/>
                <w:color w:val="000000"/>
                <w:sz w:val="16"/>
                <w:szCs w:val="16"/>
                <w:lang w:eastAsia="sk-SK"/>
              </w:rPr>
            </w:pPr>
            <w:r>
              <w:rPr>
                <w:rFonts w:ascii="Arial Narrow" w:hAnsi="Arial Narrow"/>
                <w:color w:val="000000"/>
                <w:sz w:val="16"/>
                <w:szCs w:val="16"/>
              </w:rPr>
              <w:t>Ukazovateľ</w:t>
            </w:r>
          </w:p>
        </w:tc>
        <w:tc>
          <w:tcPr>
            <w:tcW w:w="766" w:type="dxa"/>
            <w:tcBorders>
              <w:top w:val="nil"/>
              <w:left w:val="nil"/>
              <w:bottom w:val="single" w:sz="4" w:space="0" w:color="FF0000"/>
              <w:right w:val="nil"/>
            </w:tcBorders>
            <w:shd w:val="clear" w:color="000000" w:fill="A9D08E"/>
            <w:noWrap/>
            <w:vAlign w:val="center"/>
            <w:hideMark/>
          </w:tcPr>
          <w:p w:rsidR="00841C12" w:rsidRDefault="00841C12">
            <w:pPr>
              <w:rPr>
                <w:rFonts w:ascii="Arial" w:hAnsi="Arial" w:cs="Arial"/>
                <w:color w:val="000000"/>
                <w:sz w:val="16"/>
                <w:szCs w:val="16"/>
              </w:rPr>
            </w:pPr>
            <w:r>
              <w:rPr>
                <w:rFonts w:ascii="Arial" w:hAnsi="Arial" w:cs="Arial"/>
                <w:color w:val="000000"/>
                <w:sz w:val="16"/>
                <w:szCs w:val="16"/>
              </w:rPr>
              <w:t> </w:t>
            </w:r>
          </w:p>
        </w:tc>
        <w:tc>
          <w:tcPr>
            <w:tcW w:w="185" w:type="dxa"/>
            <w:tcBorders>
              <w:top w:val="nil"/>
              <w:left w:val="nil"/>
              <w:bottom w:val="single" w:sz="4" w:space="0" w:color="FF0000"/>
              <w:right w:val="nil"/>
            </w:tcBorders>
            <w:shd w:val="clear" w:color="000000" w:fill="A9D08E"/>
            <w:noWrap/>
            <w:vAlign w:val="center"/>
            <w:hideMark/>
          </w:tcPr>
          <w:p w:rsidR="00841C12" w:rsidRDefault="00841C12">
            <w:pPr>
              <w:rPr>
                <w:rFonts w:ascii="Arial" w:hAnsi="Arial" w:cs="Arial"/>
                <w:color w:val="000000"/>
                <w:sz w:val="16"/>
                <w:szCs w:val="16"/>
              </w:rPr>
            </w:pPr>
            <w:r>
              <w:rPr>
                <w:rFonts w:ascii="Arial" w:hAnsi="Arial" w:cs="Arial"/>
                <w:color w:val="000000"/>
                <w:sz w:val="16"/>
                <w:szCs w:val="16"/>
              </w:rPr>
              <w:t> </w:t>
            </w:r>
          </w:p>
        </w:tc>
        <w:tc>
          <w:tcPr>
            <w:tcW w:w="337" w:type="dxa"/>
            <w:tcBorders>
              <w:top w:val="nil"/>
              <w:left w:val="nil"/>
              <w:bottom w:val="single" w:sz="4" w:space="0" w:color="FF0000"/>
              <w:right w:val="nil"/>
            </w:tcBorders>
            <w:shd w:val="clear" w:color="000000" w:fill="A9D08E"/>
            <w:noWrap/>
            <w:vAlign w:val="center"/>
            <w:hideMark/>
          </w:tcPr>
          <w:p w:rsidR="00841C12" w:rsidRDefault="00841C12">
            <w:pPr>
              <w:rPr>
                <w:rFonts w:ascii="Arial" w:hAnsi="Arial" w:cs="Arial"/>
                <w:color w:val="000000"/>
                <w:sz w:val="16"/>
                <w:szCs w:val="16"/>
              </w:rPr>
            </w:pPr>
            <w:r>
              <w:rPr>
                <w:rFonts w:ascii="Arial" w:hAnsi="Arial" w:cs="Arial"/>
                <w:color w:val="000000"/>
                <w:sz w:val="16"/>
                <w:szCs w:val="16"/>
              </w:rPr>
              <w:t> </w:t>
            </w:r>
          </w:p>
        </w:tc>
        <w:tc>
          <w:tcPr>
            <w:tcW w:w="903" w:type="dxa"/>
            <w:tcBorders>
              <w:top w:val="nil"/>
              <w:left w:val="nil"/>
              <w:bottom w:val="single" w:sz="4" w:space="0" w:color="FF0000"/>
              <w:right w:val="nil"/>
            </w:tcBorders>
            <w:shd w:val="clear" w:color="000000" w:fill="A9D08E"/>
            <w:noWrap/>
            <w:vAlign w:val="center"/>
            <w:hideMark/>
          </w:tcPr>
          <w:p w:rsidR="00841C12" w:rsidRDefault="00841C12">
            <w:pPr>
              <w:rPr>
                <w:rFonts w:ascii="Arial" w:hAnsi="Arial" w:cs="Arial"/>
                <w:color w:val="000000"/>
                <w:sz w:val="16"/>
                <w:szCs w:val="16"/>
              </w:rPr>
            </w:pPr>
            <w:r>
              <w:rPr>
                <w:rFonts w:ascii="Arial" w:hAnsi="Arial" w:cs="Arial"/>
                <w:color w:val="000000"/>
                <w:sz w:val="16"/>
                <w:szCs w:val="16"/>
              </w:rPr>
              <w:t> </w:t>
            </w:r>
          </w:p>
        </w:tc>
        <w:tc>
          <w:tcPr>
            <w:tcW w:w="706" w:type="dxa"/>
            <w:tcBorders>
              <w:top w:val="nil"/>
              <w:left w:val="nil"/>
              <w:bottom w:val="single" w:sz="4" w:space="0" w:color="FF0000"/>
              <w:right w:val="single" w:sz="4" w:space="0" w:color="FF0000"/>
            </w:tcBorders>
            <w:shd w:val="clear" w:color="000000" w:fill="A9D08E"/>
            <w:noWrap/>
            <w:vAlign w:val="center"/>
            <w:hideMark/>
          </w:tcPr>
          <w:p w:rsidR="00841C12" w:rsidRDefault="00841C12">
            <w:pPr>
              <w:rPr>
                <w:rFonts w:ascii="Arial" w:hAnsi="Arial" w:cs="Arial"/>
                <w:color w:val="000000"/>
                <w:sz w:val="16"/>
                <w:szCs w:val="16"/>
              </w:rPr>
            </w:pPr>
            <w:r>
              <w:rPr>
                <w:rFonts w:ascii="Arial" w:hAnsi="Arial" w:cs="Arial"/>
                <w:color w:val="000000"/>
                <w:sz w:val="16"/>
                <w:szCs w:val="16"/>
              </w:rPr>
              <w:t> </w:t>
            </w:r>
          </w:p>
        </w:tc>
        <w:tc>
          <w:tcPr>
            <w:tcW w:w="789" w:type="dxa"/>
            <w:tcBorders>
              <w:top w:val="nil"/>
              <w:left w:val="nil"/>
              <w:bottom w:val="single" w:sz="4" w:space="0" w:color="FF0000"/>
              <w:right w:val="single" w:sz="4" w:space="0" w:color="FF0000"/>
            </w:tcBorders>
            <w:shd w:val="clear" w:color="000000" w:fill="A9D08E"/>
            <w:noWrap/>
            <w:vAlign w:val="center"/>
            <w:hideMark/>
          </w:tcPr>
          <w:p w:rsidR="00841C12" w:rsidRDefault="00841C12">
            <w:pPr>
              <w:jc w:val="center"/>
              <w:rPr>
                <w:rFonts w:ascii="Arial Narrow" w:hAnsi="Arial Narrow"/>
                <w:color w:val="000000"/>
                <w:sz w:val="16"/>
                <w:szCs w:val="16"/>
              </w:rPr>
            </w:pPr>
            <w:r>
              <w:rPr>
                <w:rFonts w:ascii="Arial Narrow" w:hAnsi="Arial Narrow"/>
                <w:color w:val="000000"/>
                <w:sz w:val="16"/>
                <w:szCs w:val="16"/>
              </w:rPr>
              <w:t>mil. EUR</w:t>
            </w:r>
          </w:p>
        </w:tc>
        <w:tc>
          <w:tcPr>
            <w:tcW w:w="790" w:type="dxa"/>
            <w:tcBorders>
              <w:top w:val="nil"/>
              <w:left w:val="nil"/>
              <w:bottom w:val="single" w:sz="4" w:space="0" w:color="FF0000"/>
              <w:right w:val="single" w:sz="4" w:space="0" w:color="FF0000"/>
            </w:tcBorders>
            <w:shd w:val="clear" w:color="000000" w:fill="A9D08E"/>
            <w:vAlign w:val="center"/>
            <w:hideMark/>
          </w:tcPr>
          <w:p w:rsidR="00841C12" w:rsidRDefault="00841C12">
            <w:pPr>
              <w:jc w:val="center"/>
              <w:rPr>
                <w:rFonts w:ascii="Arial Narrow" w:hAnsi="Arial Narrow"/>
                <w:color w:val="000000"/>
                <w:sz w:val="16"/>
                <w:szCs w:val="16"/>
              </w:rPr>
            </w:pPr>
            <w:r>
              <w:rPr>
                <w:rFonts w:ascii="Arial Narrow" w:hAnsi="Arial Narrow"/>
                <w:color w:val="000000"/>
                <w:sz w:val="16"/>
                <w:szCs w:val="16"/>
              </w:rPr>
              <w:t xml:space="preserve">mil. EUR </w:t>
            </w:r>
            <w:proofErr w:type="spellStart"/>
            <w:r>
              <w:rPr>
                <w:rFonts w:ascii="Arial Narrow" w:hAnsi="Arial Narrow"/>
                <w:color w:val="000000"/>
                <w:sz w:val="16"/>
                <w:szCs w:val="16"/>
              </w:rPr>
              <w:t>s.c</w:t>
            </w:r>
            <w:proofErr w:type="spellEnd"/>
            <w:r>
              <w:rPr>
                <w:rFonts w:ascii="Arial Narrow" w:hAnsi="Arial Narrow"/>
                <w:color w:val="000000"/>
                <w:sz w:val="16"/>
                <w:szCs w:val="16"/>
              </w:rPr>
              <w:t>. 2010</w:t>
            </w:r>
          </w:p>
        </w:tc>
        <w:tc>
          <w:tcPr>
            <w:tcW w:w="853" w:type="dxa"/>
            <w:tcBorders>
              <w:top w:val="nil"/>
              <w:left w:val="nil"/>
              <w:bottom w:val="single" w:sz="4" w:space="0" w:color="FF0000"/>
              <w:right w:val="single" w:sz="4" w:space="0" w:color="FF0000"/>
            </w:tcBorders>
            <w:shd w:val="clear" w:color="000000" w:fill="A9D08E"/>
            <w:vAlign w:val="center"/>
            <w:hideMark/>
          </w:tcPr>
          <w:p w:rsidR="00841C12" w:rsidRDefault="00841C12">
            <w:pPr>
              <w:jc w:val="center"/>
              <w:rPr>
                <w:rFonts w:ascii="Arial Narrow" w:hAnsi="Arial Narrow"/>
                <w:color w:val="000000"/>
                <w:sz w:val="16"/>
                <w:szCs w:val="16"/>
              </w:rPr>
            </w:pPr>
            <w:r>
              <w:rPr>
                <w:rFonts w:ascii="Arial Narrow" w:hAnsi="Arial Narrow"/>
                <w:color w:val="000000"/>
                <w:sz w:val="16"/>
                <w:szCs w:val="16"/>
              </w:rPr>
              <w:t>EUR na obyv.</w:t>
            </w:r>
          </w:p>
        </w:tc>
        <w:tc>
          <w:tcPr>
            <w:tcW w:w="685" w:type="dxa"/>
            <w:tcBorders>
              <w:top w:val="nil"/>
              <w:left w:val="nil"/>
              <w:bottom w:val="single" w:sz="4" w:space="0" w:color="FF0000"/>
              <w:right w:val="single" w:sz="4" w:space="0" w:color="FF0000"/>
            </w:tcBorders>
            <w:shd w:val="clear" w:color="000000" w:fill="A9D08E"/>
            <w:vAlign w:val="center"/>
            <w:hideMark/>
          </w:tcPr>
          <w:p w:rsidR="00841C12" w:rsidRDefault="00841C12">
            <w:pPr>
              <w:jc w:val="center"/>
              <w:rPr>
                <w:rFonts w:ascii="Arial Narrow" w:hAnsi="Arial Narrow"/>
                <w:color w:val="000000"/>
                <w:sz w:val="16"/>
                <w:szCs w:val="16"/>
              </w:rPr>
            </w:pPr>
            <w:r>
              <w:rPr>
                <w:rFonts w:ascii="Arial Narrow" w:hAnsi="Arial Narrow"/>
                <w:color w:val="000000"/>
                <w:sz w:val="16"/>
                <w:szCs w:val="16"/>
              </w:rPr>
              <w:t>PPS na obyv</w:t>
            </w:r>
            <w:r w:rsidR="008D4F0D">
              <w:rPr>
                <w:rFonts w:ascii="Arial Narrow" w:hAnsi="Arial Narrow"/>
                <w:color w:val="000000"/>
                <w:sz w:val="16"/>
                <w:szCs w:val="16"/>
              </w:rPr>
              <w:t>.</w:t>
            </w:r>
          </w:p>
        </w:tc>
        <w:tc>
          <w:tcPr>
            <w:tcW w:w="700" w:type="dxa"/>
            <w:tcBorders>
              <w:top w:val="nil"/>
              <w:left w:val="nil"/>
              <w:bottom w:val="single" w:sz="4" w:space="0" w:color="FF0000"/>
              <w:right w:val="single" w:sz="4" w:space="0" w:color="FF0000"/>
            </w:tcBorders>
            <w:shd w:val="clear" w:color="000000" w:fill="A9D08E"/>
            <w:vAlign w:val="center"/>
            <w:hideMark/>
          </w:tcPr>
          <w:p w:rsidR="00841C12" w:rsidRDefault="00841C12">
            <w:pPr>
              <w:jc w:val="center"/>
              <w:rPr>
                <w:rFonts w:ascii="Arial Narrow" w:hAnsi="Arial Narrow"/>
                <w:color w:val="000000"/>
                <w:sz w:val="16"/>
                <w:szCs w:val="16"/>
              </w:rPr>
            </w:pPr>
            <w:r>
              <w:rPr>
                <w:rFonts w:ascii="Arial Narrow" w:hAnsi="Arial Narrow"/>
                <w:color w:val="000000"/>
                <w:sz w:val="16"/>
                <w:szCs w:val="16"/>
              </w:rPr>
              <w:t>% z</w:t>
            </w:r>
            <w:r w:rsidR="00304E09">
              <w:rPr>
                <w:rFonts w:ascii="Arial Narrow" w:hAnsi="Arial Narrow"/>
                <w:color w:val="000000"/>
                <w:sz w:val="16"/>
                <w:szCs w:val="16"/>
              </w:rPr>
              <w:t xml:space="preserve"> </w:t>
            </w:r>
            <w:r>
              <w:rPr>
                <w:rFonts w:ascii="Arial Narrow" w:hAnsi="Arial Narrow"/>
                <w:color w:val="000000"/>
                <w:sz w:val="16"/>
                <w:szCs w:val="16"/>
              </w:rPr>
              <w:t>výdavkov spolu</w:t>
            </w:r>
          </w:p>
        </w:tc>
        <w:tc>
          <w:tcPr>
            <w:tcW w:w="617" w:type="dxa"/>
            <w:tcBorders>
              <w:top w:val="nil"/>
              <w:left w:val="nil"/>
              <w:bottom w:val="single" w:sz="4" w:space="0" w:color="FF0000"/>
              <w:right w:val="single" w:sz="4" w:space="0" w:color="FF0000"/>
            </w:tcBorders>
            <w:shd w:val="clear" w:color="000000" w:fill="A9D08E"/>
            <w:vAlign w:val="center"/>
            <w:hideMark/>
          </w:tcPr>
          <w:p w:rsidR="00841C12" w:rsidRDefault="00841C12">
            <w:pPr>
              <w:jc w:val="center"/>
              <w:rPr>
                <w:rFonts w:ascii="Arial Narrow" w:hAnsi="Arial Narrow"/>
                <w:color w:val="000000"/>
                <w:sz w:val="16"/>
                <w:szCs w:val="16"/>
              </w:rPr>
            </w:pPr>
            <w:r>
              <w:rPr>
                <w:rFonts w:ascii="Arial Narrow" w:hAnsi="Arial Narrow"/>
                <w:color w:val="000000"/>
                <w:sz w:val="16"/>
                <w:szCs w:val="16"/>
              </w:rPr>
              <w:t>% HDP</w:t>
            </w:r>
          </w:p>
        </w:tc>
        <w:tc>
          <w:tcPr>
            <w:tcW w:w="831" w:type="dxa"/>
            <w:tcBorders>
              <w:top w:val="nil"/>
              <w:left w:val="nil"/>
              <w:bottom w:val="single" w:sz="4" w:space="0" w:color="FF0000"/>
              <w:right w:val="nil"/>
            </w:tcBorders>
            <w:shd w:val="clear" w:color="000000" w:fill="A9D08E"/>
            <w:vAlign w:val="center"/>
            <w:hideMark/>
          </w:tcPr>
          <w:p w:rsidR="00841C12" w:rsidRPr="008D4F0D" w:rsidRDefault="00841C12" w:rsidP="008D4F0D">
            <w:pPr>
              <w:jc w:val="center"/>
              <w:rPr>
                <w:rFonts w:ascii="Arial Narrow" w:hAnsi="Arial Narrow" w:cs="Arial"/>
                <w:sz w:val="16"/>
                <w:szCs w:val="16"/>
              </w:rPr>
            </w:pPr>
            <w:r w:rsidRPr="008D4F0D">
              <w:rPr>
                <w:rFonts w:ascii="Arial Narrow" w:hAnsi="Arial Narrow" w:cs="Arial"/>
                <w:sz w:val="16"/>
                <w:szCs w:val="16"/>
              </w:rPr>
              <w:t>Index 201</w:t>
            </w:r>
            <w:r w:rsidR="008D4F0D">
              <w:rPr>
                <w:rFonts w:ascii="Arial Narrow" w:hAnsi="Arial Narrow" w:cs="Arial"/>
                <w:sz w:val="16"/>
                <w:szCs w:val="16"/>
              </w:rPr>
              <w:t>9</w:t>
            </w:r>
            <w:r w:rsidRPr="008D4F0D">
              <w:rPr>
                <w:rFonts w:ascii="Arial Narrow" w:hAnsi="Arial Narrow" w:cs="Arial"/>
                <w:sz w:val="16"/>
                <w:szCs w:val="16"/>
              </w:rPr>
              <w:t>/201</w:t>
            </w:r>
            <w:r w:rsidR="008D4F0D">
              <w:rPr>
                <w:rFonts w:ascii="Arial Narrow" w:hAnsi="Arial Narrow" w:cs="Arial"/>
                <w:sz w:val="16"/>
                <w:szCs w:val="16"/>
              </w:rPr>
              <w:t>8</w:t>
            </w:r>
          </w:p>
        </w:tc>
      </w:tr>
      <w:tr w:rsidR="009D7BDA" w:rsidTr="009D7BDA">
        <w:trPr>
          <w:trHeight w:val="330"/>
        </w:trPr>
        <w:tc>
          <w:tcPr>
            <w:tcW w:w="3805" w:type="dxa"/>
            <w:gridSpan w:val="7"/>
            <w:tcBorders>
              <w:top w:val="nil"/>
              <w:left w:val="nil"/>
              <w:bottom w:val="nil"/>
              <w:right w:val="nil"/>
            </w:tcBorders>
            <w:shd w:val="clear" w:color="auto" w:fill="A8D08D" w:themeFill="accent6" w:themeFillTint="99"/>
            <w:noWrap/>
            <w:vAlign w:val="center"/>
            <w:hideMark/>
          </w:tcPr>
          <w:p w:rsidR="008D4F0D" w:rsidRDefault="008D4F0D" w:rsidP="008D4F0D">
            <w:pPr>
              <w:rPr>
                <w:rFonts w:ascii="Arial Narrow" w:hAnsi="Arial Narrow"/>
                <w:b/>
                <w:bCs/>
                <w:sz w:val="16"/>
                <w:szCs w:val="16"/>
              </w:rPr>
            </w:pPr>
            <w:r>
              <w:rPr>
                <w:rFonts w:ascii="Arial Narrow" w:hAnsi="Arial Narrow"/>
                <w:b/>
                <w:bCs/>
                <w:sz w:val="16"/>
                <w:szCs w:val="16"/>
              </w:rPr>
              <w:t>Výdavky na sociálnu ochranu</w:t>
            </w:r>
          </w:p>
        </w:tc>
        <w:tc>
          <w:tcPr>
            <w:tcW w:w="789" w:type="dxa"/>
            <w:tcBorders>
              <w:top w:val="nil"/>
              <w:left w:val="single" w:sz="4" w:space="0" w:color="FF0000"/>
              <w:bottom w:val="nil"/>
              <w:right w:val="single" w:sz="4" w:space="0" w:color="FF0000"/>
            </w:tcBorders>
            <w:shd w:val="clear" w:color="auto" w:fill="A8D08D" w:themeFill="accent6" w:themeFillTint="99"/>
            <w:noWrap/>
            <w:vAlign w:val="bottom"/>
            <w:hideMark/>
          </w:tcPr>
          <w:p w:rsidR="008D4F0D" w:rsidRDefault="008D4F0D" w:rsidP="008D4F0D">
            <w:pPr>
              <w:jc w:val="right"/>
              <w:rPr>
                <w:rFonts w:ascii="Arial Narrow" w:hAnsi="Arial Narrow" w:cs="Calibri"/>
                <w:b/>
                <w:bCs/>
                <w:sz w:val="16"/>
                <w:szCs w:val="16"/>
                <w:lang w:eastAsia="sk-SK"/>
              </w:rPr>
            </w:pPr>
            <w:r>
              <w:rPr>
                <w:rFonts w:ascii="Arial Narrow" w:hAnsi="Arial Narrow" w:cs="Calibri"/>
                <w:b/>
                <w:bCs/>
                <w:sz w:val="16"/>
                <w:szCs w:val="16"/>
              </w:rPr>
              <w:t>16 843,4</w:t>
            </w:r>
          </w:p>
        </w:tc>
        <w:tc>
          <w:tcPr>
            <w:tcW w:w="790" w:type="dxa"/>
            <w:tcBorders>
              <w:top w:val="nil"/>
              <w:left w:val="nil"/>
              <w:bottom w:val="nil"/>
              <w:right w:val="single" w:sz="4" w:space="0" w:color="FF0000"/>
            </w:tcBorders>
            <w:shd w:val="clear" w:color="auto" w:fill="A8D08D" w:themeFill="accent6" w:themeFillTint="99"/>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14 539,2</w:t>
            </w:r>
          </w:p>
        </w:tc>
        <w:tc>
          <w:tcPr>
            <w:tcW w:w="853" w:type="dxa"/>
            <w:tcBorders>
              <w:top w:val="nil"/>
              <w:left w:val="nil"/>
              <w:bottom w:val="nil"/>
              <w:right w:val="single" w:sz="4" w:space="0" w:color="FF0000"/>
            </w:tcBorders>
            <w:shd w:val="clear" w:color="auto" w:fill="A8D08D" w:themeFill="accent6" w:themeFillTint="99"/>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3 088,2</w:t>
            </w:r>
          </w:p>
        </w:tc>
        <w:tc>
          <w:tcPr>
            <w:tcW w:w="685" w:type="dxa"/>
            <w:tcBorders>
              <w:top w:val="nil"/>
              <w:left w:val="nil"/>
              <w:bottom w:val="nil"/>
              <w:right w:val="single" w:sz="4" w:space="0" w:color="FF0000"/>
            </w:tcBorders>
            <w:shd w:val="clear" w:color="auto" w:fill="A8D08D" w:themeFill="accent6" w:themeFillTint="99"/>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4 252,3</w:t>
            </w:r>
          </w:p>
        </w:tc>
        <w:tc>
          <w:tcPr>
            <w:tcW w:w="700" w:type="dxa"/>
            <w:tcBorders>
              <w:top w:val="nil"/>
              <w:left w:val="nil"/>
              <w:bottom w:val="nil"/>
              <w:right w:val="single" w:sz="4" w:space="0" w:color="FF0000"/>
            </w:tcBorders>
            <w:shd w:val="clear" w:color="auto" w:fill="A8D08D" w:themeFill="accent6" w:themeFillTint="99"/>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100,0</w:t>
            </w:r>
          </w:p>
        </w:tc>
        <w:tc>
          <w:tcPr>
            <w:tcW w:w="617" w:type="dxa"/>
            <w:tcBorders>
              <w:top w:val="nil"/>
              <w:left w:val="nil"/>
              <w:bottom w:val="nil"/>
              <w:right w:val="single" w:sz="4" w:space="0" w:color="FF0000"/>
            </w:tcBorders>
            <w:shd w:val="clear" w:color="auto" w:fill="A8D08D" w:themeFill="accent6" w:themeFillTint="99"/>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17,9</w:t>
            </w:r>
          </w:p>
        </w:tc>
        <w:tc>
          <w:tcPr>
            <w:tcW w:w="831" w:type="dxa"/>
            <w:tcBorders>
              <w:top w:val="nil"/>
              <w:left w:val="nil"/>
              <w:bottom w:val="nil"/>
              <w:right w:val="nil"/>
            </w:tcBorders>
            <w:shd w:val="clear" w:color="auto" w:fill="A8D08D" w:themeFill="accent6" w:themeFillTint="99"/>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104,7</w:t>
            </w:r>
          </w:p>
        </w:tc>
      </w:tr>
      <w:tr w:rsidR="009D7BDA" w:rsidTr="009D7BDA">
        <w:trPr>
          <w:trHeight w:val="255"/>
        </w:trPr>
        <w:tc>
          <w:tcPr>
            <w:tcW w:w="516" w:type="dxa"/>
            <w:tcBorders>
              <w:top w:val="nil"/>
              <w:left w:val="nil"/>
              <w:bottom w:val="nil"/>
              <w:right w:val="nil"/>
            </w:tcBorders>
            <w:shd w:val="clear" w:color="auto" w:fill="C5E0B3" w:themeFill="accent6" w:themeFillTint="66"/>
            <w:noWrap/>
            <w:vAlign w:val="bottom"/>
            <w:hideMark/>
          </w:tcPr>
          <w:p w:rsidR="008D4F0D" w:rsidRDefault="008D4F0D" w:rsidP="008D4F0D">
            <w:pPr>
              <w:rPr>
                <w:rFonts w:ascii="Arial Narrow" w:hAnsi="Arial Narrow"/>
                <w:sz w:val="20"/>
                <w:szCs w:val="20"/>
              </w:rPr>
            </w:pPr>
            <w:r>
              <w:rPr>
                <w:rFonts w:ascii="Arial Narrow" w:hAnsi="Arial Narrow"/>
                <w:sz w:val="20"/>
                <w:szCs w:val="20"/>
              </w:rPr>
              <w:t> </w:t>
            </w:r>
          </w:p>
        </w:tc>
        <w:tc>
          <w:tcPr>
            <w:tcW w:w="3289" w:type="dxa"/>
            <w:gridSpan w:val="6"/>
            <w:tcBorders>
              <w:top w:val="nil"/>
              <w:left w:val="nil"/>
              <w:bottom w:val="nil"/>
              <w:right w:val="nil"/>
            </w:tcBorders>
            <w:shd w:val="clear" w:color="auto" w:fill="C5E0B3" w:themeFill="accent6" w:themeFillTint="66"/>
            <w:noWrap/>
            <w:vAlign w:val="center"/>
            <w:hideMark/>
          </w:tcPr>
          <w:p w:rsidR="008D4F0D" w:rsidRDefault="008D4F0D" w:rsidP="008D4F0D">
            <w:pPr>
              <w:rPr>
                <w:rFonts w:ascii="Arial Narrow" w:hAnsi="Arial Narrow"/>
                <w:b/>
                <w:bCs/>
                <w:sz w:val="16"/>
                <w:szCs w:val="16"/>
              </w:rPr>
            </w:pPr>
            <w:r>
              <w:rPr>
                <w:rFonts w:ascii="Arial Narrow" w:hAnsi="Arial Narrow"/>
                <w:b/>
                <w:bCs/>
                <w:sz w:val="16"/>
                <w:szCs w:val="16"/>
              </w:rPr>
              <w:t>Sociálne dávky</w:t>
            </w:r>
          </w:p>
        </w:tc>
        <w:tc>
          <w:tcPr>
            <w:tcW w:w="789" w:type="dxa"/>
            <w:tcBorders>
              <w:top w:val="nil"/>
              <w:left w:val="single" w:sz="4" w:space="0" w:color="FF0000"/>
              <w:bottom w:val="nil"/>
              <w:right w:val="single" w:sz="4" w:space="0" w:color="FF0000"/>
            </w:tcBorders>
            <w:shd w:val="clear" w:color="auto" w:fill="C5E0B3" w:themeFill="accent6" w:themeFillTint="66"/>
            <w:noWrap/>
            <w:vAlign w:val="bottom"/>
            <w:hideMark/>
          </w:tcPr>
          <w:p w:rsidR="008D4F0D" w:rsidRDefault="008D4F0D" w:rsidP="008D4F0D">
            <w:pPr>
              <w:jc w:val="right"/>
              <w:rPr>
                <w:rFonts w:ascii="Arial Narrow" w:hAnsi="Arial Narrow" w:cs="Calibri"/>
                <w:b/>
                <w:bCs/>
                <w:sz w:val="16"/>
                <w:szCs w:val="16"/>
                <w:lang w:eastAsia="sk-SK"/>
              </w:rPr>
            </w:pPr>
            <w:r>
              <w:rPr>
                <w:rFonts w:ascii="Arial Narrow" w:hAnsi="Arial Narrow" w:cs="Calibri"/>
                <w:b/>
                <w:bCs/>
                <w:sz w:val="16"/>
                <w:szCs w:val="16"/>
              </w:rPr>
              <w:t>16 367,4</w:t>
            </w:r>
          </w:p>
        </w:tc>
        <w:tc>
          <w:tcPr>
            <w:tcW w:w="790" w:type="dxa"/>
            <w:tcBorders>
              <w:top w:val="nil"/>
              <w:left w:val="nil"/>
              <w:bottom w:val="nil"/>
              <w:right w:val="single" w:sz="4" w:space="0" w:color="FF0000"/>
            </w:tcBorders>
            <w:shd w:val="clear" w:color="auto" w:fill="C5E0B3" w:themeFill="accent6" w:themeFillTint="66"/>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14 128,3</w:t>
            </w:r>
          </w:p>
        </w:tc>
        <w:tc>
          <w:tcPr>
            <w:tcW w:w="853" w:type="dxa"/>
            <w:tcBorders>
              <w:top w:val="nil"/>
              <w:left w:val="nil"/>
              <w:bottom w:val="nil"/>
              <w:right w:val="single" w:sz="4" w:space="0" w:color="FF0000"/>
            </w:tcBorders>
            <w:shd w:val="clear" w:color="auto" w:fill="C5E0B3" w:themeFill="accent6" w:themeFillTint="66"/>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3 000,9</w:t>
            </w:r>
          </w:p>
        </w:tc>
        <w:tc>
          <w:tcPr>
            <w:tcW w:w="685" w:type="dxa"/>
            <w:tcBorders>
              <w:top w:val="nil"/>
              <w:left w:val="nil"/>
              <w:bottom w:val="nil"/>
              <w:right w:val="single" w:sz="4" w:space="0" w:color="FF0000"/>
            </w:tcBorders>
            <w:shd w:val="clear" w:color="auto" w:fill="C5E0B3" w:themeFill="accent6" w:themeFillTint="66"/>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4 132,2</w:t>
            </w:r>
          </w:p>
        </w:tc>
        <w:tc>
          <w:tcPr>
            <w:tcW w:w="700" w:type="dxa"/>
            <w:tcBorders>
              <w:top w:val="nil"/>
              <w:left w:val="nil"/>
              <w:bottom w:val="nil"/>
              <w:right w:val="single" w:sz="4" w:space="0" w:color="FF0000"/>
            </w:tcBorders>
            <w:shd w:val="clear" w:color="auto" w:fill="C5E0B3" w:themeFill="accent6" w:themeFillTint="66"/>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97,2</w:t>
            </w:r>
          </w:p>
        </w:tc>
        <w:tc>
          <w:tcPr>
            <w:tcW w:w="617" w:type="dxa"/>
            <w:tcBorders>
              <w:top w:val="nil"/>
              <w:left w:val="nil"/>
              <w:bottom w:val="nil"/>
              <w:right w:val="single" w:sz="4" w:space="0" w:color="FF0000"/>
            </w:tcBorders>
            <w:shd w:val="clear" w:color="auto" w:fill="C5E0B3" w:themeFill="accent6" w:themeFillTint="66"/>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17,4</w:t>
            </w:r>
          </w:p>
        </w:tc>
        <w:tc>
          <w:tcPr>
            <w:tcW w:w="831" w:type="dxa"/>
            <w:tcBorders>
              <w:top w:val="nil"/>
              <w:left w:val="nil"/>
              <w:bottom w:val="nil"/>
              <w:right w:val="nil"/>
            </w:tcBorders>
            <w:shd w:val="clear" w:color="auto" w:fill="C5E0B3" w:themeFill="accent6" w:themeFillTint="66"/>
            <w:noWrap/>
            <w:vAlign w:val="bottom"/>
            <w:hideMark/>
          </w:tcPr>
          <w:p w:rsidR="008D4F0D" w:rsidRDefault="008D4F0D" w:rsidP="008D4F0D">
            <w:pPr>
              <w:jc w:val="right"/>
              <w:rPr>
                <w:rFonts w:ascii="Arial Narrow" w:hAnsi="Arial Narrow" w:cs="Calibri"/>
                <w:b/>
                <w:bCs/>
                <w:sz w:val="16"/>
                <w:szCs w:val="16"/>
              </w:rPr>
            </w:pPr>
            <w:r>
              <w:rPr>
                <w:rFonts w:ascii="Arial Narrow" w:hAnsi="Arial Narrow" w:cs="Calibri"/>
                <w:b/>
                <w:bCs/>
                <w:sz w:val="16"/>
                <w:szCs w:val="16"/>
              </w:rPr>
              <w:t>104,6</w:t>
            </w:r>
          </w:p>
        </w:tc>
      </w:tr>
      <w:tr w:rsidR="00841C12" w:rsidTr="009D7BDA">
        <w:trPr>
          <w:trHeight w:val="252"/>
        </w:trPr>
        <w:tc>
          <w:tcPr>
            <w:tcW w:w="3805" w:type="dxa"/>
            <w:gridSpan w:val="7"/>
            <w:tcBorders>
              <w:top w:val="nil"/>
              <w:left w:val="nil"/>
              <w:bottom w:val="nil"/>
              <w:right w:val="nil"/>
            </w:tcBorders>
            <w:shd w:val="clear" w:color="000000" w:fill="E2EFDA"/>
            <w:noWrap/>
            <w:vAlign w:val="bottom"/>
            <w:hideMark/>
          </w:tcPr>
          <w:p w:rsidR="00841C12" w:rsidRDefault="00841C12">
            <w:pPr>
              <w:rPr>
                <w:rFonts w:ascii="Arial Narrow" w:hAnsi="Arial Narrow"/>
                <w:b/>
                <w:bCs/>
                <w:sz w:val="16"/>
                <w:szCs w:val="16"/>
              </w:rPr>
            </w:pPr>
            <w:r>
              <w:rPr>
                <w:rFonts w:ascii="Arial Narrow" w:hAnsi="Arial Narrow"/>
                <w:b/>
                <w:bCs/>
                <w:sz w:val="16"/>
                <w:szCs w:val="16"/>
              </w:rPr>
              <w:t xml:space="preserve">    </w:t>
            </w:r>
            <w:r w:rsidR="009D7BDA">
              <w:rPr>
                <w:rFonts w:ascii="Arial Narrow" w:hAnsi="Arial Narrow"/>
                <w:b/>
                <w:bCs/>
                <w:sz w:val="16"/>
                <w:szCs w:val="16"/>
              </w:rPr>
              <w:t xml:space="preserve">                 </w:t>
            </w:r>
            <w:r>
              <w:rPr>
                <w:rFonts w:ascii="Arial Narrow" w:hAnsi="Arial Narrow"/>
                <w:b/>
                <w:bCs/>
                <w:sz w:val="16"/>
                <w:szCs w:val="16"/>
              </w:rPr>
              <w:t>Sociálne dávky podľa účelov</w:t>
            </w:r>
          </w:p>
        </w:tc>
        <w:tc>
          <w:tcPr>
            <w:tcW w:w="789" w:type="dxa"/>
            <w:tcBorders>
              <w:top w:val="nil"/>
              <w:left w:val="single" w:sz="4" w:space="0" w:color="FF0000"/>
              <w:bottom w:val="nil"/>
              <w:right w:val="single" w:sz="4" w:space="0" w:color="FF0000"/>
            </w:tcBorders>
            <w:shd w:val="clear" w:color="000000" w:fill="E2EFDA"/>
            <w:noWrap/>
            <w:vAlign w:val="bottom"/>
            <w:hideMark/>
          </w:tcPr>
          <w:p w:rsidR="00841C12" w:rsidRDefault="00841C12">
            <w:pPr>
              <w:rPr>
                <w:rFonts w:ascii="Arial Narrow" w:hAnsi="Arial Narrow"/>
                <w:b/>
                <w:bCs/>
                <w:sz w:val="16"/>
                <w:szCs w:val="16"/>
              </w:rPr>
            </w:pPr>
            <w:r>
              <w:rPr>
                <w:rFonts w:ascii="Arial Narrow" w:hAnsi="Arial Narrow"/>
                <w:b/>
                <w:bCs/>
                <w:sz w:val="16"/>
                <w:szCs w:val="16"/>
              </w:rPr>
              <w:t> </w:t>
            </w:r>
          </w:p>
        </w:tc>
        <w:tc>
          <w:tcPr>
            <w:tcW w:w="790" w:type="dxa"/>
            <w:tcBorders>
              <w:top w:val="nil"/>
              <w:left w:val="nil"/>
              <w:bottom w:val="nil"/>
              <w:right w:val="single" w:sz="4" w:space="0" w:color="FF0000"/>
            </w:tcBorders>
            <w:shd w:val="clear" w:color="000000" w:fill="E2EFDA"/>
            <w:noWrap/>
            <w:vAlign w:val="bottom"/>
            <w:hideMark/>
          </w:tcPr>
          <w:p w:rsidR="00841C12" w:rsidRDefault="00841C12">
            <w:pPr>
              <w:rPr>
                <w:rFonts w:ascii="Arial Narrow" w:hAnsi="Arial Narrow"/>
                <w:sz w:val="20"/>
                <w:szCs w:val="20"/>
              </w:rPr>
            </w:pPr>
            <w:r>
              <w:rPr>
                <w:rFonts w:ascii="Arial Narrow" w:hAnsi="Arial Narrow"/>
                <w:sz w:val="20"/>
                <w:szCs w:val="20"/>
              </w:rPr>
              <w:t> </w:t>
            </w:r>
          </w:p>
        </w:tc>
        <w:tc>
          <w:tcPr>
            <w:tcW w:w="853" w:type="dxa"/>
            <w:tcBorders>
              <w:top w:val="nil"/>
              <w:left w:val="nil"/>
              <w:bottom w:val="nil"/>
              <w:right w:val="nil"/>
            </w:tcBorders>
            <w:shd w:val="clear" w:color="000000" w:fill="E2EFDA"/>
            <w:noWrap/>
            <w:vAlign w:val="bottom"/>
            <w:hideMark/>
          </w:tcPr>
          <w:p w:rsidR="00841C12" w:rsidRDefault="00841C12">
            <w:pPr>
              <w:rPr>
                <w:rFonts w:ascii="Arial Narrow" w:hAnsi="Arial Narrow"/>
                <w:b/>
                <w:bCs/>
                <w:sz w:val="16"/>
                <w:szCs w:val="16"/>
              </w:rPr>
            </w:pPr>
            <w:r>
              <w:rPr>
                <w:rFonts w:ascii="Arial Narrow" w:hAnsi="Arial Narrow"/>
                <w:b/>
                <w:bCs/>
                <w:sz w:val="16"/>
                <w:szCs w:val="16"/>
              </w:rPr>
              <w:t> </w:t>
            </w:r>
          </w:p>
        </w:tc>
        <w:tc>
          <w:tcPr>
            <w:tcW w:w="685" w:type="dxa"/>
            <w:tcBorders>
              <w:top w:val="nil"/>
              <w:left w:val="single" w:sz="4" w:space="0" w:color="FF0000"/>
              <w:bottom w:val="nil"/>
              <w:right w:val="single" w:sz="4" w:space="0" w:color="FF0000"/>
            </w:tcBorders>
            <w:shd w:val="clear" w:color="000000" w:fill="E2EFDA"/>
            <w:noWrap/>
            <w:vAlign w:val="bottom"/>
            <w:hideMark/>
          </w:tcPr>
          <w:p w:rsidR="00841C12" w:rsidRDefault="00841C12">
            <w:pPr>
              <w:rPr>
                <w:rFonts w:ascii="Arial Narrow" w:hAnsi="Arial Narrow"/>
                <w:sz w:val="16"/>
                <w:szCs w:val="16"/>
              </w:rPr>
            </w:pPr>
            <w:r>
              <w:rPr>
                <w:rFonts w:ascii="Arial Narrow" w:hAnsi="Arial Narrow"/>
                <w:sz w:val="16"/>
                <w:szCs w:val="16"/>
              </w:rPr>
              <w:t> </w:t>
            </w:r>
          </w:p>
        </w:tc>
        <w:tc>
          <w:tcPr>
            <w:tcW w:w="700" w:type="dxa"/>
            <w:tcBorders>
              <w:top w:val="nil"/>
              <w:left w:val="nil"/>
              <w:bottom w:val="nil"/>
              <w:right w:val="single" w:sz="4" w:space="0" w:color="FF0000"/>
            </w:tcBorders>
            <w:shd w:val="clear" w:color="000000" w:fill="E2EFDA"/>
            <w:noWrap/>
            <w:vAlign w:val="bottom"/>
            <w:hideMark/>
          </w:tcPr>
          <w:p w:rsidR="00841C12" w:rsidRDefault="00841C12">
            <w:pPr>
              <w:rPr>
                <w:rFonts w:ascii="Arial Narrow" w:hAnsi="Arial Narrow"/>
                <w:sz w:val="16"/>
                <w:szCs w:val="16"/>
              </w:rPr>
            </w:pPr>
            <w:r>
              <w:rPr>
                <w:rFonts w:ascii="Arial Narrow" w:hAnsi="Arial Narrow"/>
                <w:sz w:val="16"/>
                <w:szCs w:val="16"/>
              </w:rPr>
              <w:t> </w:t>
            </w:r>
          </w:p>
        </w:tc>
        <w:tc>
          <w:tcPr>
            <w:tcW w:w="617" w:type="dxa"/>
            <w:tcBorders>
              <w:top w:val="nil"/>
              <w:left w:val="nil"/>
              <w:bottom w:val="nil"/>
              <w:right w:val="single" w:sz="4" w:space="0" w:color="FF0000"/>
            </w:tcBorders>
            <w:shd w:val="clear" w:color="000000" w:fill="E2EFDA"/>
            <w:noWrap/>
            <w:vAlign w:val="bottom"/>
            <w:hideMark/>
          </w:tcPr>
          <w:p w:rsidR="00841C12" w:rsidRDefault="00841C12">
            <w:pPr>
              <w:rPr>
                <w:rFonts w:ascii="Arial Narrow" w:hAnsi="Arial Narrow"/>
                <w:sz w:val="16"/>
                <w:szCs w:val="16"/>
              </w:rPr>
            </w:pPr>
            <w:r>
              <w:rPr>
                <w:rFonts w:ascii="Arial Narrow" w:hAnsi="Arial Narrow"/>
                <w:sz w:val="16"/>
                <w:szCs w:val="16"/>
              </w:rPr>
              <w:t> </w:t>
            </w:r>
          </w:p>
        </w:tc>
        <w:tc>
          <w:tcPr>
            <w:tcW w:w="831" w:type="dxa"/>
            <w:tcBorders>
              <w:top w:val="nil"/>
              <w:left w:val="nil"/>
              <w:bottom w:val="nil"/>
              <w:right w:val="nil"/>
            </w:tcBorders>
            <w:shd w:val="clear" w:color="000000" w:fill="E2EFDA"/>
            <w:noWrap/>
            <w:vAlign w:val="bottom"/>
            <w:hideMark/>
          </w:tcPr>
          <w:p w:rsidR="00841C12" w:rsidRDefault="00841C12">
            <w:pPr>
              <w:rPr>
                <w:rFonts w:ascii="Arial Narrow" w:hAnsi="Arial Narrow"/>
                <w:b/>
                <w:bCs/>
                <w:sz w:val="16"/>
                <w:szCs w:val="16"/>
              </w:rPr>
            </w:pPr>
            <w:r>
              <w:rPr>
                <w:rFonts w:ascii="Arial Narrow" w:hAnsi="Arial Narrow"/>
                <w:b/>
                <w:bCs/>
                <w:sz w:val="16"/>
                <w:szCs w:val="16"/>
              </w:rPr>
              <w:t> </w:t>
            </w:r>
          </w:p>
        </w:tc>
      </w:tr>
      <w:tr w:rsidR="008D4F0D" w:rsidTr="009D7BDA">
        <w:trPr>
          <w:trHeight w:val="225"/>
        </w:trPr>
        <w:tc>
          <w:tcPr>
            <w:tcW w:w="908" w:type="dxa"/>
            <w:gridSpan w:val="2"/>
            <w:tcBorders>
              <w:top w:val="nil"/>
              <w:left w:val="nil"/>
              <w:bottom w:val="nil"/>
              <w:right w:val="nil"/>
            </w:tcBorders>
            <w:shd w:val="clear" w:color="auto" w:fill="auto"/>
            <w:noWrap/>
            <w:vAlign w:val="bottom"/>
            <w:hideMark/>
          </w:tcPr>
          <w:p w:rsidR="008D4F0D" w:rsidRDefault="008D4F0D" w:rsidP="008D4F0D">
            <w:pPr>
              <w:rPr>
                <w:rFonts w:ascii="Arial Narrow" w:hAnsi="Arial Narrow"/>
                <w:b/>
                <w:bCs/>
                <w:sz w:val="16"/>
                <w:szCs w:val="16"/>
              </w:rPr>
            </w:pPr>
          </w:p>
        </w:tc>
        <w:tc>
          <w:tcPr>
            <w:tcW w:w="2897" w:type="dxa"/>
            <w:gridSpan w:val="5"/>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r>
              <w:rPr>
                <w:rFonts w:ascii="Arial Narrow" w:hAnsi="Arial Narrow"/>
                <w:sz w:val="16"/>
                <w:szCs w:val="16"/>
              </w:rPr>
              <w:t>choroba/zdrav. starostlivosť</w:t>
            </w:r>
          </w:p>
        </w:tc>
        <w:tc>
          <w:tcPr>
            <w:tcW w:w="789" w:type="dxa"/>
            <w:tcBorders>
              <w:top w:val="nil"/>
              <w:left w:val="single" w:sz="4" w:space="0" w:color="FF0000"/>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lang w:eastAsia="sk-SK"/>
              </w:rPr>
            </w:pPr>
            <w:r>
              <w:rPr>
                <w:rFonts w:ascii="Arial Narrow" w:hAnsi="Arial Narrow" w:cs="Calibri"/>
                <w:sz w:val="16"/>
                <w:szCs w:val="16"/>
              </w:rPr>
              <w:t>5 332,4</w:t>
            </w:r>
          </w:p>
        </w:tc>
        <w:tc>
          <w:tcPr>
            <w:tcW w:w="790"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4 603,0</w:t>
            </w:r>
          </w:p>
        </w:tc>
        <w:tc>
          <w:tcPr>
            <w:tcW w:w="853"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977,7</w:t>
            </w:r>
          </w:p>
        </w:tc>
        <w:tc>
          <w:tcPr>
            <w:tcW w:w="685"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1 346,2</w:t>
            </w:r>
          </w:p>
        </w:tc>
        <w:tc>
          <w:tcPr>
            <w:tcW w:w="700" w:type="dxa"/>
            <w:tcBorders>
              <w:top w:val="nil"/>
              <w:left w:val="nil"/>
              <w:bottom w:val="nil"/>
              <w:right w:val="single" w:sz="4" w:space="0" w:color="FF0000"/>
            </w:tcBorders>
            <w:shd w:val="clear" w:color="auto" w:fill="auto"/>
            <w:noWrap/>
            <w:vAlign w:val="bottom"/>
            <w:hideMark/>
          </w:tcPr>
          <w:p w:rsidR="008D4F0D" w:rsidRPr="0056102F" w:rsidRDefault="008D4F0D" w:rsidP="008D4F0D">
            <w:pPr>
              <w:jc w:val="right"/>
              <w:rPr>
                <w:rFonts w:ascii="Arial Narrow" w:hAnsi="Arial Narrow" w:cs="Calibri"/>
                <w:sz w:val="16"/>
                <w:szCs w:val="16"/>
              </w:rPr>
            </w:pPr>
            <w:r w:rsidRPr="0056102F">
              <w:rPr>
                <w:rFonts w:ascii="Arial Narrow" w:hAnsi="Arial Narrow" w:cs="Calibri"/>
                <w:sz w:val="16"/>
                <w:szCs w:val="16"/>
              </w:rPr>
              <w:t>31,7</w:t>
            </w:r>
          </w:p>
        </w:tc>
        <w:tc>
          <w:tcPr>
            <w:tcW w:w="617"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5,7</w:t>
            </w:r>
          </w:p>
        </w:tc>
        <w:tc>
          <w:tcPr>
            <w:tcW w:w="831" w:type="dxa"/>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103,7</w:t>
            </w:r>
          </w:p>
        </w:tc>
      </w:tr>
      <w:tr w:rsidR="009D7BDA" w:rsidTr="009D7BDA">
        <w:trPr>
          <w:trHeight w:val="263"/>
        </w:trPr>
        <w:tc>
          <w:tcPr>
            <w:tcW w:w="908" w:type="dxa"/>
            <w:gridSpan w:val="2"/>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sz w:val="16"/>
                <w:szCs w:val="16"/>
              </w:rPr>
            </w:pPr>
          </w:p>
        </w:tc>
        <w:tc>
          <w:tcPr>
            <w:tcW w:w="2191" w:type="dxa"/>
            <w:gridSpan w:val="4"/>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r>
              <w:rPr>
                <w:rFonts w:ascii="Arial Narrow" w:hAnsi="Arial Narrow"/>
                <w:sz w:val="16"/>
                <w:szCs w:val="16"/>
              </w:rPr>
              <w:t>zdravotné postihnutie</w:t>
            </w:r>
          </w:p>
        </w:tc>
        <w:tc>
          <w:tcPr>
            <w:tcW w:w="706" w:type="dxa"/>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p>
        </w:tc>
        <w:tc>
          <w:tcPr>
            <w:tcW w:w="789" w:type="dxa"/>
            <w:tcBorders>
              <w:top w:val="nil"/>
              <w:left w:val="single" w:sz="4" w:space="0" w:color="FF0000"/>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lang w:eastAsia="sk-SK"/>
              </w:rPr>
            </w:pPr>
            <w:r>
              <w:rPr>
                <w:rFonts w:ascii="Arial Narrow" w:hAnsi="Arial Narrow" w:cs="Calibri"/>
                <w:sz w:val="16"/>
                <w:szCs w:val="16"/>
              </w:rPr>
              <w:t>1 370,5</w:t>
            </w:r>
          </w:p>
        </w:tc>
        <w:tc>
          <w:tcPr>
            <w:tcW w:w="790"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1 183,1</w:t>
            </w:r>
          </w:p>
        </w:tc>
        <w:tc>
          <w:tcPr>
            <w:tcW w:w="853"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251,3</w:t>
            </w:r>
          </w:p>
        </w:tc>
        <w:tc>
          <w:tcPr>
            <w:tcW w:w="685"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346,0</w:t>
            </w:r>
          </w:p>
        </w:tc>
        <w:tc>
          <w:tcPr>
            <w:tcW w:w="700" w:type="dxa"/>
            <w:tcBorders>
              <w:top w:val="nil"/>
              <w:left w:val="nil"/>
              <w:bottom w:val="nil"/>
              <w:right w:val="single" w:sz="4" w:space="0" w:color="FF0000"/>
            </w:tcBorders>
            <w:shd w:val="clear" w:color="auto" w:fill="auto"/>
            <w:noWrap/>
            <w:vAlign w:val="bottom"/>
            <w:hideMark/>
          </w:tcPr>
          <w:p w:rsidR="008D4F0D" w:rsidRPr="0056102F" w:rsidRDefault="008D4F0D" w:rsidP="008D4F0D">
            <w:pPr>
              <w:jc w:val="right"/>
              <w:rPr>
                <w:rFonts w:ascii="Arial Narrow" w:hAnsi="Arial Narrow" w:cs="Calibri"/>
                <w:sz w:val="16"/>
                <w:szCs w:val="16"/>
              </w:rPr>
            </w:pPr>
            <w:r w:rsidRPr="0056102F">
              <w:rPr>
                <w:rFonts w:ascii="Arial Narrow" w:hAnsi="Arial Narrow" w:cs="Calibri"/>
                <w:sz w:val="16"/>
                <w:szCs w:val="16"/>
              </w:rPr>
              <w:t>8,1</w:t>
            </w:r>
          </w:p>
        </w:tc>
        <w:tc>
          <w:tcPr>
            <w:tcW w:w="617"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1,5</w:t>
            </w:r>
          </w:p>
        </w:tc>
        <w:tc>
          <w:tcPr>
            <w:tcW w:w="831" w:type="dxa"/>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103,0</w:t>
            </w:r>
          </w:p>
        </w:tc>
      </w:tr>
      <w:tr w:rsidR="009D7BDA" w:rsidTr="009D7BDA">
        <w:trPr>
          <w:trHeight w:val="240"/>
        </w:trPr>
        <w:tc>
          <w:tcPr>
            <w:tcW w:w="908" w:type="dxa"/>
            <w:gridSpan w:val="2"/>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sz w:val="16"/>
                <w:szCs w:val="16"/>
              </w:rPr>
            </w:pPr>
          </w:p>
        </w:tc>
        <w:tc>
          <w:tcPr>
            <w:tcW w:w="1288" w:type="dxa"/>
            <w:gridSpan w:val="3"/>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r>
              <w:rPr>
                <w:rFonts w:ascii="Arial Narrow" w:hAnsi="Arial Narrow"/>
                <w:sz w:val="16"/>
                <w:szCs w:val="16"/>
              </w:rPr>
              <w:t xml:space="preserve">staroba </w:t>
            </w:r>
          </w:p>
        </w:tc>
        <w:tc>
          <w:tcPr>
            <w:tcW w:w="903" w:type="dxa"/>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p>
        </w:tc>
        <w:tc>
          <w:tcPr>
            <w:tcW w:w="706" w:type="dxa"/>
            <w:tcBorders>
              <w:top w:val="nil"/>
              <w:left w:val="nil"/>
              <w:bottom w:val="nil"/>
              <w:right w:val="nil"/>
            </w:tcBorders>
            <w:shd w:val="clear" w:color="auto" w:fill="auto"/>
            <w:noWrap/>
            <w:vAlign w:val="bottom"/>
            <w:hideMark/>
          </w:tcPr>
          <w:p w:rsidR="008D4F0D" w:rsidRDefault="008D4F0D" w:rsidP="008D4F0D">
            <w:pPr>
              <w:rPr>
                <w:sz w:val="20"/>
                <w:szCs w:val="20"/>
              </w:rPr>
            </w:pPr>
          </w:p>
        </w:tc>
        <w:tc>
          <w:tcPr>
            <w:tcW w:w="789" w:type="dxa"/>
            <w:tcBorders>
              <w:top w:val="nil"/>
              <w:left w:val="single" w:sz="4" w:space="0" w:color="FF0000"/>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lang w:eastAsia="sk-SK"/>
              </w:rPr>
            </w:pPr>
            <w:r>
              <w:rPr>
                <w:rFonts w:ascii="Arial Narrow" w:hAnsi="Arial Narrow" w:cs="Calibri"/>
                <w:sz w:val="16"/>
                <w:szCs w:val="16"/>
              </w:rPr>
              <w:t>6 660,1</w:t>
            </w:r>
          </w:p>
        </w:tc>
        <w:tc>
          <w:tcPr>
            <w:tcW w:w="790"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5 749,0</w:t>
            </w:r>
          </w:p>
        </w:tc>
        <w:tc>
          <w:tcPr>
            <w:tcW w:w="853"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1 221,1</w:t>
            </w:r>
          </w:p>
        </w:tc>
        <w:tc>
          <w:tcPr>
            <w:tcW w:w="685"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1 681,4</w:t>
            </w:r>
          </w:p>
        </w:tc>
        <w:tc>
          <w:tcPr>
            <w:tcW w:w="700" w:type="dxa"/>
            <w:tcBorders>
              <w:top w:val="nil"/>
              <w:left w:val="nil"/>
              <w:bottom w:val="nil"/>
              <w:right w:val="single" w:sz="4" w:space="0" w:color="FF0000"/>
            </w:tcBorders>
            <w:shd w:val="clear" w:color="auto" w:fill="auto"/>
            <w:noWrap/>
            <w:vAlign w:val="bottom"/>
            <w:hideMark/>
          </w:tcPr>
          <w:p w:rsidR="008D4F0D" w:rsidRPr="0056102F" w:rsidRDefault="008D4F0D" w:rsidP="008D4F0D">
            <w:pPr>
              <w:jc w:val="right"/>
              <w:rPr>
                <w:rFonts w:ascii="Arial Narrow" w:hAnsi="Arial Narrow" w:cs="Calibri"/>
                <w:sz w:val="16"/>
                <w:szCs w:val="16"/>
              </w:rPr>
            </w:pPr>
            <w:r w:rsidRPr="0056102F">
              <w:rPr>
                <w:rFonts w:ascii="Arial Narrow" w:hAnsi="Arial Narrow" w:cs="Calibri"/>
                <w:sz w:val="16"/>
                <w:szCs w:val="16"/>
              </w:rPr>
              <w:t>39,5</w:t>
            </w:r>
          </w:p>
        </w:tc>
        <w:tc>
          <w:tcPr>
            <w:tcW w:w="617"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7,1</w:t>
            </w:r>
          </w:p>
        </w:tc>
        <w:tc>
          <w:tcPr>
            <w:tcW w:w="831" w:type="dxa"/>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104,6</w:t>
            </w:r>
          </w:p>
        </w:tc>
      </w:tr>
      <w:tr w:rsidR="009D7BDA" w:rsidTr="009D7BDA">
        <w:trPr>
          <w:trHeight w:val="218"/>
        </w:trPr>
        <w:tc>
          <w:tcPr>
            <w:tcW w:w="908" w:type="dxa"/>
            <w:gridSpan w:val="2"/>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sz w:val="16"/>
                <w:szCs w:val="16"/>
              </w:rPr>
            </w:pPr>
          </w:p>
        </w:tc>
        <w:tc>
          <w:tcPr>
            <w:tcW w:w="1288" w:type="dxa"/>
            <w:gridSpan w:val="3"/>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r>
              <w:rPr>
                <w:rFonts w:ascii="Arial Narrow" w:hAnsi="Arial Narrow"/>
                <w:sz w:val="16"/>
                <w:szCs w:val="16"/>
              </w:rPr>
              <w:t>pozostalí</w:t>
            </w:r>
          </w:p>
        </w:tc>
        <w:tc>
          <w:tcPr>
            <w:tcW w:w="903" w:type="dxa"/>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p>
        </w:tc>
        <w:tc>
          <w:tcPr>
            <w:tcW w:w="706" w:type="dxa"/>
            <w:tcBorders>
              <w:top w:val="nil"/>
              <w:left w:val="nil"/>
              <w:bottom w:val="nil"/>
              <w:right w:val="nil"/>
            </w:tcBorders>
            <w:shd w:val="clear" w:color="auto" w:fill="auto"/>
            <w:noWrap/>
            <w:vAlign w:val="bottom"/>
            <w:hideMark/>
          </w:tcPr>
          <w:p w:rsidR="008D4F0D" w:rsidRDefault="008D4F0D" w:rsidP="008D4F0D">
            <w:pPr>
              <w:rPr>
                <w:sz w:val="20"/>
                <w:szCs w:val="20"/>
              </w:rPr>
            </w:pPr>
          </w:p>
        </w:tc>
        <w:tc>
          <w:tcPr>
            <w:tcW w:w="789" w:type="dxa"/>
            <w:tcBorders>
              <w:top w:val="nil"/>
              <w:left w:val="single" w:sz="4" w:space="0" w:color="FF0000"/>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lang w:eastAsia="sk-SK"/>
              </w:rPr>
            </w:pPr>
            <w:r>
              <w:rPr>
                <w:rFonts w:ascii="Arial Narrow" w:hAnsi="Arial Narrow" w:cs="Calibri"/>
                <w:sz w:val="16"/>
                <w:szCs w:val="16"/>
              </w:rPr>
              <w:t>771,5</w:t>
            </w:r>
          </w:p>
        </w:tc>
        <w:tc>
          <w:tcPr>
            <w:tcW w:w="790"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666,0</w:t>
            </w:r>
          </w:p>
        </w:tc>
        <w:tc>
          <w:tcPr>
            <w:tcW w:w="853"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141,5</w:t>
            </w:r>
          </w:p>
        </w:tc>
        <w:tc>
          <w:tcPr>
            <w:tcW w:w="685"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194,8</w:t>
            </w:r>
          </w:p>
        </w:tc>
        <w:tc>
          <w:tcPr>
            <w:tcW w:w="700" w:type="dxa"/>
            <w:tcBorders>
              <w:top w:val="nil"/>
              <w:left w:val="nil"/>
              <w:bottom w:val="nil"/>
              <w:right w:val="single" w:sz="4" w:space="0" w:color="FF0000"/>
            </w:tcBorders>
            <w:shd w:val="clear" w:color="auto" w:fill="auto"/>
            <w:noWrap/>
            <w:vAlign w:val="bottom"/>
            <w:hideMark/>
          </w:tcPr>
          <w:p w:rsidR="008D4F0D" w:rsidRPr="0056102F" w:rsidRDefault="008D4F0D" w:rsidP="008D4F0D">
            <w:pPr>
              <w:jc w:val="right"/>
              <w:rPr>
                <w:rFonts w:ascii="Arial Narrow" w:hAnsi="Arial Narrow" w:cs="Calibri"/>
                <w:sz w:val="16"/>
                <w:szCs w:val="16"/>
              </w:rPr>
            </w:pPr>
            <w:r w:rsidRPr="0056102F">
              <w:rPr>
                <w:rFonts w:ascii="Arial Narrow" w:hAnsi="Arial Narrow" w:cs="Calibri"/>
                <w:sz w:val="16"/>
                <w:szCs w:val="16"/>
              </w:rPr>
              <w:t>4,6</w:t>
            </w:r>
          </w:p>
        </w:tc>
        <w:tc>
          <w:tcPr>
            <w:tcW w:w="617"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0,8</w:t>
            </w:r>
          </w:p>
        </w:tc>
        <w:tc>
          <w:tcPr>
            <w:tcW w:w="831" w:type="dxa"/>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99,4</w:t>
            </w:r>
          </w:p>
        </w:tc>
      </w:tr>
      <w:tr w:rsidR="009D7BDA" w:rsidTr="009D7BDA">
        <w:trPr>
          <w:trHeight w:val="210"/>
        </w:trPr>
        <w:tc>
          <w:tcPr>
            <w:tcW w:w="908" w:type="dxa"/>
            <w:gridSpan w:val="2"/>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sz w:val="16"/>
                <w:szCs w:val="16"/>
              </w:rPr>
            </w:pPr>
          </w:p>
        </w:tc>
        <w:tc>
          <w:tcPr>
            <w:tcW w:w="2191" w:type="dxa"/>
            <w:gridSpan w:val="4"/>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r>
              <w:rPr>
                <w:rFonts w:ascii="Arial Narrow" w:hAnsi="Arial Narrow"/>
                <w:sz w:val="16"/>
                <w:szCs w:val="16"/>
              </w:rPr>
              <w:t>rodina/deti</w:t>
            </w:r>
          </w:p>
        </w:tc>
        <w:tc>
          <w:tcPr>
            <w:tcW w:w="706" w:type="dxa"/>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p>
        </w:tc>
        <w:tc>
          <w:tcPr>
            <w:tcW w:w="789" w:type="dxa"/>
            <w:tcBorders>
              <w:top w:val="nil"/>
              <w:left w:val="single" w:sz="4" w:space="0" w:color="FF0000"/>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lang w:eastAsia="sk-SK"/>
              </w:rPr>
            </w:pPr>
            <w:r>
              <w:rPr>
                <w:rFonts w:ascii="Arial Narrow" w:hAnsi="Arial Narrow" w:cs="Calibri"/>
                <w:sz w:val="16"/>
                <w:szCs w:val="16"/>
              </w:rPr>
              <w:t>1 514,8</w:t>
            </w:r>
          </w:p>
        </w:tc>
        <w:tc>
          <w:tcPr>
            <w:tcW w:w="790"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1 307,6</w:t>
            </w:r>
          </w:p>
        </w:tc>
        <w:tc>
          <w:tcPr>
            <w:tcW w:w="853"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277,7</w:t>
            </w:r>
          </w:p>
        </w:tc>
        <w:tc>
          <w:tcPr>
            <w:tcW w:w="685"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382,4</w:t>
            </w:r>
          </w:p>
        </w:tc>
        <w:tc>
          <w:tcPr>
            <w:tcW w:w="700" w:type="dxa"/>
            <w:tcBorders>
              <w:top w:val="nil"/>
              <w:left w:val="nil"/>
              <w:bottom w:val="nil"/>
              <w:right w:val="single" w:sz="4" w:space="0" w:color="FF0000"/>
            </w:tcBorders>
            <w:shd w:val="clear" w:color="auto" w:fill="auto"/>
            <w:noWrap/>
            <w:vAlign w:val="bottom"/>
            <w:hideMark/>
          </w:tcPr>
          <w:p w:rsidR="008D4F0D" w:rsidRPr="0056102F" w:rsidRDefault="008D4F0D" w:rsidP="008D4F0D">
            <w:pPr>
              <w:jc w:val="right"/>
              <w:rPr>
                <w:rFonts w:ascii="Arial Narrow" w:hAnsi="Arial Narrow" w:cs="Calibri"/>
                <w:sz w:val="16"/>
                <w:szCs w:val="16"/>
              </w:rPr>
            </w:pPr>
            <w:r w:rsidRPr="0056102F">
              <w:rPr>
                <w:rFonts w:ascii="Arial Narrow" w:hAnsi="Arial Narrow" w:cs="Calibri"/>
                <w:sz w:val="16"/>
                <w:szCs w:val="16"/>
              </w:rPr>
              <w:t>9,0</w:t>
            </w:r>
          </w:p>
        </w:tc>
        <w:tc>
          <w:tcPr>
            <w:tcW w:w="617"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1,6</w:t>
            </w:r>
          </w:p>
        </w:tc>
        <w:tc>
          <w:tcPr>
            <w:tcW w:w="831" w:type="dxa"/>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109,7</w:t>
            </w:r>
          </w:p>
        </w:tc>
      </w:tr>
      <w:tr w:rsidR="009D7BDA" w:rsidTr="009D7BDA">
        <w:trPr>
          <w:trHeight w:val="225"/>
        </w:trPr>
        <w:tc>
          <w:tcPr>
            <w:tcW w:w="908" w:type="dxa"/>
            <w:gridSpan w:val="2"/>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sz w:val="16"/>
                <w:szCs w:val="16"/>
              </w:rPr>
            </w:pPr>
          </w:p>
        </w:tc>
        <w:tc>
          <w:tcPr>
            <w:tcW w:w="2191" w:type="dxa"/>
            <w:gridSpan w:val="4"/>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r>
              <w:rPr>
                <w:rFonts w:ascii="Arial Narrow" w:hAnsi="Arial Narrow"/>
                <w:sz w:val="16"/>
                <w:szCs w:val="16"/>
              </w:rPr>
              <w:t>nezamestnanosť</w:t>
            </w:r>
          </w:p>
        </w:tc>
        <w:tc>
          <w:tcPr>
            <w:tcW w:w="706" w:type="dxa"/>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p>
        </w:tc>
        <w:tc>
          <w:tcPr>
            <w:tcW w:w="789" w:type="dxa"/>
            <w:tcBorders>
              <w:top w:val="nil"/>
              <w:left w:val="single" w:sz="4" w:space="0" w:color="FF0000"/>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lang w:eastAsia="sk-SK"/>
              </w:rPr>
            </w:pPr>
            <w:r>
              <w:rPr>
                <w:rFonts w:ascii="Arial Narrow" w:hAnsi="Arial Narrow" w:cs="Calibri"/>
                <w:sz w:val="16"/>
                <w:szCs w:val="16"/>
              </w:rPr>
              <w:t>469,3</w:t>
            </w:r>
          </w:p>
        </w:tc>
        <w:tc>
          <w:tcPr>
            <w:tcW w:w="790"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405,1</w:t>
            </w:r>
          </w:p>
        </w:tc>
        <w:tc>
          <w:tcPr>
            <w:tcW w:w="853"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86,0</w:t>
            </w:r>
          </w:p>
        </w:tc>
        <w:tc>
          <w:tcPr>
            <w:tcW w:w="685"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118,5</w:t>
            </w:r>
          </w:p>
        </w:tc>
        <w:tc>
          <w:tcPr>
            <w:tcW w:w="700" w:type="dxa"/>
            <w:tcBorders>
              <w:top w:val="nil"/>
              <w:left w:val="nil"/>
              <w:bottom w:val="nil"/>
              <w:right w:val="single" w:sz="4" w:space="0" w:color="FF0000"/>
            </w:tcBorders>
            <w:shd w:val="clear" w:color="auto" w:fill="auto"/>
            <w:noWrap/>
            <w:vAlign w:val="bottom"/>
            <w:hideMark/>
          </w:tcPr>
          <w:p w:rsidR="008D4F0D" w:rsidRPr="0056102F" w:rsidRDefault="008D4F0D" w:rsidP="008D4F0D">
            <w:pPr>
              <w:jc w:val="right"/>
              <w:rPr>
                <w:rFonts w:ascii="Arial Narrow" w:hAnsi="Arial Narrow" w:cs="Calibri"/>
                <w:sz w:val="16"/>
                <w:szCs w:val="16"/>
              </w:rPr>
            </w:pPr>
            <w:r w:rsidRPr="0056102F">
              <w:rPr>
                <w:rFonts w:ascii="Arial Narrow" w:hAnsi="Arial Narrow" w:cs="Calibri"/>
                <w:sz w:val="16"/>
                <w:szCs w:val="16"/>
              </w:rPr>
              <w:t>2,8</w:t>
            </w:r>
          </w:p>
        </w:tc>
        <w:tc>
          <w:tcPr>
            <w:tcW w:w="617"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0,5</w:t>
            </w:r>
          </w:p>
        </w:tc>
        <w:tc>
          <w:tcPr>
            <w:tcW w:w="831" w:type="dxa"/>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108,9</w:t>
            </w:r>
          </w:p>
        </w:tc>
      </w:tr>
      <w:tr w:rsidR="009D7BDA" w:rsidTr="009D7BDA">
        <w:trPr>
          <w:trHeight w:val="210"/>
        </w:trPr>
        <w:tc>
          <w:tcPr>
            <w:tcW w:w="908" w:type="dxa"/>
            <w:gridSpan w:val="2"/>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sz w:val="16"/>
                <w:szCs w:val="16"/>
              </w:rPr>
            </w:pPr>
          </w:p>
        </w:tc>
        <w:tc>
          <w:tcPr>
            <w:tcW w:w="1288" w:type="dxa"/>
            <w:gridSpan w:val="3"/>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r>
              <w:rPr>
                <w:rFonts w:ascii="Arial Narrow" w:hAnsi="Arial Narrow"/>
                <w:sz w:val="16"/>
                <w:szCs w:val="16"/>
              </w:rPr>
              <w:t>bývanie</w:t>
            </w:r>
          </w:p>
        </w:tc>
        <w:tc>
          <w:tcPr>
            <w:tcW w:w="903" w:type="dxa"/>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p>
        </w:tc>
        <w:tc>
          <w:tcPr>
            <w:tcW w:w="706" w:type="dxa"/>
            <w:tcBorders>
              <w:top w:val="nil"/>
              <w:left w:val="nil"/>
              <w:bottom w:val="nil"/>
              <w:right w:val="nil"/>
            </w:tcBorders>
            <w:shd w:val="clear" w:color="auto" w:fill="auto"/>
            <w:noWrap/>
            <w:vAlign w:val="bottom"/>
            <w:hideMark/>
          </w:tcPr>
          <w:p w:rsidR="008D4F0D" w:rsidRDefault="008D4F0D" w:rsidP="008D4F0D">
            <w:pPr>
              <w:rPr>
                <w:sz w:val="20"/>
                <w:szCs w:val="20"/>
              </w:rPr>
            </w:pPr>
          </w:p>
        </w:tc>
        <w:tc>
          <w:tcPr>
            <w:tcW w:w="789" w:type="dxa"/>
            <w:tcBorders>
              <w:top w:val="nil"/>
              <w:left w:val="single" w:sz="4" w:space="0" w:color="FF0000"/>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lang w:eastAsia="sk-SK"/>
              </w:rPr>
            </w:pPr>
            <w:r>
              <w:rPr>
                <w:rFonts w:ascii="Arial Narrow" w:hAnsi="Arial Narrow" w:cs="Calibri"/>
                <w:sz w:val="16"/>
                <w:szCs w:val="16"/>
              </w:rPr>
              <w:t>42,4</w:t>
            </w:r>
          </w:p>
        </w:tc>
        <w:tc>
          <w:tcPr>
            <w:tcW w:w="790"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36,6</w:t>
            </w:r>
          </w:p>
        </w:tc>
        <w:tc>
          <w:tcPr>
            <w:tcW w:w="853"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7,8</w:t>
            </w:r>
          </w:p>
        </w:tc>
        <w:tc>
          <w:tcPr>
            <w:tcW w:w="685"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10,7</w:t>
            </w:r>
          </w:p>
        </w:tc>
        <w:tc>
          <w:tcPr>
            <w:tcW w:w="700" w:type="dxa"/>
            <w:tcBorders>
              <w:top w:val="nil"/>
              <w:left w:val="nil"/>
              <w:bottom w:val="nil"/>
              <w:right w:val="single" w:sz="4" w:space="0" w:color="FF0000"/>
            </w:tcBorders>
            <w:shd w:val="clear" w:color="auto" w:fill="auto"/>
            <w:noWrap/>
            <w:vAlign w:val="bottom"/>
            <w:hideMark/>
          </w:tcPr>
          <w:p w:rsidR="008D4F0D" w:rsidRPr="0056102F" w:rsidRDefault="008D4F0D" w:rsidP="008D4F0D">
            <w:pPr>
              <w:jc w:val="right"/>
              <w:rPr>
                <w:rFonts w:ascii="Arial Narrow" w:hAnsi="Arial Narrow" w:cs="Calibri"/>
                <w:sz w:val="16"/>
                <w:szCs w:val="16"/>
              </w:rPr>
            </w:pPr>
            <w:r w:rsidRPr="0056102F">
              <w:rPr>
                <w:rFonts w:ascii="Arial Narrow" w:hAnsi="Arial Narrow" w:cs="Calibri"/>
                <w:sz w:val="16"/>
                <w:szCs w:val="16"/>
              </w:rPr>
              <w:t>0,3</w:t>
            </w:r>
          </w:p>
        </w:tc>
        <w:tc>
          <w:tcPr>
            <w:tcW w:w="617"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0,0</w:t>
            </w:r>
          </w:p>
        </w:tc>
        <w:tc>
          <w:tcPr>
            <w:tcW w:w="831" w:type="dxa"/>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90,8</w:t>
            </w:r>
          </w:p>
        </w:tc>
      </w:tr>
      <w:tr w:rsidR="009D7BDA" w:rsidTr="009D7BDA">
        <w:trPr>
          <w:trHeight w:val="225"/>
        </w:trPr>
        <w:tc>
          <w:tcPr>
            <w:tcW w:w="908" w:type="dxa"/>
            <w:gridSpan w:val="2"/>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sz w:val="16"/>
                <w:szCs w:val="16"/>
              </w:rPr>
            </w:pPr>
          </w:p>
        </w:tc>
        <w:tc>
          <w:tcPr>
            <w:tcW w:w="2191" w:type="dxa"/>
            <w:gridSpan w:val="4"/>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r>
              <w:rPr>
                <w:rFonts w:ascii="Arial Narrow" w:hAnsi="Arial Narrow"/>
                <w:sz w:val="16"/>
                <w:szCs w:val="16"/>
              </w:rPr>
              <w:t>sociálne vylúčenie</w:t>
            </w:r>
          </w:p>
        </w:tc>
        <w:tc>
          <w:tcPr>
            <w:tcW w:w="706" w:type="dxa"/>
            <w:tcBorders>
              <w:top w:val="nil"/>
              <w:left w:val="nil"/>
              <w:bottom w:val="nil"/>
              <w:right w:val="nil"/>
            </w:tcBorders>
            <w:shd w:val="clear" w:color="auto" w:fill="auto"/>
            <w:noWrap/>
            <w:vAlign w:val="bottom"/>
            <w:hideMark/>
          </w:tcPr>
          <w:p w:rsidR="008D4F0D" w:rsidRDefault="008D4F0D" w:rsidP="008D4F0D">
            <w:pPr>
              <w:rPr>
                <w:rFonts w:ascii="Arial Narrow" w:hAnsi="Arial Narrow"/>
                <w:sz w:val="16"/>
                <w:szCs w:val="16"/>
              </w:rPr>
            </w:pPr>
          </w:p>
        </w:tc>
        <w:tc>
          <w:tcPr>
            <w:tcW w:w="789" w:type="dxa"/>
            <w:tcBorders>
              <w:top w:val="nil"/>
              <w:left w:val="single" w:sz="4" w:space="0" w:color="FF0000"/>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lang w:eastAsia="sk-SK"/>
              </w:rPr>
            </w:pPr>
            <w:r>
              <w:rPr>
                <w:rFonts w:ascii="Arial Narrow" w:hAnsi="Arial Narrow" w:cs="Calibri"/>
                <w:sz w:val="16"/>
                <w:szCs w:val="16"/>
              </w:rPr>
              <w:t>206,3</w:t>
            </w:r>
          </w:p>
        </w:tc>
        <w:tc>
          <w:tcPr>
            <w:tcW w:w="790"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178,1</w:t>
            </w:r>
          </w:p>
        </w:tc>
        <w:tc>
          <w:tcPr>
            <w:tcW w:w="853"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37,8</w:t>
            </w:r>
          </w:p>
        </w:tc>
        <w:tc>
          <w:tcPr>
            <w:tcW w:w="685"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52,1</w:t>
            </w:r>
          </w:p>
        </w:tc>
        <w:tc>
          <w:tcPr>
            <w:tcW w:w="700" w:type="dxa"/>
            <w:tcBorders>
              <w:top w:val="nil"/>
              <w:left w:val="nil"/>
              <w:bottom w:val="nil"/>
              <w:right w:val="single" w:sz="4" w:space="0" w:color="FF0000"/>
            </w:tcBorders>
            <w:shd w:val="clear" w:color="auto" w:fill="auto"/>
            <w:noWrap/>
            <w:vAlign w:val="bottom"/>
            <w:hideMark/>
          </w:tcPr>
          <w:p w:rsidR="008D4F0D" w:rsidRPr="0056102F" w:rsidRDefault="008D4F0D" w:rsidP="008D4F0D">
            <w:pPr>
              <w:jc w:val="right"/>
              <w:rPr>
                <w:rFonts w:ascii="Arial Narrow" w:hAnsi="Arial Narrow" w:cs="Calibri"/>
                <w:sz w:val="16"/>
                <w:szCs w:val="16"/>
              </w:rPr>
            </w:pPr>
            <w:r w:rsidRPr="0056102F">
              <w:rPr>
                <w:rFonts w:ascii="Arial Narrow" w:hAnsi="Arial Narrow" w:cs="Calibri"/>
                <w:sz w:val="16"/>
                <w:szCs w:val="16"/>
              </w:rPr>
              <w:t>1,2</w:t>
            </w:r>
          </w:p>
        </w:tc>
        <w:tc>
          <w:tcPr>
            <w:tcW w:w="617" w:type="dxa"/>
            <w:tcBorders>
              <w:top w:val="nil"/>
              <w:left w:val="nil"/>
              <w:bottom w:val="nil"/>
              <w:right w:val="single" w:sz="4" w:space="0" w:color="FF0000"/>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0,2</w:t>
            </w:r>
          </w:p>
        </w:tc>
        <w:tc>
          <w:tcPr>
            <w:tcW w:w="831" w:type="dxa"/>
            <w:tcBorders>
              <w:top w:val="nil"/>
              <w:left w:val="nil"/>
              <w:bottom w:val="nil"/>
              <w:right w:val="nil"/>
            </w:tcBorders>
            <w:shd w:val="clear" w:color="auto" w:fill="auto"/>
            <w:noWrap/>
            <w:vAlign w:val="bottom"/>
            <w:hideMark/>
          </w:tcPr>
          <w:p w:rsidR="008D4F0D" w:rsidRDefault="008D4F0D" w:rsidP="008D4F0D">
            <w:pPr>
              <w:jc w:val="right"/>
              <w:rPr>
                <w:rFonts w:ascii="Arial Narrow" w:hAnsi="Arial Narrow" w:cs="Calibri"/>
                <w:sz w:val="16"/>
                <w:szCs w:val="16"/>
              </w:rPr>
            </w:pPr>
            <w:r>
              <w:rPr>
                <w:rFonts w:ascii="Arial Narrow" w:hAnsi="Arial Narrow" w:cs="Calibri"/>
                <w:sz w:val="16"/>
                <w:szCs w:val="16"/>
              </w:rPr>
              <w:t>113,2</w:t>
            </w:r>
          </w:p>
        </w:tc>
      </w:tr>
      <w:tr w:rsidR="009D7BDA" w:rsidTr="009D7BDA">
        <w:trPr>
          <w:trHeight w:val="240"/>
        </w:trPr>
        <w:tc>
          <w:tcPr>
            <w:tcW w:w="516" w:type="dxa"/>
            <w:tcBorders>
              <w:top w:val="nil"/>
              <w:left w:val="nil"/>
              <w:bottom w:val="nil"/>
              <w:right w:val="nil"/>
            </w:tcBorders>
            <w:shd w:val="clear" w:color="auto" w:fill="C5E0B3" w:themeFill="accent6" w:themeFillTint="66"/>
            <w:noWrap/>
            <w:vAlign w:val="bottom"/>
            <w:hideMark/>
          </w:tcPr>
          <w:p w:rsidR="009D7BDA" w:rsidRDefault="009D7BDA" w:rsidP="00D6262B">
            <w:pPr>
              <w:rPr>
                <w:rFonts w:ascii="Arial Narrow" w:hAnsi="Arial Narrow"/>
                <w:b/>
                <w:bCs/>
                <w:sz w:val="16"/>
                <w:szCs w:val="16"/>
              </w:rPr>
            </w:pPr>
            <w:r>
              <w:rPr>
                <w:rFonts w:ascii="Arial Narrow" w:hAnsi="Arial Narrow"/>
                <w:b/>
                <w:bCs/>
                <w:sz w:val="16"/>
                <w:szCs w:val="16"/>
              </w:rPr>
              <w:t> </w:t>
            </w:r>
          </w:p>
        </w:tc>
        <w:tc>
          <w:tcPr>
            <w:tcW w:w="3289" w:type="dxa"/>
            <w:gridSpan w:val="6"/>
            <w:tcBorders>
              <w:top w:val="nil"/>
              <w:left w:val="nil"/>
              <w:bottom w:val="nil"/>
              <w:right w:val="nil"/>
            </w:tcBorders>
            <w:shd w:val="clear" w:color="auto" w:fill="C5E0B3" w:themeFill="accent6" w:themeFillTint="66"/>
            <w:noWrap/>
            <w:vAlign w:val="center"/>
            <w:hideMark/>
          </w:tcPr>
          <w:p w:rsidR="009D7BDA" w:rsidRDefault="009D7BDA" w:rsidP="00D6262B">
            <w:pPr>
              <w:rPr>
                <w:rFonts w:ascii="Arial Narrow" w:hAnsi="Arial Narrow"/>
                <w:b/>
                <w:bCs/>
                <w:sz w:val="16"/>
                <w:szCs w:val="16"/>
              </w:rPr>
            </w:pPr>
            <w:r>
              <w:rPr>
                <w:rFonts w:ascii="Arial Narrow" w:hAnsi="Arial Narrow"/>
                <w:b/>
                <w:bCs/>
                <w:sz w:val="16"/>
                <w:szCs w:val="16"/>
              </w:rPr>
              <w:t>Administratívne náklady</w:t>
            </w:r>
          </w:p>
        </w:tc>
        <w:tc>
          <w:tcPr>
            <w:tcW w:w="789" w:type="dxa"/>
            <w:tcBorders>
              <w:top w:val="nil"/>
              <w:left w:val="single" w:sz="4" w:space="0" w:color="FF0000"/>
              <w:bottom w:val="nil"/>
              <w:right w:val="single" w:sz="4" w:space="0" w:color="FF0000"/>
            </w:tcBorders>
            <w:shd w:val="clear" w:color="auto" w:fill="C5E0B3" w:themeFill="accent6" w:themeFillTint="66"/>
            <w:noWrap/>
            <w:vAlign w:val="bottom"/>
            <w:hideMark/>
          </w:tcPr>
          <w:p w:rsidR="009D7BDA" w:rsidRDefault="009D7BDA" w:rsidP="00D6262B">
            <w:pPr>
              <w:jc w:val="right"/>
              <w:rPr>
                <w:rFonts w:ascii="Arial Narrow" w:hAnsi="Arial Narrow" w:cs="Calibri"/>
                <w:b/>
                <w:bCs/>
                <w:sz w:val="16"/>
                <w:szCs w:val="16"/>
                <w:lang w:eastAsia="sk-SK"/>
              </w:rPr>
            </w:pPr>
            <w:r>
              <w:rPr>
                <w:rFonts w:ascii="Arial Narrow" w:hAnsi="Arial Narrow" w:cs="Calibri"/>
                <w:b/>
                <w:bCs/>
                <w:sz w:val="16"/>
                <w:szCs w:val="16"/>
              </w:rPr>
              <w:t>440,8</w:t>
            </w:r>
          </w:p>
        </w:tc>
        <w:tc>
          <w:tcPr>
            <w:tcW w:w="790" w:type="dxa"/>
            <w:tcBorders>
              <w:top w:val="nil"/>
              <w:left w:val="nil"/>
              <w:bottom w:val="nil"/>
              <w:right w:val="single" w:sz="4" w:space="0" w:color="FF0000"/>
            </w:tcBorders>
            <w:shd w:val="clear" w:color="auto" w:fill="C5E0B3" w:themeFill="accent6" w:themeFillTint="66"/>
            <w:noWrap/>
            <w:vAlign w:val="bottom"/>
            <w:hideMark/>
          </w:tcPr>
          <w:p w:rsidR="009D7BDA" w:rsidRDefault="009D7BDA" w:rsidP="00D6262B">
            <w:pPr>
              <w:jc w:val="right"/>
              <w:rPr>
                <w:rFonts w:ascii="Arial Narrow" w:hAnsi="Arial Narrow" w:cs="Calibri"/>
                <w:b/>
                <w:bCs/>
                <w:sz w:val="16"/>
                <w:szCs w:val="16"/>
              </w:rPr>
            </w:pPr>
            <w:r>
              <w:rPr>
                <w:rFonts w:ascii="Arial Narrow" w:hAnsi="Arial Narrow" w:cs="Calibri"/>
                <w:b/>
                <w:bCs/>
                <w:sz w:val="16"/>
                <w:szCs w:val="16"/>
              </w:rPr>
              <w:t>380,5</w:t>
            </w:r>
          </w:p>
        </w:tc>
        <w:tc>
          <w:tcPr>
            <w:tcW w:w="853" w:type="dxa"/>
            <w:tcBorders>
              <w:top w:val="nil"/>
              <w:left w:val="nil"/>
              <w:bottom w:val="nil"/>
              <w:right w:val="single" w:sz="4" w:space="0" w:color="FF0000"/>
            </w:tcBorders>
            <w:shd w:val="clear" w:color="auto" w:fill="C5E0B3" w:themeFill="accent6" w:themeFillTint="66"/>
            <w:noWrap/>
            <w:vAlign w:val="bottom"/>
            <w:hideMark/>
          </w:tcPr>
          <w:p w:rsidR="009D7BDA" w:rsidRDefault="009D7BDA" w:rsidP="00D6262B">
            <w:pPr>
              <w:jc w:val="right"/>
              <w:rPr>
                <w:rFonts w:ascii="Arial Narrow" w:hAnsi="Arial Narrow" w:cs="Calibri"/>
                <w:b/>
                <w:bCs/>
                <w:sz w:val="16"/>
                <w:szCs w:val="16"/>
              </w:rPr>
            </w:pPr>
            <w:r>
              <w:rPr>
                <w:rFonts w:ascii="Arial Narrow" w:hAnsi="Arial Narrow" w:cs="Calibri"/>
                <w:b/>
                <w:bCs/>
                <w:sz w:val="16"/>
                <w:szCs w:val="16"/>
              </w:rPr>
              <w:t xml:space="preserve"> 80,8</w:t>
            </w:r>
          </w:p>
        </w:tc>
        <w:tc>
          <w:tcPr>
            <w:tcW w:w="685" w:type="dxa"/>
            <w:tcBorders>
              <w:top w:val="nil"/>
              <w:left w:val="nil"/>
              <w:bottom w:val="nil"/>
              <w:right w:val="single" w:sz="4" w:space="0" w:color="FF0000"/>
            </w:tcBorders>
            <w:shd w:val="clear" w:color="auto" w:fill="C5E0B3" w:themeFill="accent6" w:themeFillTint="66"/>
            <w:noWrap/>
            <w:vAlign w:val="bottom"/>
            <w:hideMark/>
          </w:tcPr>
          <w:p w:rsidR="009D7BDA" w:rsidRDefault="009D7BDA" w:rsidP="00D6262B">
            <w:pPr>
              <w:jc w:val="right"/>
              <w:rPr>
                <w:rFonts w:ascii="Arial Narrow" w:hAnsi="Arial Narrow" w:cs="Calibri"/>
                <w:b/>
                <w:bCs/>
                <w:sz w:val="16"/>
                <w:szCs w:val="16"/>
              </w:rPr>
            </w:pPr>
            <w:r>
              <w:rPr>
                <w:rFonts w:ascii="Arial Narrow" w:hAnsi="Arial Narrow" w:cs="Calibri"/>
                <w:b/>
                <w:bCs/>
                <w:sz w:val="16"/>
                <w:szCs w:val="16"/>
              </w:rPr>
              <w:t>111,3</w:t>
            </w:r>
          </w:p>
        </w:tc>
        <w:tc>
          <w:tcPr>
            <w:tcW w:w="700" w:type="dxa"/>
            <w:tcBorders>
              <w:top w:val="nil"/>
              <w:left w:val="nil"/>
              <w:bottom w:val="nil"/>
              <w:right w:val="single" w:sz="4" w:space="0" w:color="FF0000"/>
            </w:tcBorders>
            <w:shd w:val="clear" w:color="auto" w:fill="C5E0B3" w:themeFill="accent6" w:themeFillTint="66"/>
            <w:noWrap/>
            <w:vAlign w:val="bottom"/>
            <w:hideMark/>
          </w:tcPr>
          <w:p w:rsidR="009D7BDA" w:rsidRDefault="009D7BDA" w:rsidP="00D6262B">
            <w:pPr>
              <w:jc w:val="right"/>
              <w:rPr>
                <w:rFonts w:ascii="Arial Narrow" w:hAnsi="Arial Narrow" w:cs="Calibri"/>
                <w:b/>
                <w:bCs/>
                <w:sz w:val="16"/>
                <w:szCs w:val="16"/>
              </w:rPr>
            </w:pPr>
            <w:r>
              <w:rPr>
                <w:rFonts w:ascii="Arial Narrow" w:hAnsi="Arial Narrow" w:cs="Calibri"/>
                <w:b/>
                <w:bCs/>
                <w:sz w:val="16"/>
                <w:szCs w:val="16"/>
              </w:rPr>
              <w:t>2,6</w:t>
            </w:r>
          </w:p>
        </w:tc>
        <w:tc>
          <w:tcPr>
            <w:tcW w:w="617" w:type="dxa"/>
            <w:tcBorders>
              <w:top w:val="nil"/>
              <w:left w:val="nil"/>
              <w:bottom w:val="nil"/>
              <w:right w:val="single" w:sz="4" w:space="0" w:color="FF0000"/>
            </w:tcBorders>
            <w:shd w:val="clear" w:color="auto" w:fill="C5E0B3" w:themeFill="accent6" w:themeFillTint="66"/>
            <w:noWrap/>
            <w:vAlign w:val="bottom"/>
            <w:hideMark/>
          </w:tcPr>
          <w:p w:rsidR="009D7BDA" w:rsidRDefault="009D7BDA" w:rsidP="00D6262B">
            <w:pPr>
              <w:jc w:val="right"/>
              <w:rPr>
                <w:rFonts w:ascii="Arial Narrow" w:hAnsi="Arial Narrow" w:cs="Calibri"/>
                <w:b/>
                <w:bCs/>
                <w:sz w:val="16"/>
                <w:szCs w:val="16"/>
              </w:rPr>
            </w:pPr>
            <w:r>
              <w:rPr>
                <w:rFonts w:ascii="Arial Narrow" w:hAnsi="Arial Narrow" w:cs="Calibri"/>
                <w:b/>
                <w:bCs/>
                <w:sz w:val="16"/>
                <w:szCs w:val="16"/>
              </w:rPr>
              <w:t>0,5</w:t>
            </w:r>
          </w:p>
        </w:tc>
        <w:tc>
          <w:tcPr>
            <w:tcW w:w="831" w:type="dxa"/>
            <w:tcBorders>
              <w:top w:val="nil"/>
              <w:left w:val="nil"/>
              <w:bottom w:val="nil"/>
              <w:right w:val="nil"/>
            </w:tcBorders>
            <w:shd w:val="clear" w:color="auto" w:fill="C5E0B3" w:themeFill="accent6" w:themeFillTint="66"/>
            <w:noWrap/>
            <w:vAlign w:val="bottom"/>
            <w:hideMark/>
          </w:tcPr>
          <w:p w:rsidR="009D7BDA" w:rsidRDefault="009D7BDA" w:rsidP="00D6262B">
            <w:pPr>
              <w:jc w:val="right"/>
              <w:rPr>
                <w:rFonts w:ascii="Arial Narrow" w:hAnsi="Arial Narrow" w:cs="Calibri"/>
                <w:b/>
                <w:bCs/>
                <w:sz w:val="16"/>
                <w:szCs w:val="16"/>
              </w:rPr>
            </w:pPr>
            <w:r>
              <w:rPr>
                <w:rFonts w:ascii="Arial Narrow" w:hAnsi="Arial Narrow" w:cs="Calibri"/>
                <w:b/>
                <w:bCs/>
                <w:sz w:val="16"/>
                <w:szCs w:val="16"/>
              </w:rPr>
              <w:t>111,2</w:t>
            </w:r>
          </w:p>
        </w:tc>
      </w:tr>
      <w:tr w:rsidR="00405948" w:rsidTr="00405948">
        <w:trPr>
          <w:trHeight w:val="240"/>
        </w:trPr>
        <w:tc>
          <w:tcPr>
            <w:tcW w:w="516" w:type="dxa"/>
            <w:tcBorders>
              <w:top w:val="nil"/>
              <w:left w:val="nil"/>
              <w:bottom w:val="nil"/>
              <w:right w:val="nil"/>
            </w:tcBorders>
            <w:shd w:val="clear" w:color="auto" w:fill="C5E0B3" w:themeFill="accent6" w:themeFillTint="66"/>
            <w:noWrap/>
            <w:vAlign w:val="bottom"/>
            <w:hideMark/>
          </w:tcPr>
          <w:p w:rsidR="00405948" w:rsidRDefault="00405948" w:rsidP="00405948">
            <w:pPr>
              <w:rPr>
                <w:rFonts w:ascii="Arial Narrow" w:hAnsi="Arial Narrow"/>
                <w:b/>
                <w:bCs/>
                <w:sz w:val="16"/>
                <w:szCs w:val="16"/>
              </w:rPr>
            </w:pPr>
            <w:r>
              <w:rPr>
                <w:rFonts w:ascii="Arial Narrow" w:hAnsi="Arial Narrow"/>
                <w:b/>
                <w:bCs/>
                <w:sz w:val="16"/>
                <w:szCs w:val="16"/>
              </w:rPr>
              <w:t> </w:t>
            </w:r>
          </w:p>
        </w:tc>
        <w:tc>
          <w:tcPr>
            <w:tcW w:w="3289" w:type="dxa"/>
            <w:gridSpan w:val="6"/>
            <w:tcBorders>
              <w:top w:val="nil"/>
              <w:left w:val="nil"/>
              <w:bottom w:val="nil"/>
              <w:right w:val="nil"/>
            </w:tcBorders>
            <w:shd w:val="clear" w:color="auto" w:fill="C5E0B3" w:themeFill="accent6" w:themeFillTint="66"/>
            <w:noWrap/>
            <w:vAlign w:val="center"/>
            <w:hideMark/>
          </w:tcPr>
          <w:p w:rsidR="00405948" w:rsidRDefault="00405948" w:rsidP="00405948">
            <w:pPr>
              <w:rPr>
                <w:rFonts w:ascii="Arial Narrow" w:hAnsi="Arial Narrow"/>
                <w:b/>
                <w:bCs/>
                <w:sz w:val="16"/>
                <w:szCs w:val="16"/>
              </w:rPr>
            </w:pPr>
            <w:r>
              <w:rPr>
                <w:rFonts w:ascii="Arial Narrow" w:hAnsi="Arial Narrow"/>
                <w:b/>
                <w:bCs/>
                <w:sz w:val="16"/>
                <w:szCs w:val="16"/>
              </w:rPr>
              <w:t>Iné výdavky</w:t>
            </w:r>
          </w:p>
        </w:tc>
        <w:tc>
          <w:tcPr>
            <w:tcW w:w="789" w:type="dxa"/>
            <w:tcBorders>
              <w:top w:val="nil"/>
              <w:left w:val="single" w:sz="4" w:space="0" w:color="FF0000"/>
              <w:bottom w:val="nil"/>
              <w:right w:val="single" w:sz="4" w:space="0" w:color="FF0000"/>
            </w:tcBorders>
            <w:shd w:val="clear" w:color="auto" w:fill="C5E0B3" w:themeFill="accent6" w:themeFillTint="66"/>
            <w:noWrap/>
            <w:vAlign w:val="bottom"/>
            <w:hideMark/>
          </w:tcPr>
          <w:p w:rsidR="00405948" w:rsidRDefault="00405948" w:rsidP="00405948">
            <w:pPr>
              <w:jc w:val="right"/>
              <w:rPr>
                <w:rFonts w:ascii="Arial Narrow" w:hAnsi="Arial Narrow" w:cs="Calibri"/>
                <w:b/>
                <w:bCs/>
                <w:sz w:val="16"/>
                <w:szCs w:val="16"/>
                <w:lang w:eastAsia="sk-SK"/>
              </w:rPr>
            </w:pPr>
            <w:r>
              <w:rPr>
                <w:rFonts w:ascii="Arial Narrow" w:hAnsi="Arial Narrow" w:cs="Calibri"/>
                <w:b/>
                <w:bCs/>
                <w:sz w:val="16"/>
                <w:szCs w:val="16"/>
              </w:rPr>
              <w:t>35,2</w:t>
            </w:r>
          </w:p>
        </w:tc>
        <w:tc>
          <w:tcPr>
            <w:tcW w:w="790" w:type="dxa"/>
            <w:tcBorders>
              <w:top w:val="nil"/>
              <w:left w:val="nil"/>
              <w:bottom w:val="nil"/>
              <w:right w:val="single" w:sz="4" w:space="0" w:color="FF0000"/>
            </w:tcBorders>
            <w:shd w:val="clear" w:color="auto" w:fill="C5E0B3" w:themeFill="accent6" w:themeFillTint="66"/>
            <w:noWrap/>
            <w:vAlign w:val="bottom"/>
            <w:hideMark/>
          </w:tcPr>
          <w:p w:rsidR="00405948" w:rsidRDefault="00405948" w:rsidP="00405948">
            <w:pPr>
              <w:jc w:val="right"/>
              <w:rPr>
                <w:rFonts w:ascii="Arial Narrow" w:hAnsi="Arial Narrow" w:cs="Calibri"/>
                <w:b/>
                <w:bCs/>
                <w:sz w:val="16"/>
                <w:szCs w:val="16"/>
              </w:rPr>
            </w:pPr>
            <w:r>
              <w:rPr>
                <w:rFonts w:ascii="Arial Narrow" w:hAnsi="Arial Narrow" w:cs="Calibri"/>
                <w:b/>
                <w:bCs/>
                <w:sz w:val="16"/>
                <w:szCs w:val="16"/>
              </w:rPr>
              <w:t>30,4</w:t>
            </w:r>
          </w:p>
        </w:tc>
        <w:tc>
          <w:tcPr>
            <w:tcW w:w="853" w:type="dxa"/>
            <w:tcBorders>
              <w:top w:val="nil"/>
              <w:left w:val="nil"/>
              <w:bottom w:val="nil"/>
              <w:right w:val="single" w:sz="4" w:space="0" w:color="FF0000"/>
            </w:tcBorders>
            <w:shd w:val="clear" w:color="auto" w:fill="C5E0B3" w:themeFill="accent6" w:themeFillTint="66"/>
            <w:noWrap/>
            <w:vAlign w:val="bottom"/>
            <w:hideMark/>
          </w:tcPr>
          <w:p w:rsidR="00405948" w:rsidRDefault="00405948" w:rsidP="00405948">
            <w:pPr>
              <w:jc w:val="right"/>
              <w:rPr>
                <w:rFonts w:ascii="Arial Narrow" w:hAnsi="Arial Narrow" w:cs="Calibri"/>
                <w:b/>
                <w:bCs/>
                <w:sz w:val="16"/>
                <w:szCs w:val="16"/>
              </w:rPr>
            </w:pPr>
            <w:r>
              <w:rPr>
                <w:rFonts w:ascii="Arial Narrow" w:hAnsi="Arial Narrow" w:cs="Calibri"/>
                <w:b/>
                <w:bCs/>
                <w:sz w:val="16"/>
                <w:szCs w:val="16"/>
              </w:rPr>
              <w:t>6,5</w:t>
            </w:r>
          </w:p>
        </w:tc>
        <w:tc>
          <w:tcPr>
            <w:tcW w:w="685" w:type="dxa"/>
            <w:tcBorders>
              <w:top w:val="nil"/>
              <w:left w:val="nil"/>
              <w:bottom w:val="nil"/>
              <w:right w:val="single" w:sz="4" w:space="0" w:color="FF0000"/>
            </w:tcBorders>
            <w:shd w:val="clear" w:color="auto" w:fill="C5E0B3" w:themeFill="accent6" w:themeFillTint="66"/>
            <w:noWrap/>
            <w:vAlign w:val="bottom"/>
            <w:hideMark/>
          </w:tcPr>
          <w:p w:rsidR="00405948" w:rsidRDefault="00405948" w:rsidP="00405948">
            <w:pPr>
              <w:jc w:val="right"/>
              <w:rPr>
                <w:rFonts w:ascii="Arial Narrow" w:hAnsi="Arial Narrow" w:cs="Calibri"/>
                <w:b/>
                <w:bCs/>
                <w:sz w:val="16"/>
                <w:szCs w:val="16"/>
              </w:rPr>
            </w:pPr>
            <w:r>
              <w:rPr>
                <w:rFonts w:ascii="Arial Narrow" w:hAnsi="Arial Narrow" w:cs="Calibri"/>
                <w:b/>
                <w:bCs/>
                <w:sz w:val="16"/>
                <w:szCs w:val="16"/>
              </w:rPr>
              <w:t>8,9</w:t>
            </w:r>
          </w:p>
        </w:tc>
        <w:tc>
          <w:tcPr>
            <w:tcW w:w="700" w:type="dxa"/>
            <w:tcBorders>
              <w:top w:val="nil"/>
              <w:left w:val="nil"/>
              <w:bottom w:val="nil"/>
              <w:right w:val="single" w:sz="4" w:space="0" w:color="FF0000"/>
            </w:tcBorders>
            <w:shd w:val="clear" w:color="auto" w:fill="C5E0B3" w:themeFill="accent6" w:themeFillTint="66"/>
            <w:noWrap/>
            <w:vAlign w:val="bottom"/>
            <w:hideMark/>
          </w:tcPr>
          <w:p w:rsidR="00405948" w:rsidRDefault="00405948" w:rsidP="00405948">
            <w:pPr>
              <w:jc w:val="right"/>
              <w:rPr>
                <w:rFonts w:ascii="Arial Narrow" w:hAnsi="Arial Narrow" w:cs="Calibri"/>
                <w:b/>
                <w:bCs/>
                <w:sz w:val="16"/>
                <w:szCs w:val="16"/>
              </w:rPr>
            </w:pPr>
            <w:r>
              <w:rPr>
                <w:rFonts w:ascii="Arial Narrow" w:hAnsi="Arial Narrow" w:cs="Calibri"/>
                <w:b/>
                <w:bCs/>
                <w:sz w:val="16"/>
                <w:szCs w:val="16"/>
              </w:rPr>
              <w:t>0,2</w:t>
            </w:r>
          </w:p>
        </w:tc>
        <w:tc>
          <w:tcPr>
            <w:tcW w:w="617" w:type="dxa"/>
            <w:tcBorders>
              <w:top w:val="nil"/>
              <w:left w:val="nil"/>
              <w:bottom w:val="nil"/>
              <w:right w:val="single" w:sz="4" w:space="0" w:color="FF0000"/>
            </w:tcBorders>
            <w:shd w:val="clear" w:color="auto" w:fill="C5E0B3" w:themeFill="accent6" w:themeFillTint="66"/>
            <w:noWrap/>
            <w:vAlign w:val="bottom"/>
            <w:hideMark/>
          </w:tcPr>
          <w:p w:rsidR="00405948" w:rsidRDefault="00405948" w:rsidP="00405948">
            <w:pPr>
              <w:jc w:val="right"/>
              <w:rPr>
                <w:rFonts w:ascii="Arial Narrow" w:hAnsi="Arial Narrow" w:cs="Calibri"/>
                <w:b/>
                <w:bCs/>
                <w:sz w:val="16"/>
                <w:szCs w:val="16"/>
              </w:rPr>
            </w:pPr>
            <w:r>
              <w:rPr>
                <w:rFonts w:ascii="Arial Narrow" w:hAnsi="Arial Narrow" w:cs="Calibri"/>
                <w:b/>
                <w:bCs/>
                <w:sz w:val="16"/>
                <w:szCs w:val="16"/>
              </w:rPr>
              <w:t>0,0</w:t>
            </w:r>
          </w:p>
        </w:tc>
        <w:tc>
          <w:tcPr>
            <w:tcW w:w="831" w:type="dxa"/>
            <w:tcBorders>
              <w:top w:val="nil"/>
              <w:left w:val="nil"/>
              <w:bottom w:val="nil"/>
              <w:right w:val="nil"/>
            </w:tcBorders>
            <w:shd w:val="clear" w:color="auto" w:fill="C5E0B3" w:themeFill="accent6" w:themeFillTint="66"/>
            <w:noWrap/>
            <w:vAlign w:val="bottom"/>
            <w:hideMark/>
          </w:tcPr>
          <w:p w:rsidR="00405948" w:rsidRDefault="00405948" w:rsidP="00405948">
            <w:pPr>
              <w:jc w:val="right"/>
              <w:rPr>
                <w:rFonts w:ascii="Arial Narrow" w:hAnsi="Arial Narrow" w:cs="Calibri"/>
                <w:b/>
                <w:bCs/>
                <w:sz w:val="16"/>
                <w:szCs w:val="16"/>
              </w:rPr>
            </w:pPr>
            <w:r>
              <w:rPr>
                <w:rFonts w:ascii="Arial Narrow" w:hAnsi="Arial Narrow" w:cs="Calibri"/>
                <w:b/>
                <w:bCs/>
                <w:sz w:val="16"/>
                <w:szCs w:val="16"/>
              </w:rPr>
              <w:t>108,0</w:t>
            </w:r>
          </w:p>
        </w:tc>
      </w:tr>
    </w:tbl>
    <w:p w:rsidR="00676D2B" w:rsidRPr="00676D2B" w:rsidRDefault="00676D2B" w:rsidP="00676D2B">
      <w:pPr>
        <w:jc w:val="both"/>
        <w:rPr>
          <w:rFonts w:ascii="Arial Narrow" w:hAnsi="Arial Narrow" w:cs="Arial"/>
          <w:i/>
          <w:sz w:val="10"/>
          <w:szCs w:val="10"/>
        </w:rPr>
      </w:pPr>
    </w:p>
    <w:p w:rsidR="00676D2B" w:rsidRPr="00841C12" w:rsidRDefault="00676D2B" w:rsidP="00676D2B">
      <w:pPr>
        <w:jc w:val="both"/>
        <w:rPr>
          <w:rFonts w:ascii="Arial Narrow" w:hAnsi="Arial Narrow" w:cs="Arial"/>
          <w:i/>
          <w:sz w:val="15"/>
          <w:szCs w:val="15"/>
        </w:rPr>
      </w:pPr>
      <w:r w:rsidRPr="00841C12">
        <w:rPr>
          <w:rFonts w:ascii="Arial Narrow" w:hAnsi="Arial Narrow" w:cs="Arial"/>
          <w:i/>
          <w:sz w:val="15"/>
          <w:szCs w:val="15"/>
        </w:rPr>
        <w:t>Zdroj: ŠÚ SR – ESSPROS</w:t>
      </w:r>
    </w:p>
    <w:p w:rsidR="00676D2B" w:rsidRDefault="00676D2B" w:rsidP="00C901F4">
      <w:pPr>
        <w:jc w:val="both"/>
        <w:rPr>
          <w:rFonts w:ascii="Arial Narrow" w:hAnsi="Arial Narrow" w:cs="Arial"/>
          <w:b/>
          <w:bCs/>
          <w:sz w:val="20"/>
          <w:szCs w:val="20"/>
        </w:rPr>
      </w:pPr>
    </w:p>
    <w:p w:rsidR="009C4F7B" w:rsidRDefault="009C4F7B" w:rsidP="00C901F4">
      <w:pPr>
        <w:jc w:val="both"/>
        <w:rPr>
          <w:rFonts w:ascii="Arial Narrow" w:hAnsi="Arial Narrow" w:cs="Arial"/>
          <w:b/>
          <w:sz w:val="20"/>
          <w:szCs w:val="20"/>
        </w:rPr>
      </w:pPr>
      <w:r w:rsidRPr="009758CE">
        <w:rPr>
          <w:rFonts w:ascii="Arial Narrow" w:hAnsi="Arial Narrow" w:cs="Arial"/>
          <w:b/>
          <w:sz w:val="20"/>
          <w:szCs w:val="20"/>
        </w:rPr>
        <w:t>Graf 1.4  Štruktúra výdavkov na sociálnu ochranu v SR, 201</w:t>
      </w:r>
      <w:r w:rsidR="00A42F0C" w:rsidRPr="009758CE">
        <w:rPr>
          <w:rFonts w:ascii="Arial Narrow" w:hAnsi="Arial Narrow" w:cs="Arial"/>
          <w:b/>
          <w:sz w:val="20"/>
          <w:szCs w:val="20"/>
        </w:rPr>
        <w:t>9</w:t>
      </w:r>
    </w:p>
    <w:p w:rsidR="00676D2B" w:rsidRPr="00676D2B" w:rsidRDefault="00676D2B" w:rsidP="00C901F4">
      <w:pPr>
        <w:jc w:val="both"/>
        <w:rPr>
          <w:rFonts w:ascii="Arial Narrow" w:hAnsi="Arial Narrow" w:cs="Arial"/>
          <w:b/>
          <w:sz w:val="10"/>
          <w:szCs w:val="10"/>
        </w:rPr>
      </w:pPr>
    </w:p>
    <w:p w:rsidR="00FB1DA1" w:rsidRDefault="00D74A81" w:rsidP="00C901F4">
      <w:pPr>
        <w:jc w:val="both"/>
        <w:rPr>
          <w:rFonts w:ascii="Arial Narrow" w:hAnsi="Arial Narrow" w:cs="Arial"/>
          <w:sz w:val="20"/>
          <w:szCs w:val="20"/>
        </w:rPr>
      </w:pPr>
      <w:r>
        <w:rPr>
          <w:noProof/>
          <w:lang w:eastAsia="sk-SK"/>
        </w:rPr>
        <w:drawing>
          <wp:inline distT="0" distB="0" distL="0" distR="0" wp14:anchorId="22ADC84F" wp14:editId="06EAA107">
            <wp:extent cx="5759450" cy="2408555"/>
            <wp:effectExtent l="0" t="0" r="12700" b="10795"/>
            <wp:docPr id="14" name="Graf 14">
              <a:extLst xmlns:a="http://schemas.openxmlformats.org/drawingml/2006/main">
                <a:ext uri="{FF2B5EF4-FFF2-40B4-BE49-F238E27FC236}">
                  <a16:creationId xmlns:a16="http://schemas.microsoft.com/office/drawing/2014/main" id="{00000000-0008-0000-00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76D2B" w:rsidRPr="00676D2B" w:rsidRDefault="00676D2B" w:rsidP="00676D2B">
      <w:pPr>
        <w:rPr>
          <w:rFonts w:ascii="Arial Narrow" w:hAnsi="Arial Narrow"/>
          <w:i/>
          <w:sz w:val="10"/>
          <w:szCs w:val="10"/>
        </w:rPr>
      </w:pPr>
    </w:p>
    <w:p w:rsidR="00875D8D" w:rsidRDefault="00FB1DA1" w:rsidP="00676D2B">
      <w:pPr>
        <w:rPr>
          <w:rFonts w:ascii="Arial Narrow" w:hAnsi="Arial Narrow"/>
          <w:i/>
          <w:sz w:val="16"/>
          <w:szCs w:val="16"/>
        </w:rPr>
      </w:pPr>
      <w:r w:rsidRPr="00526EB6">
        <w:rPr>
          <w:rFonts w:ascii="Arial Narrow" w:hAnsi="Arial Narrow"/>
          <w:i/>
          <w:sz w:val="16"/>
          <w:szCs w:val="16"/>
        </w:rPr>
        <w:t xml:space="preserve">Zdroj: ŠÚ SR </w:t>
      </w:r>
      <w:r w:rsidR="008129DD">
        <w:rPr>
          <w:rFonts w:ascii="Arial Narrow" w:hAnsi="Arial Narrow"/>
          <w:i/>
          <w:sz w:val="16"/>
          <w:szCs w:val="16"/>
        </w:rPr>
        <w:t>-</w:t>
      </w:r>
      <w:r w:rsidRPr="00526EB6">
        <w:rPr>
          <w:rFonts w:ascii="Arial Narrow" w:hAnsi="Arial Narrow"/>
          <w:i/>
          <w:sz w:val="16"/>
          <w:szCs w:val="16"/>
        </w:rPr>
        <w:t xml:space="preserve"> </w:t>
      </w:r>
      <w:r w:rsidR="00FB27D7">
        <w:rPr>
          <w:rFonts w:ascii="Arial Narrow" w:hAnsi="Arial Narrow"/>
          <w:i/>
          <w:sz w:val="16"/>
          <w:szCs w:val="16"/>
        </w:rPr>
        <w:t>ESSPROS</w:t>
      </w:r>
      <w:r w:rsidR="00FB27D7">
        <w:rPr>
          <w:rFonts w:ascii="Arial Narrow" w:hAnsi="Arial Narrow"/>
          <w:i/>
          <w:sz w:val="16"/>
          <w:szCs w:val="16"/>
        </w:rPr>
        <w:tab/>
      </w:r>
    </w:p>
    <w:p w:rsidR="00875D8D" w:rsidRDefault="00875D8D" w:rsidP="00630C6D">
      <w:pPr>
        <w:ind w:left="6372"/>
        <w:rPr>
          <w:rFonts w:ascii="Arial Narrow" w:hAnsi="Arial Narrow"/>
          <w:i/>
          <w:sz w:val="16"/>
          <w:szCs w:val="16"/>
        </w:rPr>
      </w:pPr>
    </w:p>
    <w:p w:rsidR="00FB1DA1" w:rsidRPr="00526EB6" w:rsidRDefault="00FB27D7" w:rsidP="00630C6D">
      <w:pPr>
        <w:ind w:left="6372"/>
        <w:rPr>
          <w:rFonts w:ascii="Arial Narrow" w:hAnsi="Arial Narrow"/>
          <w:i/>
          <w:sz w:val="16"/>
          <w:szCs w:val="16"/>
        </w:rPr>
      </w:pPr>
      <w:r>
        <w:rPr>
          <w:rFonts w:ascii="Arial Narrow" w:hAnsi="Arial Narrow"/>
          <w:i/>
          <w:sz w:val="16"/>
          <w:szCs w:val="16"/>
        </w:rPr>
        <w:tab/>
      </w:r>
      <w:r>
        <w:rPr>
          <w:rFonts w:ascii="Arial Narrow" w:hAnsi="Arial Narrow"/>
          <w:i/>
          <w:sz w:val="16"/>
          <w:szCs w:val="16"/>
        </w:rPr>
        <w:tab/>
      </w:r>
      <w:r w:rsidR="00FB1DA1" w:rsidRPr="00526EB6">
        <w:rPr>
          <w:rFonts w:ascii="Arial Narrow" w:hAnsi="Arial Narrow"/>
          <w:i/>
          <w:sz w:val="16"/>
          <w:szCs w:val="16"/>
        </w:rPr>
        <w:tab/>
        <w:t xml:space="preserve">    </w:t>
      </w:r>
      <w:r>
        <w:rPr>
          <w:rFonts w:ascii="Arial Narrow" w:hAnsi="Arial Narrow"/>
          <w:i/>
          <w:sz w:val="16"/>
          <w:szCs w:val="16"/>
        </w:rPr>
        <w:t xml:space="preserve">         </w:t>
      </w:r>
      <w:r w:rsidR="00FB1DA1" w:rsidRPr="00526EB6">
        <w:rPr>
          <w:rFonts w:ascii="Arial Narrow" w:hAnsi="Arial Narrow"/>
          <w:i/>
          <w:sz w:val="16"/>
          <w:szCs w:val="16"/>
        </w:rPr>
        <w:t xml:space="preserve">            </w:t>
      </w:r>
    </w:p>
    <w:p w:rsidR="000E7FA5" w:rsidRPr="00676D2B" w:rsidRDefault="00240206" w:rsidP="00FB27D7">
      <w:pPr>
        <w:ind w:firstLine="708"/>
        <w:jc w:val="both"/>
        <w:rPr>
          <w:rFonts w:ascii="Arial Narrow" w:hAnsi="Arial Narrow"/>
          <w:sz w:val="22"/>
          <w:szCs w:val="22"/>
        </w:rPr>
      </w:pPr>
      <w:r w:rsidRPr="00676D2B">
        <w:rPr>
          <w:rFonts w:ascii="Arial Narrow" w:hAnsi="Arial Narrow" w:cs="Arial"/>
          <w:sz w:val="22"/>
          <w:szCs w:val="22"/>
        </w:rPr>
        <w:t xml:space="preserve">Štruktúra sociálnych dávok v členení podľa účelov bola </w:t>
      </w:r>
      <w:r w:rsidR="008F66EB" w:rsidRPr="00676D2B">
        <w:rPr>
          <w:rFonts w:ascii="Arial Narrow" w:hAnsi="Arial Narrow" w:cs="Arial"/>
          <w:sz w:val="22"/>
          <w:szCs w:val="22"/>
        </w:rPr>
        <w:t xml:space="preserve">na Slovensku v roku 2019 </w:t>
      </w:r>
      <w:r w:rsidRPr="00676D2B">
        <w:rPr>
          <w:rFonts w:ascii="Arial Narrow" w:hAnsi="Arial Narrow" w:cs="Arial"/>
          <w:sz w:val="22"/>
          <w:szCs w:val="22"/>
        </w:rPr>
        <w:t xml:space="preserve">nasledovná: </w:t>
      </w:r>
      <w:r w:rsidR="005B5046" w:rsidRPr="00676D2B">
        <w:rPr>
          <w:rFonts w:ascii="Arial Narrow" w:hAnsi="Arial Narrow" w:cs="Arial"/>
          <w:sz w:val="22"/>
          <w:szCs w:val="22"/>
        </w:rPr>
        <w:t>staroba 39,5 %</w:t>
      </w:r>
      <w:r w:rsidR="005B5046">
        <w:rPr>
          <w:rFonts w:ascii="Arial Narrow" w:hAnsi="Arial Narrow" w:cs="Arial"/>
          <w:sz w:val="22"/>
          <w:szCs w:val="22"/>
        </w:rPr>
        <w:t xml:space="preserve">, </w:t>
      </w:r>
      <w:r w:rsidRPr="00676D2B">
        <w:rPr>
          <w:rFonts w:ascii="Arial Narrow" w:hAnsi="Arial Narrow" w:cs="Arial"/>
          <w:sz w:val="22"/>
          <w:szCs w:val="22"/>
        </w:rPr>
        <w:t>choroba/zdravotná starostlivosť 3</w:t>
      </w:r>
      <w:r w:rsidR="008F66EB" w:rsidRPr="00676D2B">
        <w:rPr>
          <w:rFonts w:ascii="Arial Narrow" w:hAnsi="Arial Narrow" w:cs="Arial"/>
          <w:sz w:val="22"/>
          <w:szCs w:val="22"/>
        </w:rPr>
        <w:t>1</w:t>
      </w:r>
      <w:r w:rsidRPr="00676D2B">
        <w:rPr>
          <w:rFonts w:ascii="Arial Narrow" w:hAnsi="Arial Narrow" w:cs="Arial"/>
          <w:sz w:val="22"/>
          <w:szCs w:val="22"/>
        </w:rPr>
        <w:t>,</w:t>
      </w:r>
      <w:r w:rsidR="008F66EB" w:rsidRPr="00676D2B">
        <w:rPr>
          <w:rFonts w:ascii="Arial Narrow" w:hAnsi="Arial Narrow" w:cs="Arial"/>
          <w:sz w:val="22"/>
          <w:szCs w:val="22"/>
        </w:rPr>
        <w:t>7</w:t>
      </w:r>
      <w:r w:rsidRPr="00676D2B">
        <w:rPr>
          <w:rFonts w:ascii="Arial Narrow" w:hAnsi="Arial Narrow" w:cs="Arial"/>
          <w:sz w:val="22"/>
          <w:szCs w:val="22"/>
        </w:rPr>
        <w:t xml:space="preserve"> %, </w:t>
      </w:r>
      <w:r w:rsidR="005B5046" w:rsidRPr="00676D2B">
        <w:rPr>
          <w:rFonts w:ascii="Arial Narrow" w:hAnsi="Arial Narrow" w:cs="Arial"/>
          <w:sz w:val="22"/>
          <w:szCs w:val="22"/>
        </w:rPr>
        <w:t xml:space="preserve">rodina/deti 9,0 %, </w:t>
      </w:r>
      <w:r w:rsidRPr="00676D2B">
        <w:rPr>
          <w:rFonts w:ascii="Arial Narrow" w:hAnsi="Arial Narrow" w:cs="Arial"/>
          <w:sz w:val="22"/>
          <w:szCs w:val="22"/>
        </w:rPr>
        <w:t>zdravotné postihnutie 8,</w:t>
      </w:r>
      <w:r w:rsidR="008F66EB" w:rsidRPr="00676D2B">
        <w:rPr>
          <w:rFonts w:ascii="Arial Narrow" w:hAnsi="Arial Narrow" w:cs="Arial"/>
          <w:sz w:val="22"/>
          <w:szCs w:val="22"/>
        </w:rPr>
        <w:t>1</w:t>
      </w:r>
      <w:r w:rsidRPr="00676D2B">
        <w:rPr>
          <w:rFonts w:ascii="Arial Narrow" w:hAnsi="Arial Narrow" w:cs="Arial"/>
          <w:sz w:val="22"/>
          <w:szCs w:val="22"/>
        </w:rPr>
        <w:t xml:space="preserve"> %, pozostalí </w:t>
      </w:r>
      <w:r w:rsidR="00C56D1E" w:rsidRPr="00676D2B">
        <w:rPr>
          <w:rFonts w:ascii="Arial Narrow" w:hAnsi="Arial Narrow" w:cs="Arial"/>
          <w:sz w:val="22"/>
          <w:szCs w:val="22"/>
        </w:rPr>
        <w:t>4</w:t>
      </w:r>
      <w:r w:rsidRPr="00676D2B">
        <w:rPr>
          <w:rFonts w:ascii="Arial Narrow" w:hAnsi="Arial Narrow" w:cs="Arial"/>
          <w:sz w:val="22"/>
          <w:szCs w:val="22"/>
        </w:rPr>
        <w:t>,</w:t>
      </w:r>
      <w:r w:rsidR="008F66EB" w:rsidRPr="00676D2B">
        <w:rPr>
          <w:rFonts w:ascii="Arial Narrow" w:hAnsi="Arial Narrow" w:cs="Arial"/>
          <w:sz w:val="22"/>
          <w:szCs w:val="22"/>
        </w:rPr>
        <w:t>6</w:t>
      </w:r>
      <w:r w:rsidRPr="00676D2B">
        <w:rPr>
          <w:rFonts w:ascii="Arial Narrow" w:hAnsi="Arial Narrow" w:cs="Arial"/>
          <w:sz w:val="22"/>
          <w:szCs w:val="22"/>
        </w:rPr>
        <w:t xml:space="preserve"> %, nezamestnanosť 2,8 %, sociálne vylúčenie a bývanie </w:t>
      </w:r>
      <w:r w:rsidR="00F46505" w:rsidRPr="00676D2B">
        <w:rPr>
          <w:rFonts w:ascii="Arial Narrow" w:hAnsi="Arial Narrow" w:cs="Arial"/>
          <w:sz w:val="22"/>
          <w:szCs w:val="22"/>
        </w:rPr>
        <w:t>1,</w:t>
      </w:r>
      <w:r w:rsidR="008F66EB" w:rsidRPr="00676D2B">
        <w:rPr>
          <w:rFonts w:ascii="Arial Narrow" w:hAnsi="Arial Narrow" w:cs="Arial"/>
          <w:sz w:val="22"/>
          <w:szCs w:val="22"/>
        </w:rPr>
        <w:t>5</w:t>
      </w:r>
      <w:r w:rsidRPr="00676D2B">
        <w:rPr>
          <w:rFonts w:ascii="Arial Narrow" w:hAnsi="Arial Narrow" w:cs="Arial"/>
          <w:sz w:val="22"/>
          <w:szCs w:val="22"/>
        </w:rPr>
        <w:t xml:space="preserve"> %. </w:t>
      </w:r>
      <w:r w:rsidR="008F66EB" w:rsidRPr="00676D2B">
        <w:rPr>
          <w:rFonts w:ascii="Arial Narrow" w:hAnsi="Arial Narrow" w:cs="Arial"/>
          <w:sz w:val="22"/>
          <w:szCs w:val="22"/>
        </w:rPr>
        <w:t xml:space="preserve">Percentuálne zastúpenie jednotlivých účelov sa medzi rokmi 2018 a 2019 zmenilo len minimálne. </w:t>
      </w:r>
      <w:r w:rsidRPr="00676D2B">
        <w:rPr>
          <w:rFonts w:ascii="Arial Narrow" w:hAnsi="Arial Narrow" w:cs="Arial"/>
          <w:sz w:val="22"/>
          <w:szCs w:val="22"/>
        </w:rPr>
        <w:t>Najv</w:t>
      </w:r>
      <w:r w:rsidR="008F66EB" w:rsidRPr="00676D2B">
        <w:rPr>
          <w:rFonts w:ascii="Arial Narrow" w:hAnsi="Arial Narrow" w:cs="Arial"/>
          <w:sz w:val="22"/>
          <w:szCs w:val="22"/>
        </w:rPr>
        <w:t>äčší</w:t>
      </w:r>
      <w:r w:rsidRPr="00676D2B">
        <w:rPr>
          <w:rFonts w:ascii="Arial Narrow" w:hAnsi="Arial Narrow" w:cs="Arial"/>
          <w:sz w:val="22"/>
          <w:szCs w:val="22"/>
        </w:rPr>
        <w:t xml:space="preserve"> medziročný </w:t>
      </w:r>
      <w:r w:rsidR="008F66EB" w:rsidRPr="00676D2B">
        <w:rPr>
          <w:rFonts w:ascii="Arial Narrow" w:hAnsi="Arial Narrow" w:cs="Arial"/>
          <w:sz w:val="22"/>
          <w:szCs w:val="22"/>
        </w:rPr>
        <w:t xml:space="preserve">rozdiel </w:t>
      </w:r>
      <w:r w:rsidRPr="00676D2B">
        <w:rPr>
          <w:rFonts w:ascii="Arial Narrow" w:hAnsi="Arial Narrow" w:cs="Arial"/>
          <w:sz w:val="22"/>
          <w:szCs w:val="22"/>
        </w:rPr>
        <w:t>bol vykázaný v účel</w:t>
      </w:r>
      <w:r w:rsidR="008F66EB" w:rsidRPr="00676D2B">
        <w:rPr>
          <w:rFonts w:ascii="Arial Narrow" w:hAnsi="Arial Narrow" w:cs="Arial"/>
          <w:sz w:val="22"/>
          <w:szCs w:val="22"/>
        </w:rPr>
        <w:t>e</w:t>
      </w:r>
      <w:r w:rsidRPr="00676D2B">
        <w:rPr>
          <w:rFonts w:ascii="Arial Narrow" w:hAnsi="Arial Narrow" w:cs="Arial"/>
          <w:sz w:val="22"/>
          <w:szCs w:val="22"/>
        </w:rPr>
        <w:t xml:space="preserve"> </w:t>
      </w:r>
      <w:r w:rsidR="00D34864" w:rsidRPr="00676D2B">
        <w:rPr>
          <w:rFonts w:ascii="Arial Narrow" w:hAnsi="Arial Narrow" w:cs="Arial"/>
          <w:sz w:val="22"/>
          <w:szCs w:val="22"/>
        </w:rPr>
        <w:t xml:space="preserve">rodina/deti </w:t>
      </w:r>
      <w:r w:rsidR="00DC0F6B" w:rsidRPr="00676D2B">
        <w:rPr>
          <w:rFonts w:ascii="Arial Narrow" w:hAnsi="Arial Narrow" w:cs="Arial"/>
          <w:sz w:val="22"/>
          <w:szCs w:val="22"/>
        </w:rPr>
        <w:t>(</w:t>
      </w:r>
      <w:r w:rsidR="008F66EB" w:rsidRPr="00676D2B">
        <w:rPr>
          <w:rFonts w:ascii="Arial Narrow" w:hAnsi="Arial Narrow" w:cs="Arial"/>
          <w:sz w:val="22"/>
          <w:szCs w:val="22"/>
        </w:rPr>
        <w:t>8</w:t>
      </w:r>
      <w:r w:rsidR="00D34864" w:rsidRPr="00676D2B">
        <w:rPr>
          <w:rFonts w:ascii="Arial Narrow" w:hAnsi="Arial Narrow" w:cs="Arial"/>
          <w:sz w:val="22"/>
          <w:szCs w:val="22"/>
        </w:rPr>
        <w:t>,</w:t>
      </w:r>
      <w:r w:rsidR="008F66EB" w:rsidRPr="00676D2B">
        <w:rPr>
          <w:rFonts w:ascii="Arial Narrow" w:hAnsi="Arial Narrow" w:cs="Arial"/>
          <w:sz w:val="22"/>
          <w:szCs w:val="22"/>
        </w:rPr>
        <w:t>6</w:t>
      </w:r>
      <w:r w:rsidRPr="00676D2B">
        <w:rPr>
          <w:rFonts w:ascii="Arial Narrow" w:hAnsi="Arial Narrow" w:cs="Arial"/>
          <w:sz w:val="22"/>
          <w:szCs w:val="22"/>
        </w:rPr>
        <w:t xml:space="preserve"> </w:t>
      </w:r>
      <w:r w:rsidR="000E7FA5" w:rsidRPr="00676D2B">
        <w:rPr>
          <w:rFonts w:ascii="Arial Narrow" w:hAnsi="Arial Narrow" w:cs="Arial"/>
          <w:sz w:val="22"/>
          <w:szCs w:val="22"/>
        </w:rPr>
        <w:t>%</w:t>
      </w:r>
      <w:r w:rsidR="008F66EB" w:rsidRPr="00676D2B">
        <w:rPr>
          <w:rFonts w:ascii="Arial Narrow" w:hAnsi="Arial Narrow" w:cs="Arial"/>
          <w:sz w:val="22"/>
          <w:szCs w:val="22"/>
        </w:rPr>
        <w:t xml:space="preserve"> v roku 2018 oproti 9,0 % v roku 2019</w:t>
      </w:r>
      <w:r w:rsidR="000E7FA5" w:rsidRPr="00676D2B">
        <w:rPr>
          <w:rFonts w:ascii="Arial Narrow" w:hAnsi="Arial Narrow" w:cs="Arial"/>
          <w:sz w:val="22"/>
          <w:szCs w:val="22"/>
        </w:rPr>
        <w:t xml:space="preserve">). </w:t>
      </w:r>
      <w:r w:rsidR="000E7FA5" w:rsidRPr="00676D2B">
        <w:rPr>
          <w:rFonts w:ascii="Arial Narrow" w:hAnsi="Arial Narrow"/>
          <w:sz w:val="22"/>
          <w:szCs w:val="22"/>
        </w:rPr>
        <w:t>Najvyššie výdavky na dávky (39,</w:t>
      </w:r>
      <w:r w:rsidR="008F66EB" w:rsidRPr="00676D2B">
        <w:rPr>
          <w:rFonts w:ascii="Arial Narrow" w:hAnsi="Arial Narrow"/>
          <w:sz w:val="22"/>
          <w:szCs w:val="22"/>
        </w:rPr>
        <w:t>5</w:t>
      </w:r>
      <w:r w:rsidR="000E7FA5" w:rsidRPr="00676D2B">
        <w:rPr>
          <w:rFonts w:ascii="Arial Narrow" w:hAnsi="Arial Narrow"/>
          <w:sz w:val="22"/>
          <w:szCs w:val="22"/>
        </w:rPr>
        <w:t xml:space="preserve"> % z vyplatených dávok) boli 6 </w:t>
      </w:r>
      <w:r w:rsidR="008F66EB" w:rsidRPr="00676D2B">
        <w:rPr>
          <w:rFonts w:ascii="Arial Narrow" w:hAnsi="Arial Narrow"/>
          <w:sz w:val="22"/>
          <w:szCs w:val="22"/>
        </w:rPr>
        <w:t>660</w:t>
      </w:r>
      <w:r w:rsidR="000E7FA5" w:rsidRPr="00676D2B">
        <w:rPr>
          <w:rFonts w:ascii="Arial Narrow" w:hAnsi="Arial Narrow"/>
          <w:sz w:val="22"/>
          <w:szCs w:val="22"/>
        </w:rPr>
        <w:t>,</w:t>
      </w:r>
      <w:r w:rsidR="008F66EB" w:rsidRPr="00676D2B">
        <w:rPr>
          <w:rFonts w:ascii="Arial Narrow" w:hAnsi="Arial Narrow"/>
          <w:sz w:val="22"/>
          <w:szCs w:val="22"/>
        </w:rPr>
        <w:t>1</w:t>
      </w:r>
      <w:r w:rsidR="000E7FA5" w:rsidRPr="00676D2B">
        <w:rPr>
          <w:rFonts w:ascii="Arial Narrow" w:hAnsi="Arial Narrow"/>
          <w:sz w:val="22"/>
          <w:szCs w:val="22"/>
        </w:rPr>
        <w:t xml:space="preserve"> mil. eur v roku 201</w:t>
      </w:r>
      <w:r w:rsidR="008F66EB" w:rsidRPr="00676D2B">
        <w:rPr>
          <w:rFonts w:ascii="Arial Narrow" w:hAnsi="Arial Narrow"/>
          <w:sz w:val="22"/>
          <w:szCs w:val="22"/>
        </w:rPr>
        <w:t>9</w:t>
      </w:r>
      <w:r w:rsidR="000E7FA5" w:rsidRPr="00676D2B">
        <w:rPr>
          <w:rFonts w:ascii="Arial Narrow" w:hAnsi="Arial Narrow"/>
          <w:sz w:val="22"/>
          <w:szCs w:val="22"/>
        </w:rPr>
        <w:t xml:space="preserve"> vo funkcii staroba (5</w:t>
      </w:r>
      <w:r w:rsidR="00F674DF" w:rsidRPr="00676D2B">
        <w:rPr>
          <w:rFonts w:ascii="Arial Narrow" w:hAnsi="Arial Narrow"/>
          <w:sz w:val="22"/>
          <w:szCs w:val="22"/>
        </w:rPr>
        <w:t> </w:t>
      </w:r>
      <w:r w:rsidR="008F66EB" w:rsidRPr="00676D2B">
        <w:rPr>
          <w:rFonts w:ascii="Arial Narrow" w:hAnsi="Arial Narrow"/>
          <w:sz w:val="22"/>
          <w:szCs w:val="22"/>
        </w:rPr>
        <w:t>74</w:t>
      </w:r>
      <w:r w:rsidR="00F674DF" w:rsidRPr="00676D2B">
        <w:rPr>
          <w:rFonts w:ascii="Arial Narrow" w:hAnsi="Arial Narrow"/>
          <w:sz w:val="22"/>
          <w:szCs w:val="22"/>
        </w:rPr>
        <w:t>9,</w:t>
      </w:r>
      <w:r w:rsidR="008F66EB" w:rsidRPr="00676D2B">
        <w:rPr>
          <w:rFonts w:ascii="Arial Narrow" w:hAnsi="Arial Narrow"/>
          <w:sz w:val="22"/>
          <w:szCs w:val="22"/>
        </w:rPr>
        <w:t>0</w:t>
      </w:r>
      <w:r w:rsidR="000E7FA5" w:rsidRPr="00676D2B">
        <w:rPr>
          <w:rFonts w:ascii="Arial Narrow" w:hAnsi="Arial Narrow"/>
          <w:sz w:val="22"/>
          <w:szCs w:val="22"/>
        </w:rPr>
        <w:t xml:space="preserve"> mil. eur v s. c. 2010; 1</w:t>
      </w:r>
      <w:r w:rsidR="00F674DF" w:rsidRPr="00676D2B">
        <w:rPr>
          <w:rFonts w:ascii="Arial Narrow" w:hAnsi="Arial Narrow"/>
          <w:sz w:val="22"/>
          <w:szCs w:val="22"/>
        </w:rPr>
        <w:t> 2</w:t>
      </w:r>
      <w:r w:rsidR="008F66EB" w:rsidRPr="00676D2B">
        <w:rPr>
          <w:rFonts w:ascii="Arial Narrow" w:hAnsi="Arial Narrow"/>
          <w:sz w:val="22"/>
          <w:szCs w:val="22"/>
        </w:rPr>
        <w:t>21</w:t>
      </w:r>
      <w:r w:rsidR="00F674DF" w:rsidRPr="00676D2B">
        <w:rPr>
          <w:rFonts w:ascii="Arial Narrow" w:hAnsi="Arial Narrow"/>
          <w:sz w:val="22"/>
          <w:szCs w:val="22"/>
        </w:rPr>
        <w:t>,</w:t>
      </w:r>
      <w:r w:rsidR="008F66EB" w:rsidRPr="00676D2B">
        <w:rPr>
          <w:rFonts w:ascii="Arial Narrow" w:hAnsi="Arial Narrow"/>
          <w:sz w:val="22"/>
          <w:szCs w:val="22"/>
        </w:rPr>
        <w:t>1</w:t>
      </w:r>
      <w:r w:rsidR="000E7FA5" w:rsidRPr="00676D2B">
        <w:rPr>
          <w:rFonts w:ascii="Arial Narrow" w:hAnsi="Arial Narrow"/>
          <w:sz w:val="22"/>
          <w:szCs w:val="22"/>
        </w:rPr>
        <w:t xml:space="preserve"> eur na obyvateľa, 7,</w:t>
      </w:r>
      <w:r w:rsidR="008F66EB" w:rsidRPr="00676D2B">
        <w:rPr>
          <w:rFonts w:ascii="Arial Narrow" w:hAnsi="Arial Narrow"/>
          <w:sz w:val="22"/>
          <w:szCs w:val="22"/>
        </w:rPr>
        <w:t>1</w:t>
      </w:r>
      <w:r w:rsidR="000E7FA5" w:rsidRPr="00676D2B">
        <w:rPr>
          <w:rFonts w:ascii="Arial Narrow" w:hAnsi="Arial Narrow"/>
          <w:sz w:val="22"/>
          <w:szCs w:val="22"/>
        </w:rPr>
        <w:t xml:space="preserve"> % HDP). </w:t>
      </w:r>
    </w:p>
    <w:p w:rsidR="00875D8D" w:rsidRPr="00676D2B" w:rsidRDefault="00875D8D" w:rsidP="00FB27D7">
      <w:pPr>
        <w:ind w:firstLine="708"/>
        <w:jc w:val="both"/>
        <w:rPr>
          <w:rFonts w:ascii="Arial Narrow" w:hAnsi="Arial Narrow" w:cs="Arial"/>
          <w:sz w:val="22"/>
          <w:szCs w:val="22"/>
          <w:highlight w:val="cyan"/>
        </w:rPr>
      </w:pPr>
    </w:p>
    <w:p w:rsidR="005F74E8" w:rsidRPr="00676D2B" w:rsidRDefault="005F74E8" w:rsidP="00477FD3">
      <w:pPr>
        <w:ind w:firstLine="708"/>
        <w:jc w:val="both"/>
        <w:rPr>
          <w:rFonts w:ascii="Arial Narrow" w:hAnsi="Arial Narrow"/>
          <w:sz w:val="22"/>
          <w:szCs w:val="22"/>
        </w:rPr>
      </w:pPr>
      <w:r w:rsidRPr="00676D2B">
        <w:rPr>
          <w:rFonts w:ascii="Arial Narrow" w:hAnsi="Arial Narrow"/>
          <w:sz w:val="22"/>
          <w:szCs w:val="22"/>
        </w:rPr>
        <w:t>V roku 201</w:t>
      </w:r>
      <w:r w:rsidR="008F66EB" w:rsidRPr="00676D2B">
        <w:rPr>
          <w:rFonts w:ascii="Arial Narrow" w:hAnsi="Arial Narrow"/>
          <w:sz w:val="22"/>
          <w:szCs w:val="22"/>
        </w:rPr>
        <w:t>9</w:t>
      </w:r>
      <w:r w:rsidRPr="00676D2B">
        <w:rPr>
          <w:rFonts w:ascii="Arial Narrow" w:hAnsi="Arial Narrow"/>
          <w:sz w:val="22"/>
          <w:szCs w:val="22"/>
        </w:rPr>
        <w:t xml:space="preserve"> bolo v SR </w:t>
      </w:r>
      <w:r w:rsidR="008F66EB" w:rsidRPr="00676D2B">
        <w:rPr>
          <w:rFonts w:ascii="Arial Narrow" w:hAnsi="Arial Narrow"/>
          <w:sz w:val="22"/>
          <w:szCs w:val="22"/>
        </w:rPr>
        <w:t>3</w:t>
      </w:r>
      <w:r w:rsidRPr="00676D2B">
        <w:rPr>
          <w:rFonts w:ascii="Arial Narrow" w:hAnsi="Arial Narrow"/>
          <w:sz w:val="22"/>
          <w:szCs w:val="22"/>
        </w:rPr>
        <w:t>,</w:t>
      </w:r>
      <w:r w:rsidR="008F66EB" w:rsidRPr="00676D2B">
        <w:rPr>
          <w:rFonts w:ascii="Arial Narrow" w:hAnsi="Arial Narrow"/>
          <w:sz w:val="22"/>
          <w:szCs w:val="22"/>
        </w:rPr>
        <w:t>4</w:t>
      </w:r>
      <w:r w:rsidRPr="00676D2B">
        <w:rPr>
          <w:rFonts w:ascii="Arial Narrow" w:hAnsi="Arial Narrow"/>
          <w:sz w:val="22"/>
          <w:szCs w:val="22"/>
        </w:rPr>
        <w:t xml:space="preserve"> % zo všetkých vyplácaných sociálnych dávok testovaných na príjem, resp. výšku majetku. Nulový podiel testovaných dávok bol monitorovaný v účele choroba/zdravotná starostlivosť, pretože refundované výdavky na lieky a zdravotnú starostlivosť pre starobných a invalid</w:t>
      </w:r>
      <w:r w:rsidR="008F66EB" w:rsidRPr="00676D2B">
        <w:rPr>
          <w:rFonts w:ascii="Arial Narrow" w:hAnsi="Arial Narrow"/>
          <w:sz w:val="22"/>
          <w:szCs w:val="22"/>
        </w:rPr>
        <w:t>ných dôchodcov boli nevýznamné.</w:t>
      </w:r>
    </w:p>
    <w:p w:rsidR="00676D2B" w:rsidRDefault="00676D2B" w:rsidP="008352D9">
      <w:pPr>
        <w:rPr>
          <w:rFonts w:ascii="Arial Narrow" w:hAnsi="Arial Narrow"/>
          <w:b/>
          <w:sz w:val="20"/>
          <w:szCs w:val="20"/>
        </w:rPr>
      </w:pPr>
    </w:p>
    <w:p w:rsidR="00105D60" w:rsidRDefault="00105D60" w:rsidP="008352D9">
      <w:pPr>
        <w:rPr>
          <w:rFonts w:ascii="Arial Narrow" w:hAnsi="Arial Narrow"/>
          <w:b/>
          <w:sz w:val="20"/>
          <w:szCs w:val="20"/>
        </w:rPr>
      </w:pPr>
    </w:p>
    <w:p w:rsidR="008352D9" w:rsidRDefault="009E152F" w:rsidP="008352D9">
      <w:pPr>
        <w:rPr>
          <w:rFonts w:ascii="Arial Narrow" w:hAnsi="Arial Narrow"/>
          <w:b/>
          <w:sz w:val="20"/>
          <w:szCs w:val="20"/>
        </w:rPr>
      </w:pPr>
      <w:r w:rsidRPr="008F66EB">
        <w:rPr>
          <w:rFonts w:ascii="Arial Narrow" w:hAnsi="Arial Narrow"/>
          <w:b/>
          <w:sz w:val="20"/>
          <w:szCs w:val="20"/>
        </w:rPr>
        <w:lastRenderedPageBreak/>
        <w:t xml:space="preserve">Graf </w:t>
      </w:r>
      <w:r w:rsidR="003256DA" w:rsidRPr="008F66EB">
        <w:rPr>
          <w:rFonts w:ascii="Arial Narrow" w:hAnsi="Arial Narrow"/>
          <w:b/>
          <w:sz w:val="20"/>
          <w:szCs w:val="20"/>
        </w:rPr>
        <w:t>1.5</w:t>
      </w:r>
      <w:r w:rsidRPr="008F66EB">
        <w:rPr>
          <w:rFonts w:ascii="Arial Narrow" w:hAnsi="Arial Narrow"/>
          <w:b/>
          <w:sz w:val="20"/>
          <w:szCs w:val="20"/>
        </w:rPr>
        <w:t xml:space="preserve"> </w:t>
      </w:r>
      <w:r w:rsidR="00526EB6" w:rsidRPr="008F66EB">
        <w:rPr>
          <w:rFonts w:ascii="Arial Narrow" w:hAnsi="Arial Narrow"/>
          <w:b/>
          <w:sz w:val="20"/>
          <w:szCs w:val="20"/>
        </w:rPr>
        <w:t xml:space="preserve"> </w:t>
      </w:r>
      <w:r w:rsidRPr="008F66EB">
        <w:rPr>
          <w:rFonts w:ascii="Arial Narrow" w:hAnsi="Arial Narrow"/>
          <w:b/>
          <w:sz w:val="20"/>
          <w:szCs w:val="20"/>
        </w:rPr>
        <w:t>Testované dávky v SR  (% z vyplatených sociálnych dávok),</w:t>
      </w:r>
      <w:r w:rsidR="00810E59" w:rsidRPr="008F66EB">
        <w:rPr>
          <w:rFonts w:ascii="Arial Narrow" w:hAnsi="Arial Narrow"/>
          <w:b/>
          <w:sz w:val="20"/>
          <w:szCs w:val="20"/>
        </w:rPr>
        <w:t xml:space="preserve"> </w:t>
      </w:r>
      <w:r w:rsidRPr="008F66EB">
        <w:rPr>
          <w:rFonts w:ascii="Arial Narrow" w:hAnsi="Arial Narrow"/>
          <w:b/>
          <w:sz w:val="20"/>
          <w:szCs w:val="20"/>
        </w:rPr>
        <w:t>199</w:t>
      </w:r>
      <w:r w:rsidR="00242F54">
        <w:rPr>
          <w:rFonts w:ascii="Arial Narrow" w:hAnsi="Arial Narrow"/>
          <w:b/>
          <w:sz w:val="20"/>
          <w:szCs w:val="20"/>
        </w:rPr>
        <w:t>8</w:t>
      </w:r>
      <w:r w:rsidR="00E72A69" w:rsidRPr="008F66EB">
        <w:rPr>
          <w:rFonts w:ascii="Arial Narrow" w:hAnsi="Arial Narrow"/>
          <w:b/>
          <w:sz w:val="20"/>
          <w:szCs w:val="20"/>
        </w:rPr>
        <w:t xml:space="preserve"> </w:t>
      </w:r>
      <w:r w:rsidR="00944B62">
        <w:rPr>
          <w:rFonts w:ascii="Arial Narrow" w:hAnsi="Arial Narrow"/>
          <w:b/>
          <w:sz w:val="20"/>
          <w:szCs w:val="20"/>
        </w:rPr>
        <w:t>–</w:t>
      </w:r>
      <w:r w:rsidR="00E72A69" w:rsidRPr="008F66EB">
        <w:rPr>
          <w:rFonts w:ascii="Arial Narrow" w:hAnsi="Arial Narrow"/>
          <w:b/>
          <w:sz w:val="20"/>
          <w:szCs w:val="20"/>
        </w:rPr>
        <w:t xml:space="preserve"> </w:t>
      </w:r>
      <w:r w:rsidRPr="008F66EB">
        <w:rPr>
          <w:rFonts w:ascii="Arial Narrow" w:hAnsi="Arial Narrow"/>
          <w:b/>
          <w:sz w:val="20"/>
          <w:szCs w:val="20"/>
        </w:rPr>
        <w:t>201</w:t>
      </w:r>
      <w:r w:rsidR="008F66EB" w:rsidRPr="008F66EB">
        <w:rPr>
          <w:rFonts w:ascii="Arial Narrow" w:hAnsi="Arial Narrow"/>
          <w:b/>
          <w:sz w:val="20"/>
          <w:szCs w:val="20"/>
        </w:rPr>
        <w:t>9</w:t>
      </w:r>
    </w:p>
    <w:p w:rsidR="00676D2B" w:rsidRPr="00676D2B" w:rsidRDefault="00676D2B" w:rsidP="008352D9">
      <w:pPr>
        <w:rPr>
          <w:rFonts w:ascii="Arial Narrow" w:hAnsi="Arial Narrow"/>
          <w:b/>
          <w:sz w:val="10"/>
          <w:szCs w:val="10"/>
        </w:rPr>
      </w:pPr>
    </w:p>
    <w:p w:rsidR="00944B62" w:rsidRDefault="00D74A81" w:rsidP="008352D9">
      <w:pPr>
        <w:rPr>
          <w:rFonts w:ascii="Arial Narrow" w:hAnsi="Arial Narrow"/>
          <w:b/>
          <w:sz w:val="20"/>
          <w:szCs w:val="20"/>
        </w:rPr>
      </w:pPr>
      <w:r>
        <w:rPr>
          <w:noProof/>
          <w:lang w:eastAsia="sk-SK"/>
        </w:rPr>
        <w:drawing>
          <wp:inline distT="0" distB="0" distL="0" distR="0" wp14:anchorId="2E83914F" wp14:editId="281F32EB">
            <wp:extent cx="5705477" cy="757123"/>
            <wp:effectExtent l="0" t="0" r="9525" b="5080"/>
            <wp:docPr id="15" name="Graf 15">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2276E" w:rsidRPr="0042276E" w:rsidRDefault="0042276E" w:rsidP="0042276E">
      <w:pPr>
        <w:rPr>
          <w:rFonts w:ascii="Arial Narrow" w:hAnsi="Arial Narrow"/>
          <w:i/>
          <w:sz w:val="10"/>
          <w:szCs w:val="10"/>
        </w:rPr>
      </w:pPr>
    </w:p>
    <w:p w:rsidR="00C56313" w:rsidRDefault="00FB27D7" w:rsidP="0042276E">
      <w:pPr>
        <w:rPr>
          <w:rFonts w:ascii="Arial Narrow" w:hAnsi="Arial Narrow"/>
          <w:sz w:val="22"/>
          <w:szCs w:val="22"/>
        </w:rPr>
      </w:pPr>
      <w:r>
        <w:rPr>
          <w:rFonts w:ascii="Arial Narrow" w:hAnsi="Arial Narrow"/>
          <w:i/>
          <w:sz w:val="16"/>
          <w:szCs w:val="16"/>
        </w:rPr>
        <w:t xml:space="preserve">Zdroj: ŠÚ SR </w:t>
      </w:r>
      <w:r w:rsidR="00D6566E">
        <w:rPr>
          <w:rFonts w:ascii="Arial Narrow" w:hAnsi="Arial Narrow"/>
          <w:i/>
          <w:sz w:val="16"/>
          <w:szCs w:val="16"/>
        </w:rPr>
        <w:t>–</w:t>
      </w:r>
      <w:r>
        <w:rPr>
          <w:rFonts w:ascii="Arial Narrow" w:hAnsi="Arial Narrow"/>
          <w:i/>
          <w:sz w:val="16"/>
          <w:szCs w:val="16"/>
        </w:rPr>
        <w:t xml:space="preserve"> ESSPROS</w:t>
      </w:r>
    </w:p>
    <w:p w:rsidR="00FB27D7" w:rsidRDefault="00FB27D7" w:rsidP="00D6566E">
      <w:pPr>
        <w:rPr>
          <w:rFonts w:ascii="Arial Narrow" w:hAnsi="Arial Narrow"/>
          <w:i/>
          <w:sz w:val="16"/>
          <w:szCs w:val="16"/>
        </w:rPr>
      </w:pPr>
      <w:r>
        <w:rPr>
          <w:rFonts w:ascii="Arial Narrow" w:hAnsi="Arial Narrow"/>
          <w:i/>
          <w:sz w:val="16"/>
          <w:szCs w:val="16"/>
        </w:rPr>
        <w:tab/>
      </w:r>
      <w:r>
        <w:rPr>
          <w:rFonts w:ascii="Arial Narrow" w:hAnsi="Arial Narrow"/>
          <w:i/>
          <w:sz w:val="16"/>
          <w:szCs w:val="16"/>
        </w:rPr>
        <w:tab/>
      </w:r>
    </w:p>
    <w:p w:rsidR="00105D60" w:rsidRDefault="00105D60" w:rsidP="00FB27D7">
      <w:pPr>
        <w:ind w:firstLine="708"/>
        <w:jc w:val="both"/>
        <w:rPr>
          <w:rFonts w:ascii="Arial Narrow" w:hAnsi="Arial Narrow"/>
          <w:sz w:val="22"/>
          <w:szCs w:val="22"/>
        </w:rPr>
      </w:pPr>
    </w:p>
    <w:p w:rsidR="00FB27D7" w:rsidRDefault="00FB27D7" w:rsidP="00FB27D7">
      <w:pPr>
        <w:ind w:firstLine="708"/>
        <w:jc w:val="both"/>
        <w:rPr>
          <w:rFonts w:ascii="Arial Narrow" w:hAnsi="Arial Narrow"/>
          <w:sz w:val="22"/>
          <w:szCs w:val="22"/>
        </w:rPr>
      </w:pPr>
      <w:r w:rsidRPr="00676D2B">
        <w:rPr>
          <w:rFonts w:ascii="Arial Narrow" w:hAnsi="Arial Narrow"/>
          <w:sz w:val="22"/>
          <w:szCs w:val="22"/>
        </w:rPr>
        <w:t>V roku 201</w:t>
      </w:r>
      <w:r w:rsidR="00242F54" w:rsidRPr="00676D2B">
        <w:rPr>
          <w:rFonts w:ascii="Arial Narrow" w:hAnsi="Arial Narrow"/>
          <w:sz w:val="22"/>
          <w:szCs w:val="22"/>
        </w:rPr>
        <w:t>9</w:t>
      </w:r>
      <w:r w:rsidRPr="00676D2B">
        <w:rPr>
          <w:rFonts w:ascii="Arial Narrow" w:hAnsi="Arial Narrow"/>
          <w:sz w:val="22"/>
          <w:szCs w:val="22"/>
        </w:rPr>
        <w:t xml:space="preserve"> tvorili z vyplatených dávok pravidelné peňažné dávky 6</w:t>
      </w:r>
      <w:r w:rsidR="00242F54" w:rsidRPr="00676D2B">
        <w:rPr>
          <w:rFonts w:ascii="Arial Narrow" w:hAnsi="Arial Narrow"/>
          <w:sz w:val="22"/>
          <w:szCs w:val="22"/>
        </w:rPr>
        <w:t>3</w:t>
      </w:r>
      <w:r w:rsidRPr="00676D2B">
        <w:rPr>
          <w:rFonts w:ascii="Arial Narrow" w:hAnsi="Arial Narrow"/>
          <w:sz w:val="22"/>
          <w:szCs w:val="22"/>
        </w:rPr>
        <w:t>,</w:t>
      </w:r>
      <w:r w:rsidR="00242F54" w:rsidRPr="00676D2B">
        <w:rPr>
          <w:rFonts w:ascii="Arial Narrow" w:hAnsi="Arial Narrow"/>
          <w:sz w:val="22"/>
          <w:szCs w:val="22"/>
        </w:rPr>
        <w:t>1</w:t>
      </w:r>
      <w:r w:rsidRPr="00676D2B">
        <w:rPr>
          <w:rFonts w:ascii="Arial Narrow" w:hAnsi="Arial Narrow"/>
          <w:sz w:val="22"/>
          <w:szCs w:val="22"/>
        </w:rPr>
        <w:t xml:space="preserve"> %, jednorazové peňažné dávky 2,</w:t>
      </w:r>
      <w:r w:rsidR="00E11EFF" w:rsidRPr="00676D2B">
        <w:rPr>
          <w:rFonts w:ascii="Arial Narrow" w:hAnsi="Arial Narrow"/>
          <w:sz w:val="22"/>
          <w:szCs w:val="22"/>
        </w:rPr>
        <w:t>2</w:t>
      </w:r>
      <w:r w:rsidRPr="00676D2B">
        <w:rPr>
          <w:rFonts w:ascii="Arial Narrow" w:hAnsi="Arial Narrow"/>
          <w:sz w:val="22"/>
          <w:szCs w:val="22"/>
        </w:rPr>
        <w:t xml:space="preserve"> % a vecné dávky 34,</w:t>
      </w:r>
      <w:r w:rsidR="00E11EFF" w:rsidRPr="00676D2B">
        <w:rPr>
          <w:rFonts w:ascii="Arial Narrow" w:hAnsi="Arial Narrow"/>
          <w:sz w:val="22"/>
          <w:szCs w:val="22"/>
        </w:rPr>
        <w:t>7</w:t>
      </w:r>
      <w:r w:rsidR="003817DD" w:rsidRPr="00676D2B">
        <w:rPr>
          <w:rFonts w:ascii="Arial Narrow" w:hAnsi="Arial Narrow"/>
          <w:sz w:val="22"/>
          <w:szCs w:val="22"/>
        </w:rPr>
        <w:t xml:space="preserve"> %.</w:t>
      </w:r>
      <w:r w:rsidRPr="00676D2B">
        <w:rPr>
          <w:rFonts w:ascii="Arial Narrow" w:hAnsi="Arial Narrow"/>
          <w:sz w:val="22"/>
          <w:szCs w:val="22"/>
        </w:rPr>
        <w:t xml:space="preserve"> </w:t>
      </w:r>
    </w:p>
    <w:p w:rsidR="00105D60" w:rsidRDefault="00105D60" w:rsidP="00FB27D7">
      <w:pPr>
        <w:ind w:firstLine="708"/>
        <w:jc w:val="both"/>
        <w:rPr>
          <w:rFonts w:ascii="Arial Narrow" w:hAnsi="Arial Narrow"/>
          <w:sz w:val="22"/>
          <w:szCs w:val="22"/>
        </w:rPr>
      </w:pPr>
    </w:p>
    <w:p w:rsidR="008352D9" w:rsidRDefault="009E152F" w:rsidP="00526EB6">
      <w:pPr>
        <w:ind w:left="5664" w:firstLine="708"/>
        <w:rPr>
          <w:rFonts w:ascii="Arial Narrow" w:hAnsi="Arial Narrow"/>
          <w:i/>
          <w:sz w:val="16"/>
          <w:szCs w:val="16"/>
        </w:rPr>
      </w:pPr>
      <w:r w:rsidRPr="009E152F">
        <w:rPr>
          <w:rFonts w:ascii="Arial Narrow" w:hAnsi="Arial Narrow"/>
          <w:i/>
          <w:sz w:val="16"/>
          <w:szCs w:val="16"/>
        </w:rPr>
        <w:tab/>
        <w:t xml:space="preserve">                           </w:t>
      </w:r>
    </w:p>
    <w:p w:rsidR="00FB27D7" w:rsidRDefault="00FB27D7" w:rsidP="009E3AF8">
      <w:pPr>
        <w:jc w:val="both"/>
        <w:rPr>
          <w:rFonts w:ascii="Arial Narrow" w:hAnsi="Arial Narrow"/>
          <w:b/>
          <w:bCs/>
          <w:color w:val="000000"/>
          <w:sz w:val="20"/>
          <w:szCs w:val="20"/>
        </w:rPr>
      </w:pPr>
      <w:r>
        <w:rPr>
          <w:rFonts w:ascii="Arial Narrow" w:hAnsi="Arial Narrow"/>
          <w:b/>
          <w:bCs/>
          <w:color w:val="000000"/>
          <w:sz w:val="20"/>
          <w:szCs w:val="20"/>
        </w:rPr>
        <w:t xml:space="preserve">Tab. 1.4  </w:t>
      </w:r>
      <w:r w:rsidRPr="00FB27D7">
        <w:rPr>
          <w:rFonts w:ascii="Arial Narrow" w:hAnsi="Arial Narrow"/>
          <w:b/>
          <w:bCs/>
          <w:color w:val="000000"/>
          <w:sz w:val="20"/>
          <w:szCs w:val="20"/>
        </w:rPr>
        <w:t xml:space="preserve">Výdavky na sociálnu ochranu </w:t>
      </w:r>
      <w:r>
        <w:rPr>
          <w:rFonts w:ascii="Arial Narrow" w:hAnsi="Arial Narrow"/>
          <w:b/>
          <w:bCs/>
          <w:color w:val="000000"/>
          <w:sz w:val="20"/>
          <w:szCs w:val="20"/>
        </w:rPr>
        <w:t xml:space="preserve">podľa </w:t>
      </w:r>
      <w:r w:rsidR="00324B4C">
        <w:rPr>
          <w:rFonts w:ascii="Arial Narrow" w:hAnsi="Arial Narrow"/>
          <w:b/>
          <w:bCs/>
          <w:color w:val="000000"/>
          <w:sz w:val="20"/>
          <w:szCs w:val="20"/>
        </w:rPr>
        <w:t>typu</w:t>
      </w:r>
      <w:r>
        <w:rPr>
          <w:rFonts w:ascii="Arial Narrow" w:hAnsi="Arial Narrow"/>
          <w:b/>
          <w:bCs/>
          <w:color w:val="000000"/>
          <w:sz w:val="20"/>
          <w:szCs w:val="20"/>
        </w:rPr>
        <w:t xml:space="preserve"> </w:t>
      </w:r>
      <w:r w:rsidRPr="00FB27D7">
        <w:rPr>
          <w:rFonts w:ascii="Arial Narrow" w:hAnsi="Arial Narrow"/>
          <w:b/>
          <w:bCs/>
          <w:color w:val="000000"/>
          <w:sz w:val="20"/>
          <w:szCs w:val="20"/>
        </w:rPr>
        <w:t>v SR, 201</w:t>
      </w:r>
      <w:r w:rsidR="008D4F0D">
        <w:rPr>
          <w:rFonts w:ascii="Arial Narrow" w:hAnsi="Arial Narrow"/>
          <w:b/>
          <w:bCs/>
          <w:color w:val="000000"/>
          <w:sz w:val="20"/>
          <w:szCs w:val="20"/>
        </w:rPr>
        <w:t>9</w:t>
      </w:r>
    </w:p>
    <w:p w:rsidR="0042276E" w:rsidRPr="0042276E" w:rsidRDefault="0042276E" w:rsidP="009E3AF8">
      <w:pPr>
        <w:jc w:val="both"/>
        <w:rPr>
          <w:rFonts w:ascii="Arial Narrow" w:hAnsi="Arial Narrow"/>
          <w:b/>
          <w:bCs/>
          <w:color w:val="000000"/>
          <w:sz w:val="10"/>
          <w:szCs w:val="10"/>
        </w:rPr>
      </w:pPr>
    </w:p>
    <w:tbl>
      <w:tblPr>
        <w:tblW w:w="9304" w:type="dxa"/>
        <w:tblCellMar>
          <w:left w:w="70" w:type="dxa"/>
          <w:right w:w="70" w:type="dxa"/>
        </w:tblCellMar>
        <w:tblLook w:val="04A0" w:firstRow="1" w:lastRow="0" w:firstColumn="1" w:lastColumn="0" w:noHBand="0" w:noVBand="1"/>
      </w:tblPr>
      <w:tblGrid>
        <w:gridCol w:w="799"/>
        <w:gridCol w:w="335"/>
        <w:gridCol w:w="267"/>
        <w:gridCol w:w="356"/>
        <w:gridCol w:w="976"/>
        <w:gridCol w:w="616"/>
        <w:gridCol w:w="994"/>
        <w:gridCol w:w="851"/>
        <w:gridCol w:w="850"/>
        <w:gridCol w:w="851"/>
        <w:gridCol w:w="850"/>
        <w:gridCol w:w="662"/>
        <w:gridCol w:w="897"/>
      </w:tblGrid>
      <w:tr w:rsidR="00F619EF" w:rsidTr="005B5046">
        <w:trPr>
          <w:trHeight w:val="525"/>
        </w:trPr>
        <w:tc>
          <w:tcPr>
            <w:tcW w:w="799" w:type="dxa"/>
            <w:tcBorders>
              <w:top w:val="nil"/>
              <w:left w:val="nil"/>
              <w:bottom w:val="single" w:sz="4" w:space="0" w:color="FF0000"/>
              <w:right w:val="nil"/>
            </w:tcBorders>
            <w:shd w:val="clear" w:color="000000" w:fill="A9D08E"/>
            <w:noWrap/>
            <w:vAlign w:val="center"/>
            <w:hideMark/>
          </w:tcPr>
          <w:p w:rsidR="00F619EF" w:rsidRDefault="00F619EF">
            <w:pPr>
              <w:rPr>
                <w:rFonts w:ascii="Arial Narrow" w:hAnsi="Arial Narrow"/>
                <w:color w:val="000000"/>
                <w:sz w:val="16"/>
                <w:szCs w:val="16"/>
                <w:lang w:eastAsia="sk-SK"/>
              </w:rPr>
            </w:pPr>
            <w:r>
              <w:rPr>
                <w:rFonts w:ascii="Arial Narrow" w:hAnsi="Arial Narrow"/>
                <w:color w:val="000000"/>
                <w:sz w:val="16"/>
                <w:szCs w:val="16"/>
              </w:rPr>
              <w:t>Ukazovateľ</w:t>
            </w:r>
          </w:p>
        </w:tc>
        <w:tc>
          <w:tcPr>
            <w:tcW w:w="335" w:type="dxa"/>
            <w:tcBorders>
              <w:top w:val="nil"/>
              <w:left w:val="nil"/>
              <w:bottom w:val="single" w:sz="4" w:space="0" w:color="FF0000"/>
              <w:right w:val="nil"/>
            </w:tcBorders>
            <w:shd w:val="clear" w:color="000000" w:fill="A9D08E"/>
            <w:noWrap/>
            <w:vAlign w:val="center"/>
            <w:hideMark/>
          </w:tcPr>
          <w:p w:rsidR="00F619EF" w:rsidRDefault="00F619EF">
            <w:pPr>
              <w:rPr>
                <w:rFonts w:ascii="Arial" w:hAnsi="Arial" w:cs="Arial"/>
                <w:color w:val="000000"/>
                <w:sz w:val="16"/>
                <w:szCs w:val="16"/>
              </w:rPr>
            </w:pPr>
            <w:r>
              <w:rPr>
                <w:rFonts w:ascii="Arial" w:hAnsi="Arial" w:cs="Arial"/>
                <w:color w:val="000000"/>
                <w:sz w:val="16"/>
                <w:szCs w:val="16"/>
              </w:rPr>
              <w:t> </w:t>
            </w:r>
          </w:p>
        </w:tc>
        <w:tc>
          <w:tcPr>
            <w:tcW w:w="267" w:type="dxa"/>
            <w:tcBorders>
              <w:top w:val="nil"/>
              <w:left w:val="nil"/>
              <w:bottom w:val="single" w:sz="4" w:space="0" w:color="FF0000"/>
              <w:right w:val="nil"/>
            </w:tcBorders>
            <w:shd w:val="clear" w:color="000000" w:fill="A9D08E"/>
            <w:noWrap/>
            <w:vAlign w:val="center"/>
            <w:hideMark/>
          </w:tcPr>
          <w:p w:rsidR="00F619EF" w:rsidRDefault="00F619EF">
            <w:pPr>
              <w:rPr>
                <w:rFonts w:ascii="Arial" w:hAnsi="Arial" w:cs="Arial"/>
                <w:color w:val="000000"/>
                <w:sz w:val="16"/>
                <w:szCs w:val="16"/>
              </w:rPr>
            </w:pPr>
            <w:r>
              <w:rPr>
                <w:rFonts w:ascii="Arial" w:hAnsi="Arial" w:cs="Arial"/>
                <w:color w:val="000000"/>
                <w:sz w:val="16"/>
                <w:szCs w:val="16"/>
              </w:rPr>
              <w:t> </w:t>
            </w:r>
          </w:p>
        </w:tc>
        <w:tc>
          <w:tcPr>
            <w:tcW w:w="356" w:type="dxa"/>
            <w:tcBorders>
              <w:top w:val="nil"/>
              <w:left w:val="nil"/>
              <w:bottom w:val="single" w:sz="4" w:space="0" w:color="FF0000"/>
              <w:right w:val="nil"/>
            </w:tcBorders>
            <w:shd w:val="clear" w:color="000000" w:fill="A9D08E"/>
            <w:noWrap/>
            <w:vAlign w:val="center"/>
            <w:hideMark/>
          </w:tcPr>
          <w:p w:rsidR="00F619EF" w:rsidRDefault="00F619EF">
            <w:pPr>
              <w:rPr>
                <w:rFonts w:ascii="Arial" w:hAnsi="Arial" w:cs="Arial"/>
                <w:color w:val="000000"/>
                <w:sz w:val="16"/>
                <w:szCs w:val="16"/>
              </w:rPr>
            </w:pPr>
            <w:r>
              <w:rPr>
                <w:rFonts w:ascii="Arial" w:hAnsi="Arial" w:cs="Arial"/>
                <w:color w:val="000000"/>
                <w:sz w:val="16"/>
                <w:szCs w:val="16"/>
              </w:rPr>
              <w:t> </w:t>
            </w:r>
          </w:p>
        </w:tc>
        <w:tc>
          <w:tcPr>
            <w:tcW w:w="976" w:type="dxa"/>
            <w:tcBorders>
              <w:top w:val="nil"/>
              <w:left w:val="nil"/>
              <w:bottom w:val="single" w:sz="4" w:space="0" w:color="FF0000"/>
              <w:right w:val="nil"/>
            </w:tcBorders>
            <w:shd w:val="clear" w:color="000000" w:fill="A9D08E"/>
            <w:noWrap/>
            <w:vAlign w:val="center"/>
            <w:hideMark/>
          </w:tcPr>
          <w:p w:rsidR="00F619EF" w:rsidRDefault="00F619EF">
            <w:pPr>
              <w:rPr>
                <w:rFonts w:ascii="Arial" w:hAnsi="Arial" w:cs="Arial"/>
                <w:color w:val="000000"/>
                <w:sz w:val="16"/>
                <w:szCs w:val="16"/>
              </w:rPr>
            </w:pPr>
            <w:r>
              <w:rPr>
                <w:rFonts w:ascii="Arial" w:hAnsi="Arial" w:cs="Arial"/>
                <w:color w:val="000000"/>
                <w:sz w:val="16"/>
                <w:szCs w:val="16"/>
              </w:rPr>
              <w:t> </w:t>
            </w:r>
          </w:p>
        </w:tc>
        <w:tc>
          <w:tcPr>
            <w:tcW w:w="616" w:type="dxa"/>
            <w:tcBorders>
              <w:top w:val="nil"/>
              <w:left w:val="nil"/>
              <w:bottom w:val="single" w:sz="4" w:space="0" w:color="FF0000"/>
              <w:right w:val="single" w:sz="4" w:space="0" w:color="FF0000"/>
            </w:tcBorders>
            <w:shd w:val="clear" w:color="000000" w:fill="A9D08E"/>
            <w:noWrap/>
            <w:vAlign w:val="center"/>
            <w:hideMark/>
          </w:tcPr>
          <w:p w:rsidR="00F619EF" w:rsidRDefault="00F619EF">
            <w:pPr>
              <w:rPr>
                <w:rFonts w:ascii="Arial" w:hAnsi="Arial" w:cs="Arial"/>
                <w:color w:val="000000"/>
                <w:sz w:val="16"/>
                <w:szCs w:val="16"/>
              </w:rPr>
            </w:pPr>
            <w:r>
              <w:rPr>
                <w:rFonts w:ascii="Arial" w:hAnsi="Arial" w:cs="Arial"/>
                <w:color w:val="000000"/>
                <w:sz w:val="16"/>
                <w:szCs w:val="16"/>
              </w:rPr>
              <w:t> </w:t>
            </w:r>
          </w:p>
        </w:tc>
        <w:tc>
          <w:tcPr>
            <w:tcW w:w="994" w:type="dxa"/>
            <w:tcBorders>
              <w:top w:val="nil"/>
              <w:left w:val="nil"/>
              <w:bottom w:val="single" w:sz="4" w:space="0" w:color="FF0000"/>
              <w:right w:val="single" w:sz="4" w:space="0" w:color="FF0000"/>
            </w:tcBorders>
            <w:shd w:val="clear" w:color="000000" w:fill="A9D08E"/>
            <w:noWrap/>
            <w:vAlign w:val="center"/>
            <w:hideMark/>
          </w:tcPr>
          <w:p w:rsidR="00F619EF" w:rsidRDefault="00F619EF">
            <w:pPr>
              <w:jc w:val="center"/>
              <w:rPr>
                <w:rFonts w:ascii="Arial Narrow" w:hAnsi="Arial Narrow"/>
                <w:color w:val="000000"/>
                <w:sz w:val="16"/>
                <w:szCs w:val="16"/>
              </w:rPr>
            </w:pPr>
            <w:r>
              <w:rPr>
                <w:rFonts w:ascii="Arial Narrow" w:hAnsi="Arial Narrow"/>
                <w:color w:val="000000"/>
                <w:sz w:val="16"/>
                <w:szCs w:val="16"/>
              </w:rPr>
              <w:t>mil. EUR</w:t>
            </w:r>
          </w:p>
        </w:tc>
        <w:tc>
          <w:tcPr>
            <w:tcW w:w="851" w:type="dxa"/>
            <w:tcBorders>
              <w:top w:val="nil"/>
              <w:left w:val="nil"/>
              <w:bottom w:val="single" w:sz="4" w:space="0" w:color="FF0000"/>
              <w:right w:val="single" w:sz="4" w:space="0" w:color="FF0000"/>
            </w:tcBorders>
            <w:shd w:val="clear" w:color="000000" w:fill="A9D08E"/>
            <w:vAlign w:val="center"/>
            <w:hideMark/>
          </w:tcPr>
          <w:p w:rsidR="00F619EF" w:rsidRDefault="00F619EF">
            <w:pPr>
              <w:jc w:val="center"/>
              <w:rPr>
                <w:rFonts w:ascii="Arial Narrow" w:hAnsi="Arial Narrow"/>
                <w:color w:val="000000"/>
                <w:sz w:val="16"/>
                <w:szCs w:val="16"/>
              </w:rPr>
            </w:pPr>
            <w:r>
              <w:rPr>
                <w:rFonts w:ascii="Arial Narrow" w:hAnsi="Arial Narrow"/>
                <w:color w:val="000000"/>
                <w:sz w:val="16"/>
                <w:szCs w:val="16"/>
              </w:rPr>
              <w:t xml:space="preserve">mil. EUR </w:t>
            </w:r>
            <w:proofErr w:type="spellStart"/>
            <w:r>
              <w:rPr>
                <w:rFonts w:ascii="Arial Narrow" w:hAnsi="Arial Narrow"/>
                <w:color w:val="000000"/>
                <w:sz w:val="16"/>
                <w:szCs w:val="16"/>
              </w:rPr>
              <w:t>s.c</w:t>
            </w:r>
            <w:proofErr w:type="spellEnd"/>
            <w:r>
              <w:rPr>
                <w:rFonts w:ascii="Arial Narrow" w:hAnsi="Arial Narrow"/>
                <w:color w:val="000000"/>
                <w:sz w:val="16"/>
                <w:szCs w:val="16"/>
              </w:rPr>
              <w:t>. 2010</w:t>
            </w:r>
          </w:p>
        </w:tc>
        <w:tc>
          <w:tcPr>
            <w:tcW w:w="850" w:type="dxa"/>
            <w:tcBorders>
              <w:top w:val="nil"/>
              <w:left w:val="nil"/>
              <w:bottom w:val="single" w:sz="4" w:space="0" w:color="FF0000"/>
              <w:right w:val="single" w:sz="4" w:space="0" w:color="FF0000"/>
            </w:tcBorders>
            <w:shd w:val="clear" w:color="000000" w:fill="A9D08E"/>
            <w:vAlign w:val="center"/>
            <w:hideMark/>
          </w:tcPr>
          <w:p w:rsidR="005B5046" w:rsidRPr="00717E63" w:rsidRDefault="005B5046" w:rsidP="005B5046">
            <w:pPr>
              <w:jc w:val="center"/>
              <w:rPr>
                <w:rFonts w:ascii="Arial Narrow" w:hAnsi="Arial Narrow"/>
                <w:color w:val="000000"/>
                <w:sz w:val="16"/>
                <w:szCs w:val="16"/>
              </w:rPr>
            </w:pPr>
            <w:r w:rsidRPr="00717E63">
              <w:rPr>
                <w:rFonts w:ascii="Arial Narrow" w:hAnsi="Arial Narrow"/>
                <w:color w:val="000000"/>
                <w:sz w:val="16"/>
                <w:szCs w:val="16"/>
              </w:rPr>
              <w:t>mil. EUR na obyv.</w:t>
            </w:r>
          </w:p>
          <w:p w:rsidR="00F619EF" w:rsidRDefault="005B5046" w:rsidP="005B5046">
            <w:pPr>
              <w:jc w:val="center"/>
              <w:rPr>
                <w:rFonts w:ascii="Arial Narrow" w:hAnsi="Arial Narrow"/>
                <w:color w:val="000000"/>
                <w:sz w:val="16"/>
                <w:szCs w:val="16"/>
              </w:rPr>
            </w:pPr>
            <w:proofErr w:type="spellStart"/>
            <w:r w:rsidRPr="00717E63">
              <w:rPr>
                <w:rFonts w:ascii="Arial Narrow" w:hAnsi="Arial Narrow"/>
                <w:color w:val="000000"/>
                <w:sz w:val="16"/>
                <w:szCs w:val="16"/>
              </w:rPr>
              <w:t>s.c</w:t>
            </w:r>
            <w:proofErr w:type="spellEnd"/>
            <w:r w:rsidRPr="00717E63">
              <w:rPr>
                <w:rFonts w:ascii="Arial Narrow" w:hAnsi="Arial Narrow"/>
                <w:color w:val="000000"/>
                <w:sz w:val="16"/>
                <w:szCs w:val="16"/>
              </w:rPr>
              <w:t>. 2010</w:t>
            </w:r>
          </w:p>
        </w:tc>
        <w:tc>
          <w:tcPr>
            <w:tcW w:w="851" w:type="dxa"/>
            <w:tcBorders>
              <w:top w:val="nil"/>
              <w:left w:val="nil"/>
              <w:bottom w:val="single" w:sz="4" w:space="0" w:color="FF0000"/>
              <w:right w:val="single" w:sz="4" w:space="0" w:color="FF0000"/>
            </w:tcBorders>
            <w:shd w:val="clear" w:color="000000" w:fill="A9D08E"/>
            <w:vAlign w:val="center"/>
            <w:hideMark/>
          </w:tcPr>
          <w:p w:rsidR="00F619EF" w:rsidRDefault="00F619EF">
            <w:pPr>
              <w:jc w:val="center"/>
              <w:rPr>
                <w:rFonts w:ascii="Arial Narrow" w:hAnsi="Arial Narrow"/>
                <w:color w:val="000000"/>
                <w:sz w:val="16"/>
                <w:szCs w:val="16"/>
              </w:rPr>
            </w:pPr>
            <w:r>
              <w:rPr>
                <w:rFonts w:ascii="Arial Narrow" w:hAnsi="Arial Narrow"/>
                <w:color w:val="000000"/>
                <w:sz w:val="16"/>
                <w:szCs w:val="16"/>
              </w:rPr>
              <w:t>PPS na obyv.</w:t>
            </w:r>
          </w:p>
        </w:tc>
        <w:tc>
          <w:tcPr>
            <w:tcW w:w="850" w:type="dxa"/>
            <w:tcBorders>
              <w:top w:val="nil"/>
              <w:left w:val="nil"/>
              <w:bottom w:val="single" w:sz="4" w:space="0" w:color="FF0000"/>
              <w:right w:val="single" w:sz="4" w:space="0" w:color="FF0000"/>
            </w:tcBorders>
            <w:shd w:val="clear" w:color="000000" w:fill="A9D08E"/>
            <w:vAlign w:val="center"/>
            <w:hideMark/>
          </w:tcPr>
          <w:p w:rsidR="00F619EF" w:rsidRDefault="00F619EF">
            <w:pPr>
              <w:jc w:val="center"/>
              <w:rPr>
                <w:rFonts w:ascii="Arial Narrow" w:hAnsi="Arial Narrow"/>
                <w:color w:val="000000"/>
                <w:sz w:val="16"/>
                <w:szCs w:val="16"/>
              </w:rPr>
            </w:pPr>
            <w:r>
              <w:rPr>
                <w:rFonts w:ascii="Arial Narrow" w:hAnsi="Arial Narrow"/>
                <w:color w:val="000000"/>
                <w:sz w:val="16"/>
                <w:szCs w:val="16"/>
              </w:rPr>
              <w:t>% z výdavkov spolu</w:t>
            </w:r>
          </w:p>
        </w:tc>
        <w:tc>
          <w:tcPr>
            <w:tcW w:w="662" w:type="dxa"/>
            <w:tcBorders>
              <w:top w:val="nil"/>
              <w:left w:val="nil"/>
              <w:bottom w:val="single" w:sz="4" w:space="0" w:color="FF0000"/>
              <w:right w:val="single" w:sz="4" w:space="0" w:color="FF0000"/>
            </w:tcBorders>
            <w:shd w:val="clear" w:color="000000" w:fill="A9D08E"/>
            <w:vAlign w:val="center"/>
            <w:hideMark/>
          </w:tcPr>
          <w:p w:rsidR="00F619EF" w:rsidRDefault="00F619EF">
            <w:pPr>
              <w:jc w:val="center"/>
              <w:rPr>
                <w:rFonts w:ascii="Arial Narrow" w:hAnsi="Arial Narrow"/>
                <w:color w:val="000000"/>
                <w:sz w:val="16"/>
                <w:szCs w:val="16"/>
              </w:rPr>
            </w:pPr>
            <w:r>
              <w:rPr>
                <w:rFonts w:ascii="Arial Narrow" w:hAnsi="Arial Narrow"/>
                <w:color w:val="000000"/>
                <w:sz w:val="16"/>
                <w:szCs w:val="16"/>
              </w:rPr>
              <w:t>% HDP</w:t>
            </w:r>
          </w:p>
        </w:tc>
        <w:tc>
          <w:tcPr>
            <w:tcW w:w="897" w:type="dxa"/>
            <w:tcBorders>
              <w:top w:val="nil"/>
              <w:left w:val="nil"/>
              <w:bottom w:val="single" w:sz="4" w:space="0" w:color="FF0000"/>
              <w:right w:val="nil"/>
            </w:tcBorders>
            <w:shd w:val="clear" w:color="000000" w:fill="A9D08E"/>
            <w:vAlign w:val="center"/>
            <w:hideMark/>
          </w:tcPr>
          <w:p w:rsidR="00F619EF" w:rsidRPr="008D4F0D" w:rsidRDefault="00F619EF" w:rsidP="008D4F0D">
            <w:pPr>
              <w:jc w:val="center"/>
              <w:rPr>
                <w:rFonts w:ascii="Arial Narrow" w:hAnsi="Arial Narrow" w:cs="Arial"/>
                <w:color w:val="000000"/>
                <w:sz w:val="16"/>
                <w:szCs w:val="16"/>
              </w:rPr>
            </w:pPr>
            <w:r w:rsidRPr="008D4F0D">
              <w:rPr>
                <w:rFonts w:ascii="Arial Narrow" w:hAnsi="Arial Narrow" w:cs="Arial"/>
                <w:color w:val="000000"/>
                <w:sz w:val="16"/>
                <w:szCs w:val="16"/>
              </w:rPr>
              <w:t xml:space="preserve">Index </w:t>
            </w:r>
            <w:r w:rsidR="008D4F0D">
              <w:rPr>
                <w:rFonts w:ascii="Arial Narrow" w:hAnsi="Arial Narrow" w:cs="Arial"/>
                <w:color w:val="000000"/>
                <w:sz w:val="16"/>
                <w:szCs w:val="16"/>
              </w:rPr>
              <w:t>2019</w:t>
            </w:r>
            <w:r w:rsidRPr="008D4F0D">
              <w:rPr>
                <w:rFonts w:ascii="Arial Narrow" w:hAnsi="Arial Narrow" w:cs="Arial"/>
                <w:color w:val="000000"/>
                <w:sz w:val="16"/>
                <w:szCs w:val="16"/>
              </w:rPr>
              <w:t>/201</w:t>
            </w:r>
            <w:r w:rsidR="008D4F0D">
              <w:rPr>
                <w:rFonts w:ascii="Arial Narrow" w:hAnsi="Arial Narrow" w:cs="Arial"/>
                <w:color w:val="000000"/>
                <w:sz w:val="16"/>
                <w:szCs w:val="16"/>
              </w:rPr>
              <w:t>8</w:t>
            </w:r>
          </w:p>
        </w:tc>
      </w:tr>
      <w:tr w:rsidR="00B96DBB" w:rsidTr="005B5046">
        <w:trPr>
          <w:trHeight w:val="285"/>
        </w:trPr>
        <w:tc>
          <w:tcPr>
            <w:tcW w:w="799" w:type="dxa"/>
            <w:tcBorders>
              <w:top w:val="nil"/>
              <w:left w:val="nil"/>
              <w:bottom w:val="nil"/>
              <w:right w:val="nil"/>
            </w:tcBorders>
            <w:shd w:val="clear" w:color="auto" w:fill="A8D08D" w:themeFill="accent6" w:themeFillTint="99"/>
            <w:noWrap/>
            <w:vAlign w:val="bottom"/>
            <w:hideMark/>
          </w:tcPr>
          <w:p w:rsidR="00B96DBB" w:rsidRDefault="00B96DBB" w:rsidP="00B96DBB">
            <w:pPr>
              <w:rPr>
                <w:rFonts w:ascii="Arial Narrow" w:hAnsi="Arial Narrow"/>
                <w:sz w:val="20"/>
                <w:szCs w:val="20"/>
              </w:rPr>
            </w:pPr>
            <w:r>
              <w:rPr>
                <w:rFonts w:ascii="Arial Narrow" w:hAnsi="Arial Narrow"/>
                <w:sz w:val="20"/>
                <w:szCs w:val="20"/>
              </w:rPr>
              <w:t> </w:t>
            </w:r>
          </w:p>
        </w:tc>
        <w:tc>
          <w:tcPr>
            <w:tcW w:w="2550" w:type="dxa"/>
            <w:gridSpan w:val="5"/>
            <w:tcBorders>
              <w:top w:val="nil"/>
              <w:left w:val="nil"/>
              <w:bottom w:val="nil"/>
              <w:right w:val="nil"/>
            </w:tcBorders>
            <w:shd w:val="clear" w:color="auto" w:fill="A8D08D" w:themeFill="accent6" w:themeFillTint="99"/>
            <w:noWrap/>
            <w:vAlign w:val="center"/>
            <w:hideMark/>
          </w:tcPr>
          <w:p w:rsidR="00B96DBB" w:rsidRDefault="00B96DBB" w:rsidP="00B96DBB">
            <w:pPr>
              <w:rPr>
                <w:rFonts w:ascii="Arial Narrow" w:hAnsi="Arial Narrow"/>
                <w:b/>
                <w:bCs/>
                <w:color w:val="000000"/>
                <w:sz w:val="16"/>
                <w:szCs w:val="16"/>
              </w:rPr>
            </w:pPr>
            <w:r>
              <w:rPr>
                <w:rFonts w:ascii="Arial Narrow" w:hAnsi="Arial Narrow"/>
                <w:b/>
                <w:bCs/>
                <w:color w:val="000000"/>
                <w:sz w:val="16"/>
                <w:szCs w:val="16"/>
              </w:rPr>
              <w:t>Sociálne dávky</w:t>
            </w:r>
          </w:p>
        </w:tc>
        <w:tc>
          <w:tcPr>
            <w:tcW w:w="994" w:type="dxa"/>
            <w:tcBorders>
              <w:top w:val="nil"/>
              <w:left w:val="single" w:sz="4" w:space="0" w:color="FF0000"/>
              <w:bottom w:val="nil"/>
              <w:right w:val="single" w:sz="4" w:space="0" w:color="FF0000"/>
            </w:tcBorders>
            <w:shd w:val="clear" w:color="auto" w:fill="A8D08D" w:themeFill="accent6" w:themeFillTint="99"/>
            <w:noWrap/>
            <w:vAlign w:val="bottom"/>
            <w:hideMark/>
          </w:tcPr>
          <w:p w:rsidR="00B96DBB" w:rsidRDefault="00B96DBB" w:rsidP="00B96DBB">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16 367,4</w:t>
            </w:r>
          </w:p>
        </w:tc>
        <w:tc>
          <w:tcPr>
            <w:tcW w:w="851" w:type="dxa"/>
            <w:tcBorders>
              <w:top w:val="nil"/>
              <w:left w:val="nil"/>
              <w:bottom w:val="nil"/>
              <w:right w:val="single" w:sz="4" w:space="0" w:color="FF0000"/>
            </w:tcBorders>
            <w:shd w:val="clear" w:color="auto" w:fill="A8D08D" w:themeFill="accent6" w:themeFillTint="99"/>
            <w:noWrap/>
            <w:vAlign w:val="bottom"/>
            <w:hideMark/>
          </w:tcPr>
          <w:p w:rsidR="00B96DBB" w:rsidRDefault="005B5046" w:rsidP="00B96DBB">
            <w:pPr>
              <w:jc w:val="right"/>
              <w:rPr>
                <w:rFonts w:ascii="Arial Narrow" w:hAnsi="Arial Narrow" w:cs="Calibri"/>
                <w:b/>
                <w:bCs/>
                <w:color w:val="000000"/>
                <w:sz w:val="16"/>
                <w:szCs w:val="16"/>
              </w:rPr>
            </w:pPr>
            <w:r>
              <w:rPr>
                <w:rFonts w:ascii="Arial Narrow" w:hAnsi="Arial Narrow" w:cs="Calibri"/>
                <w:b/>
                <w:bCs/>
                <w:color w:val="000000"/>
                <w:sz w:val="16"/>
                <w:szCs w:val="16"/>
              </w:rPr>
              <w:t>14 128,3</w:t>
            </w:r>
          </w:p>
        </w:tc>
        <w:tc>
          <w:tcPr>
            <w:tcW w:w="850" w:type="dxa"/>
            <w:tcBorders>
              <w:top w:val="nil"/>
              <w:left w:val="nil"/>
              <w:bottom w:val="nil"/>
              <w:right w:val="single" w:sz="4" w:space="0" w:color="FF0000"/>
            </w:tcBorders>
            <w:shd w:val="clear" w:color="auto" w:fill="A8D08D" w:themeFill="accent6" w:themeFillTint="99"/>
            <w:noWrap/>
            <w:vAlign w:val="bottom"/>
            <w:hideMark/>
          </w:tcPr>
          <w:p w:rsidR="00B96DBB" w:rsidRDefault="00B96DBB" w:rsidP="00B96DBB">
            <w:pPr>
              <w:jc w:val="right"/>
              <w:rPr>
                <w:rFonts w:ascii="Arial Narrow" w:hAnsi="Arial Narrow" w:cs="Calibri"/>
                <w:b/>
                <w:bCs/>
                <w:color w:val="000000"/>
                <w:sz w:val="16"/>
                <w:szCs w:val="16"/>
              </w:rPr>
            </w:pPr>
            <w:r>
              <w:rPr>
                <w:rFonts w:ascii="Arial Narrow" w:hAnsi="Arial Narrow" w:cs="Calibri"/>
                <w:b/>
                <w:bCs/>
                <w:color w:val="000000"/>
                <w:sz w:val="16"/>
                <w:szCs w:val="16"/>
              </w:rPr>
              <w:t>2 590,4</w:t>
            </w:r>
          </w:p>
        </w:tc>
        <w:tc>
          <w:tcPr>
            <w:tcW w:w="851" w:type="dxa"/>
            <w:tcBorders>
              <w:top w:val="nil"/>
              <w:left w:val="nil"/>
              <w:bottom w:val="nil"/>
              <w:right w:val="single" w:sz="4" w:space="0" w:color="FF0000"/>
            </w:tcBorders>
            <w:shd w:val="clear" w:color="auto" w:fill="A8D08D" w:themeFill="accent6" w:themeFillTint="99"/>
            <w:noWrap/>
            <w:vAlign w:val="bottom"/>
            <w:hideMark/>
          </w:tcPr>
          <w:p w:rsidR="00B96DBB" w:rsidRDefault="00B96DBB" w:rsidP="00B96DBB">
            <w:pPr>
              <w:jc w:val="right"/>
              <w:rPr>
                <w:rFonts w:ascii="Arial Narrow" w:hAnsi="Arial Narrow" w:cs="Calibri"/>
                <w:b/>
                <w:bCs/>
                <w:color w:val="000000"/>
                <w:sz w:val="16"/>
                <w:szCs w:val="16"/>
              </w:rPr>
            </w:pPr>
            <w:r>
              <w:rPr>
                <w:rFonts w:ascii="Arial Narrow" w:hAnsi="Arial Narrow" w:cs="Calibri"/>
                <w:b/>
                <w:bCs/>
                <w:color w:val="000000"/>
                <w:sz w:val="16"/>
                <w:szCs w:val="16"/>
              </w:rPr>
              <w:t>4 132,2</w:t>
            </w:r>
          </w:p>
        </w:tc>
        <w:tc>
          <w:tcPr>
            <w:tcW w:w="850" w:type="dxa"/>
            <w:tcBorders>
              <w:top w:val="nil"/>
              <w:left w:val="nil"/>
              <w:bottom w:val="nil"/>
              <w:right w:val="single" w:sz="4" w:space="0" w:color="FF0000"/>
            </w:tcBorders>
            <w:shd w:val="clear" w:color="auto" w:fill="A8D08D" w:themeFill="accent6" w:themeFillTint="99"/>
            <w:noWrap/>
            <w:vAlign w:val="bottom"/>
            <w:hideMark/>
          </w:tcPr>
          <w:p w:rsidR="00B96DBB" w:rsidRDefault="00B96DBB" w:rsidP="00B96DBB">
            <w:pPr>
              <w:jc w:val="right"/>
              <w:rPr>
                <w:rFonts w:ascii="Arial Narrow" w:hAnsi="Arial Narrow" w:cs="Calibri"/>
                <w:b/>
                <w:bCs/>
                <w:color w:val="000000"/>
                <w:sz w:val="16"/>
                <w:szCs w:val="16"/>
              </w:rPr>
            </w:pPr>
            <w:r>
              <w:rPr>
                <w:rFonts w:ascii="Arial Narrow" w:hAnsi="Arial Narrow" w:cs="Calibri"/>
                <w:b/>
                <w:bCs/>
                <w:color w:val="000000"/>
                <w:sz w:val="16"/>
                <w:szCs w:val="16"/>
              </w:rPr>
              <w:t>100,0</w:t>
            </w:r>
          </w:p>
        </w:tc>
        <w:tc>
          <w:tcPr>
            <w:tcW w:w="662" w:type="dxa"/>
            <w:tcBorders>
              <w:top w:val="nil"/>
              <w:left w:val="nil"/>
              <w:bottom w:val="nil"/>
              <w:right w:val="single" w:sz="4" w:space="0" w:color="FF0000"/>
            </w:tcBorders>
            <w:shd w:val="clear" w:color="auto" w:fill="A8D08D" w:themeFill="accent6" w:themeFillTint="99"/>
            <w:noWrap/>
            <w:vAlign w:val="bottom"/>
            <w:hideMark/>
          </w:tcPr>
          <w:p w:rsidR="00B96DBB" w:rsidRDefault="00B96DBB" w:rsidP="00B96DBB">
            <w:pPr>
              <w:jc w:val="right"/>
              <w:rPr>
                <w:rFonts w:ascii="Arial Narrow" w:hAnsi="Arial Narrow" w:cs="Calibri"/>
                <w:b/>
                <w:bCs/>
                <w:color w:val="000000"/>
                <w:sz w:val="16"/>
                <w:szCs w:val="16"/>
              </w:rPr>
            </w:pPr>
            <w:r>
              <w:rPr>
                <w:rFonts w:ascii="Arial Narrow" w:hAnsi="Arial Narrow" w:cs="Calibri"/>
                <w:b/>
                <w:bCs/>
                <w:color w:val="000000"/>
                <w:sz w:val="16"/>
                <w:szCs w:val="16"/>
              </w:rPr>
              <w:t>17,4</w:t>
            </w:r>
          </w:p>
        </w:tc>
        <w:tc>
          <w:tcPr>
            <w:tcW w:w="897" w:type="dxa"/>
            <w:tcBorders>
              <w:top w:val="nil"/>
              <w:left w:val="nil"/>
              <w:bottom w:val="nil"/>
              <w:right w:val="nil"/>
            </w:tcBorders>
            <w:shd w:val="clear" w:color="auto" w:fill="A8D08D" w:themeFill="accent6" w:themeFillTint="99"/>
            <w:noWrap/>
            <w:vAlign w:val="bottom"/>
            <w:hideMark/>
          </w:tcPr>
          <w:p w:rsidR="00B96DBB" w:rsidRDefault="00B96DBB" w:rsidP="00B96DBB">
            <w:pPr>
              <w:jc w:val="right"/>
              <w:rPr>
                <w:rFonts w:ascii="Arial Narrow" w:hAnsi="Arial Narrow" w:cs="Calibri"/>
                <w:b/>
                <w:bCs/>
                <w:color w:val="000000"/>
                <w:sz w:val="16"/>
                <w:szCs w:val="16"/>
              </w:rPr>
            </w:pPr>
            <w:r>
              <w:rPr>
                <w:rFonts w:ascii="Arial Narrow" w:hAnsi="Arial Narrow" w:cs="Calibri"/>
                <w:b/>
                <w:bCs/>
                <w:color w:val="000000"/>
                <w:sz w:val="16"/>
                <w:szCs w:val="16"/>
              </w:rPr>
              <w:t>104,6</w:t>
            </w:r>
          </w:p>
        </w:tc>
      </w:tr>
      <w:tr w:rsidR="005B5046" w:rsidTr="005B5046">
        <w:trPr>
          <w:trHeight w:val="229"/>
        </w:trPr>
        <w:tc>
          <w:tcPr>
            <w:tcW w:w="799" w:type="dxa"/>
            <w:tcBorders>
              <w:top w:val="nil"/>
              <w:left w:val="nil"/>
              <w:bottom w:val="nil"/>
              <w:right w:val="nil"/>
            </w:tcBorders>
            <w:shd w:val="clear" w:color="auto" w:fill="C5E0B3" w:themeFill="accent6" w:themeFillTint="66"/>
            <w:noWrap/>
            <w:vAlign w:val="bottom"/>
            <w:hideMark/>
          </w:tcPr>
          <w:p w:rsidR="005B5046" w:rsidRDefault="005B5046" w:rsidP="005B5046">
            <w:pPr>
              <w:rPr>
                <w:rFonts w:ascii="Arial Narrow" w:hAnsi="Arial Narrow"/>
                <w:b/>
                <w:bCs/>
                <w:sz w:val="16"/>
                <w:szCs w:val="16"/>
              </w:rPr>
            </w:pPr>
            <w:r>
              <w:rPr>
                <w:rFonts w:ascii="Arial Narrow" w:hAnsi="Arial Narrow"/>
                <w:b/>
                <w:bCs/>
                <w:sz w:val="16"/>
                <w:szCs w:val="16"/>
              </w:rPr>
              <w:t> </w:t>
            </w:r>
          </w:p>
        </w:tc>
        <w:tc>
          <w:tcPr>
            <w:tcW w:w="335" w:type="dxa"/>
            <w:tcBorders>
              <w:top w:val="nil"/>
              <w:left w:val="nil"/>
              <w:bottom w:val="nil"/>
              <w:right w:val="nil"/>
            </w:tcBorders>
            <w:shd w:val="clear" w:color="auto" w:fill="C5E0B3" w:themeFill="accent6" w:themeFillTint="66"/>
            <w:noWrap/>
            <w:vAlign w:val="bottom"/>
            <w:hideMark/>
          </w:tcPr>
          <w:p w:rsidR="005B5046" w:rsidRDefault="005B5046" w:rsidP="005B5046">
            <w:pPr>
              <w:rPr>
                <w:rFonts w:ascii="Arial Narrow" w:hAnsi="Arial Narrow"/>
                <w:b/>
                <w:bCs/>
                <w:color w:val="000000"/>
                <w:sz w:val="16"/>
                <w:szCs w:val="16"/>
              </w:rPr>
            </w:pPr>
            <w:r>
              <w:rPr>
                <w:rFonts w:ascii="Arial Narrow" w:hAnsi="Arial Narrow"/>
                <w:b/>
                <w:bCs/>
                <w:color w:val="000000"/>
                <w:sz w:val="16"/>
                <w:szCs w:val="16"/>
              </w:rPr>
              <w:t> </w:t>
            </w:r>
          </w:p>
        </w:tc>
        <w:tc>
          <w:tcPr>
            <w:tcW w:w="2215" w:type="dxa"/>
            <w:gridSpan w:val="4"/>
            <w:tcBorders>
              <w:top w:val="nil"/>
              <w:left w:val="nil"/>
              <w:bottom w:val="nil"/>
              <w:right w:val="nil"/>
            </w:tcBorders>
            <w:shd w:val="clear" w:color="auto" w:fill="C5E0B3" w:themeFill="accent6" w:themeFillTint="66"/>
            <w:noWrap/>
            <w:vAlign w:val="center"/>
            <w:hideMark/>
          </w:tcPr>
          <w:p w:rsidR="005B5046" w:rsidRDefault="005B5046" w:rsidP="005B5046">
            <w:pPr>
              <w:rPr>
                <w:rFonts w:ascii="Arial Narrow" w:hAnsi="Arial Narrow"/>
                <w:b/>
                <w:bCs/>
                <w:color w:val="000000"/>
                <w:sz w:val="16"/>
                <w:szCs w:val="16"/>
              </w:rPr>
            </w:pPr>
            <w:r>
              <w:rPr>
                <w:rFonts w:ascii="Arial Narrow" w:hAnsi="Arial Narrow"/>
                <w:b/>
                <w:bCs/>
                <w:color w:val="000000"/>
                <w:sz w:val="16"/>
                <w:szCs w:val="16"/>
              </w:rPr>
              <w:t>Netestované na príjem</w:t>
            </w:r>
          </w:p>
        </w:tc>
        <w:tc>
          <w:tcPr>
            <w:tcW w:w="994" w:type="dxa"/>
            <w:tcBorders>
              <w:top w:val="nil"/>
              <w:left w:val="single" w:sz="4" w:space="0" w:color="FF0000"/>
              <w:bottom w:val="nil"/>
              <w:right w:val="single" w:sz="4" w:space="0" w:color="FF0000"/>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15 817,3</w:t>
            </w:r>
          </w:p>
        </w:tc>
        <w:tc>
          <w:tcPr>
            <w:tcW w:w="851" w:type="dxa"/>
            <w:tcBorders>
              <w:top w:val="nil"/>
              <w:left w:val="nil"/>
              <w:bottom w:val="nil"/>
              <w:right w:val="single" w:sz="4" w:space="0" w:color="FF0000"/>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rPr>
            </w:pPr>
            <w:r>
              <w:rPr>
                <w:rFonts w:ascii="Arial Narrow" w:hAnsi="Arial Narrow" w:cs="Calibri"/>
                <w:b/>
                <w:bCs/>
                <w:color w:val="000000"/>
                <w:sz w:val="16"/>
                <w:szCs w:val="16"/>
              </w:rPr>
              <w:t>13 653,5</w:t>
            </w:r>
          </w:p>
        </w:tc>
        <w:tc>
          <w:tcPr>
            <w:tcW w:w="850" w:type="dxa"/>
            <w:tcBorders>
              <w:top w:val="nil"/>
              <w:left w:val="nil"/>
              <w:bottom w:val="nil"/>
              <w:right w:val="single" w:sz="4" w:space="0" w:color="FF0000"/>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rPr>
            </w:pPr>
            <w:r>
              <w:rPr>
                <w:rFonts w:ascii="Arial Narrow" w:hAnsi="Arial Narrow" w:cs="Calibri"/>
                <w:b/>
                <w:bCs/>
                <w:color w:val="000000"/>
                <w:sz w:val="16"/>
                <w:szCs w:val="16"/>
              </w:rPr>
              <w:t>2 503,3</w:t>
            </w:r>
          </w:p>
        </w:tc>
        <w:tc>
          <w:tcPr>
            <w:tcW w:w="851" w:type="dxa"/>
            <w:tcBorders>
              <w:top w:val="nil"/>
              <w:left w:val="nil"/>
              <w:bottom w:val="nil"/>
              <w:right w:val="single" w:sz="4" w:space="0" w:color="FF0000"/>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rPr>
            </w:pPr>
            <w:r>
              <w:rPr>
                <w:rFonts w:ascii="Arial Narrow" w:hAnsi="Arial Narrow" w:cs="Calibri"/>
                <w:b/>
                <w:bCs/>
                <w:color w:val="000000"/>
                <w:sz w:val="16"/>
                <w:szCs w:val="16"/>
              </w:rPr>
              <w:t>3 993,3</w:t>
            </w:r>
          </w:p>
        </w:tc>
        <w:tc>
          <w:tcPr>
            <w:tcW w:w="850" w:type="dxa"/>
            <w:tcBorders>
              <w:top w:val="nil"/>
              <w:left w:val="nil"/>
              <w:bottom w:val="nil"/>
              <w:right w:val="single" w:sz="4" w:space="0" w:color="FF0000"/>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rPr>
            </w:pPr>
            <w:r>
              <w:rPr>
                <w:rFonts w:ascii="Arial Narrow" w:hAnsi="Arial Narrow" w:cs="Calibri"/>
                <w:b/>
                <w:bCs/>
                <w:color w:val="000000"/>
                <w:sz w:val="16"/>
                <w:szCs w:val="16"/>
              </w:rPr>
              <w:t>96,6</w:t>
            </w:r>
          </w:p>
        </w:tc>
        <w:tc>
          <w:tcPr>
            <w:tcW w:w="662" w:type="dxa"/>
            <w:tcBorders>
              <w:top w:val="nil"/>
              <w:left w:val="nil"/>
              <w:bottom w:val="nil"/>
              <w:right w:val="single" w:sz="4" w:space="0" w:color="FF0000"/>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rPr>
            </w:pPr>
            <w:r>
              <w:rPr>
                <w:rFonts w:ascii="Arial Narrow" w:hAnsi="Arial Narrow" w:cs="Calibri"/>
                <w:b/>
                <w:bCs/>
                <w:color w:val="000000"/>
                <w:sz w:val="16"/>
                <w:szCs w:val="16"/>
              </w:rPr>
              <w:t>16,9</w:t>
            </w:r>
          </w:p>
        </w:tc>
        <w:tc>
          <w:tcPr>
            <w:tcW w:w="897" w:type="dxa"/>
            <w:tcBorders>
              <w:top w:val="nil"/>
              <w:left w:val="nil"/>
              <w:bottom w:val="nil"/>
              <w:right w:val="nil"/>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rPr>
            </w:pPr>
            <w:r>
              <w:rPr>
                <w:rFonts w:ascii="Arial Narrow" w:hAnsi="Arial Narrow" w:cs="Calibri"/>
                <w:b/>
                <w:bCs/>
                <w:color w:val="000000"/>
                <w:sz w:val="16"/>
                <w:szCs w:val="16"/>
              </w:rPr>
              <w:t>104,6</w:t>
            </w:r>
          </w:p>
        </w:tc>
      </w:tr>
      <w:tr w:rsidR="005B5046" w:rsidTr="005B5046">
        <w:trPr>
          <w:trHeight w:val="225"/>
        </w:trPr>
        <w:tc>
          <w:tcPr>
            <w:tcW w:w="799" w:type="dxa"/>
            <w:tcBorders>
              <w:top w:val="nil"/>
              <w:left w:val="nil"/>
              <w:bottom w:val="nil"/>
              <w:right w:val="nil"/>
            </w:tcBorders>
            <w:shd w:val="clear" w:color="auto" w:fill="E2EFD9" w:themeFill="accent6" w:themeFillTint="33"/>
            <w:noWrap/>
            <w:vAlign w:val="bottom"/>
            <w:hideMark/>
          </w:tcPr>
          <w:p w:rsidR="005B5046" w:rsidRDefault="005B5046" w:rsidP="005B5046">
            <w:pPr>
              <w:jc w:val="right"/>
              <w:rPr>
                <w:rFonts w:ascii="Arial Narrow" w:hAnsi="Arial Narrow"/>
                <w:b/>
                <w:bCs/>
                <w:color w:val="000000"/>
                <w:sz w:val="16"/>
                <w:szCs w:val="16"/>
              </w:rPr>
            </w:pPr>
          </w:p>
        </w:tc>
        <w:tc>
          <w:tcPr>
            <w:tcW w:w="335" w:type="dxa"/>
            <w:tcBorders>
              <w:top w:val="nil"/>
              <w:left w:val="nil"/>
              <w:bottom w:val="nil"/>
              <w:right w:val="nil"/>
            </w:tcBorders>
            <w:shd w:val="clear" w:color="auto" w:fill="E2EFD9" w:themeFill="accent6" w:themeFillTint="33"/>
            <w:noWrap/>
            <w:vAlign w:val="bottom"/>
            <w:hideMark/>
          </w:tcPr>
          <w:p w:rsidR="005B5046" w:rsidRDefault="005B5046" w:rsidP="005B5046">
            <w:pPr>
              <w:rPr>
                <w:sz w:val="20"/>
                <w:szCs w:val="20"/>
              </w:rPr>
            </w:pPr>
          </w:p>
        </w:tc>
        <w:tc>
          <w:tcPr>
            <w:tcW w:w="267" w:type="dxa"/>
            <w:tcBorders>
              <w:top w:val="nil"/>
              <w:left w:val="nil"/>
              <w:bottom w:val="nil"/>
              <w:right w:val="nil"/>
            </w:tcBorders>
            <w:shd w:val="clear" w:color="auto" w:fill="E2EFD9" w:themeFill="accent6" w:themeFillTint="33"/>
            <w:noWrap/>
            <w:vAlign w:val="bottom"/>
            <w:hideMark/>
          </w:tcPr>
          <w:p w:rsidR="005B5046" w:rsidRDefault="005B5046" w:rsidP="005B5046">
            <w:pPr>
              <w:rPr>
                <w:sz w:val="20"/>
                <w:szCs w:val="20"/>
              </w:rPr>
            </w:pPr>
          </w:p>
        </w:tc>
        <w:tc>
          <w:tcPr>
            <w:tcW w:w="1948" w:type="dxa"/>
            <w:gridSpan w:val="3"/>
            <w:tcBorders>
              <w:top w:val="nil"/>
              <w:left w:val="nil"/>
              <w:bottom w:val="nil"/>
              <w:right w:val="nil"/>
            </w:tcBorders>
            <w:shd w:val="clear" w:color="auto" w:fill="E2EFD9" w:themeFill="accent6" w:themeFillTint="33"/>
            <w:noWrap/>
            <w:vAlign w:val="center"/>
            <w:hideMark/>
          </w:tcPr>
          <w:p w:rsidR="005B5046" w:rsidRDefault="005B5046" w:rsidP="005B5046">
            <w:pPr>
              <w:rPr>
                <w:rFonts w:ascii="Arial Narrow" w:hAnsi="Arial Narrow"/>
                <w:b/>
                <w:bCs/>
                <w:color w:val="000000"/>
                <w:sz w:val="16"/>
                <w:szCs w:val="16"/>
              </w:rPr>
            </w:pPr>
            <w:r>
              <w:rPr>
                <w:rFonts w:ascii="Arial Narrow" w:hAnsi="Arial Narrow"/>
                <w:b/>
                <w:bCs/>
                <w:color w:val="000000"/>
                <w:sz w:val="16"/>
                <w:szCs w:val="16"/>
              </w:rPr>
              <w:t>Peňažné dávky</w:t>
            </w:r>
          </w:p>
        </w:tc>
        <w:tc>
          <w:tcPr>
            <w:tcW w:w="994" w:type="dxa"/>
            <w:tcBorders>
              <w:top w:val="nil"/>
              <w:left w:val="single" w:sz="4" w:space="0" w:color="FF0000"/>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lang w:eastAsia="sk-SK"/>
              </w:rPr>
            </w:pPr>
            <w:r w:rsidRPr="00A7469F">
              <w:rPr>
                <w:rFonts w:ascii="Arial Narrow" w:hAnsi="Arial Narrow" w:cs="Calibri"/>
                <w:b/>
                <w:color w:val="000000"/>
                <w:sz w:val="16"/>
                <w:szCs w:val="16"/>
              </w:rPr>
              <w:t>10 333,3</w:t>
            </w:r>
          </w:p>
        </w:tc>
        <w:tc>
          <w:tcPr>
            <w:tcW w:w="851"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Pr>
                <w:rFonts w:ascii="Arial Narrow" w:hAnsi="Arial Narrow" w:cs="Calibri"/>
                <w:b/>
                <w:color w:val="000000"/>
                <w:sz w:val="16"/>
                <w:szCs w:val="16"/>
              </w:rPr>
              <w:t>8 919,7</w:t>
            </w:r>
          </w:p>
        </w:tc>
        <w:tc>
          <w:tcPr>
            <w:tcW w:w="850"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1 635,4</w:t>
            </w:r>
          </w:p>
        </w:tc>
        <w:tc>
          <w:tcPr>
            <w:tcW w:w="851"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2 608,8</w:t>
            </w:r>
          </w:p>
        </w:tc>
        <w:tc>
          <w:tcPr>
            <w:tcW w:w="850"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bCs/>
                <w:color w:val="000000"/>
                <w:sz w:val="16"/>
                <w:szCs w:val="16"/>
              </w:rPr>
            </w:pPr>
            <w:r w:rsidRPr="00A7469F">
              <w:rPr>
                <w:rFonts w:ascii="Arial Narrow" w:hAnsi="Arial Narrow" w:cs="Calibri"/>
                <w:b/>
                <w:bCs/>
                <w:color w:val="000000"/>
                <w:sz w:val="16"/>
                <w:szCs w:val="16"/>
              </w:rPr>
              <w:t>63,1</w:t>
            </w:r>
          </w:p>
        </w:tc>
        <w:tc>
          <w:tcPr>
            <w:tcW w:w="662"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11,0</w:t>
            </w:r>
          </w:p>
        </w:tc>
        <w:tc>
          <w:tcPr>
            <w:tcW w:w="897" w:type="dxa"/>
            <w:tcBorders>
              <w:top w:val="nil"/>
              <w:left w:val="nil"/>
              <w:bottom w:val="nil"/>
              <w:right w:val="nil"/>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105,9</w:t>
            </w:r>
          </w:p>
        </w:tc>
      </w:tr>
      <w:tr w:rsidR="005B5046" w:rsidTr="005B5046">
        <w:trPr>
          <w:trHeight w:val="225"/>
        </w:trPr>
        <w:tc>
          <w:tcPr>
            <w:tcW w:w="799" w:type="dxa"/>
            <w:tcBorders>
              <w:top w:val="nil"/>
              <w:left w:val="nil"/>
              <w:bottom w:val="nil"/>
              <w:right w:val="nil"/>
            </w:tcBorders>
            <w:shd w:val="clear" w:color="auto" w:fill="auto"/>
            <w:noWrap/>
            <w:vAlign w:val="bottom"/>
            <w:hideMark/>
          </w:tcPr>
          <w:p w:rsidR="005B5046" w:rsidRDefault="005B5046" w:rsidP="005B5046">
            <w:pPr>
              <w:jc w:val="right"/>
              <w:rPr>
                <w:rFonts w:ascii="Arial Narrow" w:hAnsi="Arial Narrow"/>
                <w:color w:val="000000"/>
                <w:sz w:val="16"/>
                <w:szCs w:val="16"/>
              </w:rPr>
            </w:pPr>
          </w:p>
        </w:tc>
        <w:tc>
          <w:tcPr>
            <w:tcW w:w="335"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267"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356"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1592" w:type="dxa"/>
            <w:gridSpan w:val="2"/>
            <w:tcBorders>
              <w:top w:val="nil"/>
              <w:left w:val="nil"/>
              <w:bottom w:val="nil"/>
              <w:right w:val="nil"/>
            </w:tcBorders>
            <w:shd w:val="clear" w:color="auto" w:fill="auto"/>
            <w:noWrap/>
            <w:vAlign w:val="center"/>
            <w:hideMark/>
          </w:tcPr>
          <w:p w:rsidR="005B5046" w:rsidRDefault="005B5046" w:rsidP="005B5046">
            <w:pPr>
              <w:rPr>
                <w:rFonts w:ascii="Arial Narrow" w:hAnsi="Arial Narrow"/>
                <w:color w:val="000000"/>
                <w:sz w:val="16"/>
                <w:szCs w:val="16"/>
              </w:rPr>
            </w:pPr>
            <w:r>
              <w:rPr>
                <w:rFonts w:ascii="Arial Narrow" w:hAnsi="Arial Narrow"/>
                <w:color w:val="000000"/>
                <w:sz w:val="16"/>
                <w:szCs w:val="16"/>
              </w:rPr>
              <w:t>Periodické</w:t>
            </w:r>
          </w:p>
        </w:tc>
        <w:tc>
          <w:tcPr>
            <w:tcW w:w="994" w:type="dxa"/>
            <w:tcBorders>
              <w:top w:val="nil"/>
              <w:left w:val="single" w:sz="4" w:space="0" w:color="FF0000"/>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lang w:eastAsia="sk-SK"/>
              </w:rPr>
            </w:pPr>
            <w:r>
              <w:rPr>
                <w:rFonts w:ascii="Arial Narrow" w:hAnsi="Arial Narrow" w:cs="Calibri"/>
                <w:color w:val="000000"/>
                <w:sz w:val="16"/>
                <w:szCs w:val="16"/>
              </w:rPr>
              <w:t>10 025,4</w:t>
            </w:r>
          </w:p>
        </w:tc>
        <w:tc>
          <w:tcPr>
            <w:tcW w:w="851"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8 653,9</w:t>
            </w:r>
          </w:p>
        </w:tc>
        <w:tc>
          <w:tcPr>
            <w:tcW w:w="850"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1 586,7</w:t>
            </w:r>
          </w:p>
        </w:tc>
        <w:tc>
          <w:tcPr>
            <w:tcW w:w="851"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2 531,0</w:t>
            </w:r>
          </w:p>
        </w:tc>
        <w:tc>
          <w:tcPr>
            <w:tcW w:w="850" w:type="dxa"/>
            <w:tcBorders>
              <w:top w:val="nil"/>
              <w:left w:val="nil"/>
              <w:bottom w:val="nil"/>
              <w:right w:val="single" w:sz="4" w:space="0" w:color="FF0000"/>
            </w:tcBorders>
            <w:shd w:val="clear" w:color="auto" w:fill="auto"/>
            <w:noWrap/>
            <w:vAlign w:val="bottom"/>
            <w:hideMark/>
          </w:tcPr>
          <w:p w:rsidR="005B5046" w:rsidRPr="00A7469F" w:rsidRDefault="005B5046" w:rsidP="005B5046">
            <w:pPr>
              <w:jc w:val="right"/>
              <w:rPr>
                <w:rFonts w:ascii="Arial Narrow" w:hAnsi="Arial Narrow" w:cs="Calibri"/>
                <w:bCs/>
                <w:color w:val="000000"/>
                <w:sz w:val="16"/>
                <w:szCs w:val="16"/>
              </w:rPr>
            </w:pPr>
            <w:r w:rsidRPr="00A7469F">
              <w:rPr>
                <w:rFonts w:ascii="Arial Narrow" w:hAnsi="Arial Narrow" w:cs="Calibri"/>
                <w:bCs/>
                <w:color w:val="000000"/>
                <w:sz w:val="16"/>
                <w:szCs w:val="16"/>
              </w:rPr>
              <w:t>61,3</w:t>
            </w:r>
          </w:p>
        </w:tc>
        <w:tc>
          <w:tcPr>
            <w:tcW w:w="662"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10,7</w:t>
            </w:r>
          </w:p>
        </w:tc>
        <w:tc>
          <w:tcPr>
            <w:tcW w:w="897" w:type="dxa"/>
            <w:tcBorders>
              <w:top w:val="nil"/>
              <w:left w:val="nil"/>
              <w:bottom w:val="nil"/>
              <w:right w:val="nil"/>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106,0</w:t>
            </w:r>
          </w:p>
        </w:tc>
      </w:tr>
      <w:tr w:rsidR="005B5046" w:rsidTr="005B5046">
        <w:trPr>
          <w:trHeight w:val="225"/>
        </w:trPr>
        <w:tc>
          <w:tcPr>
            <w:tcW w:w="799" w:type="dxa"/>
            <w:tcBorders>
              <w:top w:val="nil"/>
              <w:left w:val="nil"/>
              <w:bottom w:val="nil"/>
              <w:right w:val="nil"/>
            </w:tcBorders>
            <w:shd w:val="clear" w:color="auto" w:fill="auto"/>
            <w:noWrap/>
            <w:vAlign w:val="bottom"/>
            <w:hideMark/>
          </w:tcPr>
          <w:p w:rsidR="005B5046" w:rsidRDefault="005B5046" w:rsidP="005B5046">
            <w:pPr>
              <w:jc w:val="right"/>
              <w:rPr>
                <w:rFonts w:ascii="Arial Narrow" w:hAnsi="Arial Narrow"/>
                <w:color w:val="000000"/>
                <w:sz w:val="16"/>
                <w:szCs w:val="16"/>
              </w:rPr>
            </w:pPr>
          </w:p>
        </w:tc>
        <w:tc>
          <w:tcPr>
            <w:tcW w:w="335"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267"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356"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1592" w:type="dxa"/>
            <w:gridSpan w:val="2"/>
            <w:tcBorders>
              <w:top w:val="nil"/>
              <w:left w:val="nil"/>
              <w:bottom w:val="nil"/>
              <w:right w:val="nil"/>
            </w:tcBorders>
            <w:shd w:val="clear" w:color="auto" w:fill="auto"/>
            <w:noWrap/>
            <w:vAlign w:val="center"/>
            <w:hideMark/>
          </w:tcPr>
          <w:p w:rsidR="005B5046" w:rsidRDefault="005B5046" w:rsidP="005B5046">
            <w:pPr>
              <w:rPr>
                <w:rFonts w:ascii="Arial Narrow" w:hAnsi="Arial Narrow"/>
                <w:color w:val="000000"/>
                <w:sz w:val="16"/>
                <w:szCs w:val="16"/>
              </w:rPr>
            </w:pPr>
            <w:r>
              <w:rPr>
                <w:rFonts w:ascii="Arial Narrow" w:hAnsi="Arial Narrow"/>
                <w:color w:val="000000"/>
                <w:sz w:val="16"/>
                <w:szCs w:val="16"/>
              </w:rPr>
              <w:t>Jednorazové</w:t>
            </w:r>
          </w:p>
        </w:tc>
        <w:tc>
          <w:tcPr>
            <w:tcW w:w="994" w:type="dxa"/>
            <w:tcBorders>
              <w:top w:val="nil"/>
              <w:left w:val="single" w:sz="4" w:space="0" w:color="FF0000"/>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lang w:eastAsia="sk-SK"/>
              </w:rPr>
            </w:pPr>
            <w:r>
              <w:rPr>
                <w:rFonts w:ascii="Arial Narrow" w:hAnsi="Arial Narrow" w:cs="Calibri"/>
                <w:color w:val="000000"/>
                <w:sz w:val="16"/>
                <w:szCs w:val="16"/>
              </w:rPr>
              <w:t>307,9</w:t>
            </w:r>
          </w:p>
        </w:tc>
        <w:tc>
          <w:tcPr>
            <w:tcW w:w="851"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265,8</w:t>
            </w:r>
          </w:p>
        </w:tc>
        <w:tc>
          <w:tcPr>
            <w:tcW w:w="850"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48,7</w:t>
            </w:r>
          </w:p>
        </w:tc>
        <w:tc>
          <w:tcPr>
            <w:tcW w:w="851"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77,7</w:t>
            </w:r>
          </w:p>
        </w:tc>
        <w:tc>
          <w:tcPr>
            <w:tcW w:w="850" w:type="dxa"/>
            <w:tcBorders>
              <w:top w:val="nil"/>
              <w:left w:val="nil"/>
              <w:bottom w:val="nil"/>
              <w:right w:val="single" w:sz="4" w:space="0" w:color="FF0000"/>
            </w:tcBorders>
            <w:shd w:val="clear" w:color="auto" w:fill="auto"/>
            <w:noWrap/>
            <w:vAlign w:val="bottom"/>
            <w:hideMark/>
          </w:tcPr>
          <w:p w:rsidR="005B5046" w:rsidRPr="00A7469F" w:rsidRDefault="005B5046" w:rsidP="005B5046">
            <w:pPr>
              <w:jc w:val="right"/>
              <w:rPr>
                <w:rFonts w:ascii="Arial Narrow" w:hAnsi="Arial Narrow" w:cs="Calibri"/>
                <w:bCs/>
                <w:color w:val="000000"/>
                <w:sz w:val="16"/>
                <w:szCs w:val="16"/>
              </w:rPr>
            </w:pPr>
            <w:r w:rsidRPr="00A7469F">
              <w:rPr>
                <w:rFonts w:ascii="Arial Narrow" w:hAnsi="Arial Narrow" w:cs="Calibri"/>
                <w:bCs/>
                <w:color w:val="000000"/>
                <w:sz w:val="16"/>
                <w:szCs w:val="16"/>
              </w:rPr>
              <w:t>1,9</w:t>
            </w:r>
          </w:p>
        </w:tc>
        <w:tc>
          <w:tcPr>
            <w:tcW w:w="662"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0,3</w:t>
            </w:r>
          </w:p>
        </w:tc>
        <w:tc>
          <w:tcPr>
            <w:tcW w:w="897" w:type="dxa"/>
            <w:tcBorders>
              <w:top w:val="nil"/>
              <w:left w:val="nil"/>
              <w:bottom w:val="nil"/>
              <w:right w:val="nil"/>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102,8</w:t>
            </w:r>
          </w:p>
        </w:tc>
      </w:tr>
      <w:tr w:rsidR="005B5046" w:rsidTr="005B5046">
        <w:trPr>
          <w:trHeight w:val="225"/>
        </w:trPr>
        <w:tc>
          <w:tcPr>
            <w:tcW w:w="799" w:type="dxa"/>
            <w:tcBorders>
              <w:top w:val="nil"/>
              <w:left w:val="nil"/>
              <w:bottom w:val="nil"/>
              <w:right w:val="nil"/>
            </w:tcBorders>
            <w:shd w:val="clear" w:color="auto" w:fill="E2EFD9" w:themeFill="accent6" w:themeFillTint="33"/>
            <w:noWrap/>
            <w:vAlign w:val="bottom"/>
            <w:hideMark/>
          </w:tcPr>
          <w:p w:rsidR="005B5046" w:rsidRDefault="005B5046" w:rsidP="005B5046">
            <w:pPr>
              <w:jc w:val="right"/>
              <w:rPr>
                <w:rFonts w:ascii="Arial Narrow" w:hAnsi="Arial Narrow"/>
                <w:color w:val="000000"/>
                <w:sz w:val="16"/>
                <w:szCs w:val="16"/>
              </w:rPr>
            </w:pPr>
          </w:p>
        </w:tc>
        <w:tc>
          <w:tcPr>
            <w:tcW w:w="335" w:type="dxa"/>
            <w:tcBorders>
              <w:top w:val="nil"/>
              <w:left w:val="nil"/>
              <w:bottom w:val="nil"/>
              <w:right w:val="nil"/>
            </w:tcBorders>
            <w:shd w:val="clear" w:color="auto" w:fill="E2EFD9" w:themeFill="accent6" w:themeFillTint="33"/>
            <w:noWrap/>
            <w:vAlign w:val="bottom"/>
            <w:hideMark/>
          </w:tcPr>
          <w:p w:rsidR="005B5046" w:rsidRDefault="005B5046" w:rsidP="005B5046">
            <w:pPr>
              <w:rPr>
                <w:sz w:val="20"/>
                <w:szCs w:val="20"/>
              </w:rPr>
            </w:pPr>
          </w:p>
        </w:tc>
        <w:tc>
          <w:tcPr>
            <w:tcW w:w="267" w:type="dxa"/>
            <w:tcBorders>
              <w:top w:val="nil"/>
              <w:left w:val="nil"/>
              <w:bottom w:val="nil"/>
              <w:right w:val="nil"/>
            </w:tcBorders>
            <w:shd w:val="clear" w:color="auto" w:fill="E2EFD9" w:themeFill="accent6" w:themeFillTint="33"/>
            <w:noWrap/>
            <w:vAlign w:val="bottom"/>
            <w:hideMark/>
          </w:tcPr>
          <w:p w:rsidR="005B5046" w:rsidRDefault="005B5046" w:rsidP="005B5046">
            <w:pPr>
              <w:rPr>
                <w:sz w:val="20"/>
                <w:szCs w:val="20"/>
              </w:rPr>
            </w:pPr>
          </w:p>
        </w:tc>
        <w:tc>
          <w:tcPr>
            <w:tcW w:w="1948" w:type="dxa"/>
            <w:gridSpan w:val="3"/>
            <w:tcBorders>
              <w:top w:val="nil"/>
              <w:left w:val="nil"/>
              <w:bottom w:val="nil"/>
              <w:right w:val="nil"/>
            </w:tcBorders>
            <w:shd w:val="clear" w:color="auto" w:fill="E2EFD9" w:themeFill="accent6" w:themeFillTint="33"/>
            <w:noWrap/>
            <w:vAlign w:val="center"/>
            <w:hideMark/>
          </w:tcPr>
          <w:p w:rsidR="005B5046" w:rsidRDefault="005B5046" w:rsidP="005B5046">
            <w:pPr>
              <w:rPr>
                <w:rFonts w:ascii="Arial Narrow" w:hAnsi="Arial Narrow"/>
                <w:b/>
                <w:bCs/>
                <w:color w:val="000000"/>
                <w:sz w:val="16"/>
                <w:szCs w:val="16"/>
              </w:rPr>
            </w:pPr>
            <w:r>
              <w:rPr>
                <w:rFonts w:ascii="Arial Narrow" w:hAnsi="Arial Narrow"/>
                <w:b/>
                <w:bCs/>
                <w:color w:val="000000"/>
                <w:sz w:val="16"/>
                <w:szCs w:val="16"/>
              </w:rPr>
              <w:t>Vecné dávky</w:t>
            </w:r>
          </w:p>
        </w:tc>
        <w:tc>
          <w:tcPr>
            <w:tcW w:w="994" w:type="dxa"/>
            <w:tcBorders>
              <w:top w:val="nil"/>
              <w:left w:val="single" w:sz="4" w:space="0" w:color="FF0000"/>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lang w:eastAsia="sk-SK"/>
              </w:rPr>
            </w:pPr>
            <w:r w:rsidRPr="00A7469F">
              <w:rPr>
                <w:rFonts w:ascii="Arial Narrow" w:hAnsi="Arial Narrow" w:cs="Calibri"/>
                <w:b/>
                <w:color w:val="000000"/>
                <w:sz w:val="16"/>
                <w:szCs w:val="16"/>
              </w:rPr>
              <w:t>5 484,0</w:t>
            </w:r>
          </w:p>
        </w:tc>
        <w:tc>
          <w:tcPr>
            <w:tcW w:w="851"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Pr>
                <w:rFonts w:ascii="Arial Narrow" w:hAnsi="Arial Narrow" w:cs="Calibri"/>
                <w:b/>
                <w:color w:val="000000"/>
                <w:sz w:val="16"/>
                <w:szCs w:val="16"/>
              </w:rPr>
              <w:t>4 733,8</w:t>
            </w:r>
          </w:p>
        </w:tc>
        <w:tc>
          <w:tcPr>
            <w:tcW w:w="850"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867,9</w:t>
            </w:r>
          </w:p>
        </w:tc>
        <w:tc>
          <w:tcPr>
            <w:tcW w:w="851"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1 384,5</w:t>
            </w:r>
          </w:p>
        </w:tc>
        <w:tc>
          <w:tcPr>
            <w:tcW w:w="850"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bCs/>
                <w:color w:val="000000"/>
                <w:sz w:val="16"/>
                <w:szCs w:val="16"/>
              </w:rPr>
            </w:pPr>
            <w:r w:rsidRPr="00A7469F">
              <w:rPr>
                <w:rFonts w:ascii="Arial Narrow" w:hAnsi="Arial Narrow" w:cs="Calibri"/>
                <w:b/>
                <w:bCs/>
                <w:color w:val="000000"/>
                <w:sz w:val="16"/>
                <w:szCs w:val="16"/>
              </w:rPr>
              <w:t>33,5</w:t>
            </w:r>
          </w:p>
        </w:tc>
        <w:tc>
          <w:tcPr>
            <w:tcW w:w="662"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5,8</w:t>
            </w:r>
          </w:p>
        </w:tc>
        <w:tc>
          <w:tcPr>
            <w:tcW w:w="897" w:type="dxa"/>
            <w:tcBorders>
              <w:top w:val="nil"/>
              <w:left w:val="nil"/>
              <w:bottom w:val="nil"/>
              <w:right w:val="nil"/>
            </w:tcBorders>
            <w:shd w:val="clear" w:color="auto" w:fill="E2EFD9" w:themeFill="accent6" w:themeFillTint="33"/>
            <w:noWrap/>
            <w:vAlign w:val="bottom"/>
            <w:hideMark/>
          </w:tcPr>
          <w:p w:rsidR="005B5046" w:rsidRPr="00A7469F" w:rsidRDefault="005720C5" w:rsidP="005720C5">
            <w:pPr>
              <w:jc w:val="right"/>
              <w:rPr>
                <w:rFonts w:ascii="Arial Narrow" w:hAnsi="Arial Narrow" w:cs="Calibri"/>
                <w:b/>
                <w:color w:val="000000"/>
                <w:sz w:val="16"/>
                <w:szCs w:val="16"/>
              </w:rPr>
            </w:pPr>
            <w:r>
              <w:rPr>
                <w:rFonts w:ascii="Arial Narrow" w:hAnsi="Arial Narrow" w:cs="Calibri"/>
                <w:b/>
                <w:color w:val="000000"/>
                <w:sz w:val="16"/>
                <w:szCs w:val="16"/>
              </w:rPr>
              <w:t>102,2</w:t>
            </w:r>
          </w:p>
        </w:tc>
      </w:tr>
      <w:tr w:rsidR="005B5046" w:rsidTr="005B5046">
        <w:trPr>
          <w:trHeight w:val="225"/>
        </w:trPr>
        <w:tc>
          <w:tcPr>
            <w:tcW w:w="799" w:type="dxa"/>
            <w:tcBorders>
              <w:top w:val="nil"/>
              <w:left w:val="nil"/>
              <w:bottom w:val="nil"/>
              <w:right w:val="nil"/>
            </w:tcBorders>
            <w:shd w:val="clear" w:color="auto" w:fill="C5E0B3" w:themeFill="accent6" w:themeFillTint="66"/>
            <w:noWrap/>
            <w:vAlign w:val="bottom"/>
            <w:hideMark/>
          </w:tcPr>
          <w:p w:rsidR="005B5046" w:rsidRDefault="005B5046" w:rsidP="005B5046">
            <w:pPr>
              <w:rPr>
                <w:rFonts w:ascii="Arial Narrow" w:hAnsi="Arial Narrow"/>
                <w:b/>
                <w:bCs/>
                <w:sz w:val="16"/>
                <w:szCs w:val="16"/>
              </w:rPr>
            </w:pPr>
            <w:r>
              <w:rPr>
                <w:rFonts w:ascii="Arial Narrow" w:hAnsi="Arial Narrow"/>
                <w:b/>
                <w:bCs/>
                <w:sz w:val="16"/>
                <w:szCs w:val="16"/>
              </w:rPr>
              <w:t> </w:t>
            </w:r>
          </w:p>
        </w:tc>
        <w:tc>
          <w:tcPr>
            <w:tcW w:w="335" w:type="dxa"/>
            <w:tcBorders>
              <w:top w:val="nil"/>
              <w:left w:val="nil"/>
              <w:bottom w:val="nil"/>
              <w:right w:val="nil"/>
            </w:tcBorders>
            <w:shd w:val="clear" w:color="auto" w:fill="C5E0B3" w:themeFill="accent6" w:themeFillTint="66"/>
            <w:noWrap/>
            <w:vAlign w:val="bottom"/>
            <w:hideMark/>
          </w:tcPr>
          <w:p w:rsidR="005B5046" w:rsidRDefault="005B5046" w:rsidP="005B5046">
            <w:pPr>
              <w:rPr>
                <w:rFonts w:ascii="Arial Narrow" w:hAnsi="Arial Narrow"/>
                <w:b/>
                <w:bCs/>
                <w:color w:val="000000"/>
                <w:sz w:val="16"/>
                <w:szCs w:val="16"/>
              </w:rPr>
            </w:pPr>
            <w:r>
              <w:rPr>
                <w:rFonts w:ascii="Arial Narrow" w:hAnsi="Arial Narrow"/>
                <w:b/>
                <w:bCs/>
                <w:color w:val="000000"/>
                <w:sz w:val="16"/>
                <w:szCs w:val="16"/>
              </w:rPr>
              <w:t> </w:t>
            </w:r>
          </w:p>
        </w:tc>
        <w:tc>
          <w:tcPr>
            <w:tcW w:w="2215" w:type="dxa"/>
            <w:gridSpan w:val="4"/>
            <w:tcBorders>
              <w:top w:val="nil"/>
              <w:left w:val="nil"/>
              <w:bottom w:val="nil"/>
              <w:right w:val="nil"/>
            </w:tcBorders>
            <w:shd w:val="clear" w:color="auto" w:fill="C5E0B3" w:themeFill="accent6" w:themeFillTint="66"/>
            <w:noWrap/>
            <w:vAlign w:val="center"/>
            <w:hideMark/>
          </w:tcPr>
          <w:p w:rsidR="005B5046" w:rsidRDefault="005B5046" w:rsidP="005B5046">
            <w:pPr>
              <w:rPr>
                <w:rFonts w:ascii="Arial Narrow" w:hAnsi="Arial Narrow"/>
                <w:b/>
                <w:bCs/>
                <w:color w:val="000000"/>
                <w:sz w:val="16"/>
                <w:szCs w:val="16"/>
              </w:rPr>
            </w:pPr>
            <w:r>
              <w:rPr>
                <w:rFonts w:ascii="Arial Narrow" w:hAnsi="Arial Narrow"/>
                <w:b/>
                <w:bCs/>
                <w:color w:val="000000"/>
                <w:sz w:val="16"/>
                <w:szCs w:val="16"/>
              </w:rPr>
              <w:t>Testované na príjem</w:t>
            </w:r>
          </w:p>
        </w:tc>
        <w:tc>
          <w:tcPr>
            <w:tcW w:w="994" w:type="dxa"/>
            <w:tcBorders>
              <w:top w:val="nil"/>
              <w:left w:val="single" w:sz="4" w:space="0" w:color="FF0000"/>
              <w:bottom w:val="nil"/>
              <w:right w:val="single" w:sz="4" w:space="0" w:color="FF0000"/>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550,1</w:t>
            </w:r>
          </w:p>
        </w:tc>
        <w:tc>
          <w:tcPr>
            <w:tcW w:w="851" w:type="dxa"/>
            <w:tcBorders>
              <w:top w:val="nil"/>
              <w:left w:val="nil"/>
              <w:bottom w:val="nil"/>
              <w:right w:val="single" w:sz="4" w:space="0" w:color="FF0000"/>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rPr>
            </w:pPr>
            <w:r>
              <w:rPr>
                <w:rFonts w:ascii="Arial Narrow" w:hAnsi="Arial Narrow" w:cs="Calibri"/>
                <w:b/>
                <w:bCs/>
                <w:color w:val="000000"/>
                <w:sz w:val="16"/>
                <w:szCs w:val="16"/>
              </w:rPr>
              <w:t>474,8</w:t>
            </w:r>
          </w:p>
        </w:tc>
        <w:tc>
          <w:tcPr>
            <w:tcW w:w="850" w:type="dxa"/>
            <w:tcBorders>
              <w:top w:val="nil"/>
              <w:left w:val="nil"/>
              <w:bottom w:val="nil"/>
              <w:right w:val="nil"/>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rPr>
            </w:pPr>
            <w:r>
              <w:rPr>
                <w:rFonts w:ascii="Arial Narrow" w:hAnsi="Arial Narrow" w:cs="Calibri"/>
                <w:b/>
                <w:bCs/>
                <w:color w:val="000000"/>
                <w:sz w:val="16"/>
                <w:szCs w:val="16"/>
              </w:rPr>
              <w:t>87,1</w:t>
            </w:r>
          </w:p>
        </w:tc>
        <w:tc>
          <w:tcPr>
            <w:tcW w:w="851" w:type="dxa"/>
            <w:tcBorders>
              <w:top w:val="nil"/>
              <w:left w:val="single" w:sz="4" w:space="0" w:color="FF0000"/>
              <w:bottom w:val="nil"/>
              <w:right w:val="single" w:sz="4" w:space="0" w:color="FF0000"/>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rPr>
            </w:pPr>
            <w:r>
              <w:rPr>
                <w:rFonts w:ascii="Arial Narrow" w:hAnsi="Arial Narrow" w:cs="Calibri"/>
                <w:b/>
                <w:bCs/>
                <w:color w:val="000000"/>
                <w:sz w:val="16"/>
                <w:szCs w:val="16"/>
              </w:rPr>
              <w:t>138,9</w:t>
            </w:r>
          </w:p>
        </w:tc>
        <w:tc>
          <w:tcPr>
            <w:tcW w:w="850" w:type="dxa"/>
            <w:tcBorders>
              <w:top w:val="nil"/>
              <w:left w:val="nil"/>
              <w:bottom w:val="nil"/>
              <w:right w:val="single" w:sz="4" w:space="0" w:color="FF0000"/>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rPr>
            </w:pPr>
            <w:r>
              <w:rPr>
                <w:rFonts w:ascii="Arial Narrow" w:hAnsi="Arial Narrow" w:cs="Calibri"/>
                <w:b/>
                <w:bCs/>
                <w:color w:val="000000"/>
                <w:sz w:val="16"/>
                <w:szCs w:val="16"/>
              </w:rPr>
              <w:t>3,4</w:t>
            </w:r>
          </w:p>
        </w:tc>
        <w:tc>
          <w:tcPr>
            <w:tcW w:w="662" w:type="dxa"/>
            <w:tcBorders>
              <w:top w:val="nil"/>
              <w:left w:val="nil"/>
              <w:bottom w:val="nil"/>
              <w:right w:val="single" w:sz="4" w:space="0" w:color="FF0000"/>
            </w:tcBorders>
            <w:shd w:val="clear" w:color="auto" w:fill="C5E0B3" w:themeFill="accent6" w:themeFillTint="66"/>
            <w:noWrap/>
            <w:vAlign w:val="bottom"/>
            <w:hideMark/>
          </w:tcPr>
          <w:p w:rsidR="005B5046" w:rsidRDefault="005B5046" w:rsidP="005B5046">
            <w:pPr>
              <w:jc w:val="right"/>
              <w:rPr>
                <w:rFonts w:ascii="Arial Narrow" w:hAnsi="Arial Narrow" w:cs="Calibri"/>
                <w:b/>
                <w:bCs/>
                <w:color w:val="000000"/>
                <w:sz w:val="16"/>
                <w:szCs w:val="16"/>
              </w:rPr>
            </w:pPr>
            <w:r>
              <w:rPr>
                <w:rFonts w:ascii="Arial Narrow" w:hAnsi="Arial Narrow" w:cs="Calibri"/>
                <w:b/>
                <w:bCs/>
                <w:color w:val="000000"/>
                <w:sz w:val="16"/>
                <w:szCs w:val="16"/>
              </w:rPr>
              <w:t>0,6</w:t>
            </w:r>
          </w:p>
        </w:tc>
        <w:tc>
          <w:tcPr>
            <w:tcW w:w="897" w:type="dxa"/>
            <w:tcBorders>
              <w:top w:val="nil"/>
              <w:left w:val="nil"/>
              <w:bottom w:val="nil"/>
              <w:right w:val="nil"/>
            </w:tcBorders>
            <w:shd w:val="clear" w:color="auto" w:fill="C5E0B3" w:themeFill="accent6" w:themeFillTint="66"/>
            <w:noWrap/>
            <w:vAlign w:val="bottom"/>
            <w:hideMark/>
          </w:tcPr>
          <w:p w:rsidR="005B5046" w:rsidRDefault="005720C5" w:rsidP="005B5046">
            <w:pPr>
              <w:jc w:val="right"/>
              <w:rPr>
                <w:rFonts w:ascii="Arial Narrow" w:hAnsi="Arial Narrow" w:cs="Calibri"/>
                <w:b/>
                <w:bCs/>
                <w:color w:val="000000"/>
                <w:sz w:val="16"/>
                <w:szCs w:val="16"/>
              </w:rPr>
            </w:pPr>
            <w:r>
              <w:rPr>
                <w:rFonts w:ascii="Arial Narrow" w:hAnsi="Arial Narrow" w:cs="Calibri"/>
                <w:b/>
                <w:bCs/>
                <w:color w:val="000000"/>
                <w:sz w:val="16"/>
                <w:szCs w:val="16"/>
              </w:rPr>
              <w:t>104,5</w:t>
            </w:r>
          </w:p>
        </w:tc>
      </w:tr>
      <w:tr w:rsidR="005B5046" w:rsidTr="005B5046">
        <w:trPr>
          <w:trHeight w:val="225"/>
        </w:trPr>
        <w:tc>
          <w:tcPr>
            <w:tcW w:w="799" w:type="dxa"/>
            <w:tcBorders>
              <w:top w:val="nil"/>
              <w:left w:val="nil"/>
              <w:bottom w:val="nil"/>
              <w:right w:val="nil"/>
            </w:tcBorders>
            <w:shd w:val="clear" w:color="auto" w:fill="E2EFD9" w:themeFill="accent6" w:themeFillTint="33"/>
            <w:noWrap/>
            <w:vAlign w:val="bottom"/>
            <w:hideMark/>
          </w:tcPr>
          <w:p w:rsidR="005B5046" w:rsidRDefault="005B5046" w:rsidP="005B5046">
            <w:pPr>
              <w:jc w:val="right"/>
              <w:rPr>
                <w:rFonts w:ascii="Arial Narrow" w:hAnsi="Arial Narrow"/>
                <w:b/>
                <w:bCs/>
                <w:color w:val="000000"/>
                <w:sz w:val="16"/>
                <w:szCs w:val="16"/>
              </w:rPr>
            </w:pPr>
          </w:p>
        </w:tc>
        <w:tc>
          <w:tcPr>
            <w:tcW w:w="335" w:type="dxa"/>
            <w:tcBorders>
              <w:top w:val="nil"/>
              <w:left w:val="nil"/>
              <w:bottom w:val="nil"/>
              <w:right w:val="nil"/>
            </w:tcBorders>
            <w:shd w:val="clear" w:color="auto" w:fill="E2EFD9" w:themeFill="accent6" w:themeFillTint="33"/>
            <w:noWrap/>
            <w:vAlign w:val="bottom"/>
            <w:hideMark/>
          </w:tcPr>
          <w:p w:rsidR="005B5046" w:rsidRDefault="005B5046" w:rsidP="005B5046">
            <w:pPr>
              <w:rPr>
                <w:sz w:val="20"/>
                <w:szCs w:val="20"/>
              </w:rPr>
            </w:pPr>
          </w:p>
        </w:tc>
        <w:tc>
          <w:tcPr>
            <w:tcW w:w="267" w:type="dxa"/>
            <w:tcBorders>
              <w:top w:val="nil"/>
              <w:left w:val="nil"/>
              <w:bottom w:val="nil"/>
              <w:right w:val="nil"/>
            </w:tcBorders>
            <w:shd w:val="clear" w:color="auto" w:fill="E2EFD9" w:themeFill="accent6" w:themeFillTint="33"/>
            <w:noWrap/>
            <w:vAlign w:val="bottom"/>
            <w:hideMark/>
          </w:tcPr>
          <w:p w:rsidR="005B5046" w:rsidRDefault="005B5046" w:rsidP="005B5046">
            <w:pPr>
              <w:rPr>
                <w:sz w:val="20"/>
                <w:szCs w:val="20"/>
              </w:rPr>
            </w:pPr>
          </w:p>
        </w:tc>
        <w:tc>
          <w:tcPr>
            <w:tcW w:w="1948" w:type="dxa"/>
            <w:gridSpan w:val="3"/>
            <w:tcBorders>
              <w:top w:val="nil"/>
              <w:left w:val="nil"/>
              <w:bottom w:val="nil"/>
              <w:right w:val="nil"/>
            </w:tcBorders>
            <w:shd w:val="clear" w:color="auto" w:fill="E2EFD9" w:themeFill="accent6" w:themeFillTint="33"/>
            <w:noWrap/>
            <w:vAlign w:val="center"/>
            <w:hideMark/>
          </w:tcPr>
          <w:p w:rsidR="005B5046" w:rsidRPr="00A7469F" w:rsidRDefault="005B5046" w:rsidP="005B5046">
            <w:pPr>
              <w:rPr>
                <w:rFonts w:ascii="Arial Narrow" w:hAnsi="Arial Narrow"/>
                <w:b/>
                <w:color w:val="000000"/>
                <w:sz w:val="16"/>
                <w:szCs w:val="16"/>
              </w:rPr>
            </w:pPr>
            <w:r w:rsidRPr="00A7469F">
              <w:rPr>
                <w:rFonts w:ascii="Arial Narrow" w:hAnsi="Arial Narrow"/>
                <w:b/>
                <w:color w:val="000000"/>
                <w:sz w:val="16"/>
                <w:szCs w:val="16"/>
              </w:rPr>
              <w:t>Peňažné dávky</w:t>
            </w:r>
          </w:p>
        </w:tc>
        <w:tc>
          <w:tcPr>
            <w:tcW w:w="994" w:type="dxa"/>
            <w:tcBorders>
              <w:top w:val="nil"/>
              <w:left w:val="single" w:sz="4" w:space="0" w:color="FF0000"/>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lang w:eastAsia="sk-SK"/>
              </w:rPr>
            </w:pPr>
            <w:r w:rsidRPr="00A7469F">
              <w:rPr>
                <w:rFonts w:ascii="Arial Narrow" w:hAnsi="Arial Narrow" w:cs="Calibri"/>
                <w:b/>
                <w:color w:val="000000"/>
                <w:sz w:val="16"/>
                <w:szCs w:val="16"/>
              </w:rPr>
              <w:t>347,4</w:t>
            </w:r>
          </w:p>
        </w:tc>
        <w:tc>
          <w:tcPr>
            <w:tcW w:w="851"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Pr>
                <w:rFonts w:ascii="Arial Narrow" w:hAnsi="Arial Narrow" w:cs="Calibri"/>
                <w:b/>
                <w:color w:val="000000"/>
                <w:sz w:val="16"/>
                <w:szCs w:val="16"/>
              </w:rPr>
              <w:t>299,9</w:t>
            </w:r>
          </w:p>
        </w:tc>
        <w:tc>
          <w:tcPr>
            <w:tcW w:w="850" w:type="dxa"/>
            <w:tcBorders>
              <w:top w:val="nil"/>
              <w:left w:val="nil"/>
              <w:bottom w:val="nil"/>
              <w:right w:val="nil"/>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55,0</w:t>
            </w:r>
          </w:p>
        </w:tc>
        <w:tc>
          <w:tcPr>
            <w:tcW w:w="851" w:type="dxa"/>
            <w:tcBorders>
              <w:top w:val="nil"/>
              <w:left w:val="single" w:sz="4" w:space="0" w:color="FF0000"/>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87,7</w:t>
            </w:r>
          </w:p>
        </w:tc>
        <w:tc>
          <w:tcPr>
            <w:tcW w:w="850"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bCs/>
                <w:color w:val="000000"/>
                <w:sz w:val="16"/>
                <w:szCs w:val="16"/>
              </w:rPr>
            </w:pPr>
            <w:r w:rsidRPr="00A7469F">
              <w:rPr>
                <w:rFonts w:ascii="Arial Narrow" w:hAnsi="Arial Narrow" w:cs="Calibri"/>
                <w:b/>
                <w:bCs/>
                <w:color w:val="000000"/>
                <w:sz w:val="16"/>
                <w:szCs w:val="16"/>
              </w:rPr>
              <w:t>2,1</w:t>
            </w:r>
          </w:p>
        </w:tc>
        <w:tc>
          <w:tcPr>
            <w:tcW w:w="662"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0,4</w:t>
            </w:r>
          </w:p>
        </w:tc>
        <w:tc>
          <w:tcPr>
            <w:tcW w:w="897" w:type="dxa"/>
            <w:tcBorders>
              <w:top w:val="nil"/>
              <w:left w:val="nil"/>
              <w:bottom w:val="nil"/>
              <w:right w:val="nil"/>
            </w:tcBorders>
            <w:shd w:val="clear" w:color="auto" w:fill="E2EFD9" w:themeFill="accent6" w:themeFillTint="33"/>
            <w:noWrap/>
            <w:vAlign w:val="bottom"/>
            <w:hideMark/>
          </w:tcPr>
          <w:p w:rsidR="005B5046" w:rsidRPr="00A7469F" w:rsidRDefault="005720C5" w:rsidP="005B5046">
            <w:pPr>
              <w:jc w:val="right"/>
              <w:rPr>
                <w:rFonts w:ascii="Arial Narrow" w:hAnsi="Arial Narrow" w:cs="Calibri"/>
                <w:b/>
                <w:color w:val="000000"/>
                <w:sz w:val="16"/>
                <w:szCs w:val="16"/>
              </w:rPr>
            </w:pPr>
            <w:r>
              <w:rPr>
                <w:rFonts w:ascii="Arial Narrow" w:hAnsi="Arial Narrow" w:cs="Calibri"/>
                <w:b/>
                <w:color w:val="000000"/>
                <w:sz w:val="16"/>
                <w:szCs w:val="16"/>
              </w:rPr>
              <w:t>107,2</w:t>
            </w:r>
          </w:p>
        </w:tc>
      </w:tr>
      <w:tr w:rsidR="005B5046" w:rsidTr="005B5046">
        <w:trPr>
          <w:trHeight w:val="225"/>
        </w:trPr>
        <w:tc>
          <w:tcPr>
            <w:tcW w:w="799" w:type="dxa"/>
            <w:tcBorders>
              <w:top w:val="nil"/>
              <w:left w:val="nil"/>
              <w:bottom w:val="nil"/>
              <w:right w:val="nil"/>
            </w:tcBorders>
            <w:shd w:val="clear" w:color="auto" w:fill="auto"/>
            <w:noWrap/>
            <w:vAlign w:val="bottom"/>
            <w:hideMark/>
          </w:tcPr>
          <w:p w:rsidR="005B5046" w:rsidRDefault="005B5046" w:rsidP="005B5046">
            <w:pPr>
              <w:jc w:val="right"/>
              <w:rPr>
                <w:rFonts w:ascii="Arial Narrow" w:hAnsi="Arial Narrow"/>
                <w:color w:val="000000"/>
                <w:sz w:val="16"/>
                <w:szCs w:val="16"/>
              </w:rPr>
            </w:pPr>
          </w:p>
        </w:tc>
        <w:tc>
          <w:tcPr>
            <w:tcW w:w="335"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267"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356"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1592" w:type="dxa"/>
            <w:gridSpan w:val="2"/>
            <w:tcBorders>
              <w:top w:val="nil"/>
              <w:left w:val="nil"/>
              <w:bottom w:val="nil"/>
              <w:right w:val="nil"/>
            </w:tcBorders>
            <w:shd w:val="clear" w:color="auto" w:fill="auto"/>
            <w:noWrap/>
            <w:vAlign w:val="center"/>
            <w:hideMark/>
          </w:tcPr>
          <w:p w:rsidR="005B5046" w:rsidRDefault="005B5046" w:rsidP="005B5046">
            <w:pPr>
              <w:rPr>
                <w:rFonts w:ascii="Arial Narrow" w:hAnsi="Arial Narrow"/>
                <w:color w:val="000000"/>
                <w:sz w:val="16"/>
                <w:szCs w:val="16"/>
              </w:rPr>
            </w:pPr>
            <w:r>
              <w:rPr>
                <w:rFonts w:ascii="Arial Narrow" w:hAnsi="Arial Narrow"/>
                <w:color w:val="000000"/>
                <w:sz w:val="16"/>
                <w:szCs w:val="16"/>
              </w:rPr>
              <w:t>Periodické</w:t>
            </w:r>
          </w:p>
        </w:tc>
        <w:tc>
          <w:tcPr>
            <w:tcW w:w="994" w:type="dxa"/>
            <w:tcBorders>
              <w:top w:val="nil"/>
              <w:left w:val="single" w:sz="4" w:space="0" w:color="FF0000"/>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lang w:eastAsia="sk-SK"/>
              </w:rPr>
            </w:pPr>
            <w:r>
              <w:rPr>
                <w:rFonts w:ascii="Arial Narrow" w:hAnsi="Arial Narrow" w:cs="Calibri"/>
                <w:color w:val="000000"/>
                <w:sz w:val="16"/>
                <w:szCs w:val="16"/>
              </w:rPr>
              <w:t>300,2</w:t>
            </w:r>
          </w:p>
        </w:tc>
        <w:tc>
          <w:tcPr>
            <w:tcW w:w="851"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259,1</w:t>
            </w:r>
          </w:p>
        </w:tc>
        <w:tc>
          <w:tcPr>
            <w:tcW w:w="850" w:type="dxa"/>
            <w:tcBorders>
              <w:top w:val="nil"/>
              <w:left w:val="nil"/>
              <w:bottom w:val="nil"/>
              <w:right w:val="nil"/>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47,5</w:t>
            </w:r>
          </w:p>
        </w:tc>
        <w:tc>
          <w:tcPr>
            <w:tcW w:w="851" w:type="dxa"/>
            <w:tcBorders>
              <w:top w:val="nil"/>
              <w:left w:val="single" w:sz="4" w:space="0" w:color="FF0000"/>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75,8</w:t>
            </w:r>
          </w:p>
        </w:tc>
        <w:tc>
          <w:tcPr>
            <w:tcW w:w="850" w:type="dxa"/>
            <w:tcBorders>
              <w:top w:val="nil"/>
              <w:left w:val="nil"/>
              <w:bottom w:val="nil"/>
              <w:right w:val="single" w:sz="4" w:space="0" w:color="FF0000"/>
            </w:tcBorders>
            <w:shd w:val="clear" w:color="auto" w:fill="auto"/>
            <w:noWrap/>
            <w:vAlign w:val="bottom"/>
            <w:hideMark/>
          </w:tcPr>
          <w:p w:rsidR="005B5046" w:rsidRPr="00A7469F" w:rsidRDefault="005B5046" w:rsidP="005B5046">
            <w:pPr>
              <w:jc w:val="right"/>
              <w:rPr>
                <w:rFonts w:ascii="Arial Narrow" w:hAnsi="Arial Narrow" w:cs="Calibri"/>
                <w:bCs/>
                <w:color w:val="000000"/>
                <w:sz w:val="16"/>
                <w:szCs w:val="16"/>
              </w:rPr>
            </w:pPr>
            <w:r w:rsidRPr="00A7469F">
              <w:rPr>
                <w:rFonts w:ascii="Arial Narrow" w:hAnsi="Arial Narrow" w:cs="Calibri"/>
                <w:bCs/>
                <w:color w:val="000000"/>
                <w:sz w:val="16"/>
                <w:szCs w:val="16"/>
              </w:rPr>
              <w:t>1,8</w:t>
            </w:r>
          </w:p>
        </w:tc>
        <w:tc>
          <w:tcPr>
            <w:tcW w:w="662"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0,3</w:t>
            </w:r>
          </w:p>
        </w:tc>
        <w:tc>
          <w:tcPr>
            <w:tcW w:w="897" w:type="dxa"/>
            <w:tcBorders>
              <w:top w:val="nil"/>
              <w:left w:val="nil"/>
              <w:bottom w:val="nil"/>
              <w:right w:val="nil"/>
            </w:tcBorders>
            <w:shd w:val="clear" w:color="auto" w:fill="auto"/>
            <w:noWrap/>
            <w:vAlign w:val="bottom"/>
            <w:hideMark/>
          </w:tcPr>
          <w:p w:rsidR="005B5046" w:rsidRDefault="005720C5" w:rsidP="005B5046">
            <w:pPr>
              <w:jc w:val="right"/>
              <w:rPr>
                <w:rFonts w:ascii="Arial Narrow" w:hAnsi="Arial Narrow" w:cs="Calibri"/>
                <w:color w:val="000000"/>
                <w:sz w:val="16"/>
                <w:szCs w:val="16"/>
              </w:rPr>
            </w:pPr>
            <w:r>
              <w:rPr>
                <w:rFonts w:ascii="Arial Narrow" w:hAnsi="Arial Narrow" w:cs="Calibri"/>
                <w:color w:val="000000"/>
                <w:sz w:val="16"/>
                <w:szCs w:val="16"/>
              </w:rPr>
              <w:t>108,3</w:t>
            </w:r>
          </w:p>
        </w:tc>
      </w:tr>
      <w:tr w:rsidR="005B5046" w:rsidTr="005B5046">
        <w:trPr>
          <w:trHeight w:val="225"/>
        </w:trPr>
        <w:tc>
          <w:tcPr>
            <w:tcW w:w="799" w:type="dxa"/>
            <w:tcBorders>
              <w:top w:val="nil"/>
              <w:left w:val="nil"/>
              <w:bottom w:val="nil"/>
              <w:right w:val="nil"/>
            </w:tcBorders>
            <w:shd w:val="clear" w:color="auto" w:fill="auto"/>
            <w:noWrap/>
            <w:vAlign w:val="bottom"/>
            <w:hideMark/>
          </w:tcPr>
          <w:p w:rsidR="005B5046" w:rsidRDefault="005B5046" w:rsidP="005B5046">
            <w:pPr>
              <w:jc w:val="right"/>
              <w:rPr>
                <w:rFonts w:ascii="Arial Narrow" w:hAnsi="Arial Narrow"/>
                <w:color w:val="000000"/>
                <w:sz w:val="16"/>
                <w:szCs w:val="16"/>
              </w:rPr>
            </w:pPr>
          </w:p>
        </w:tc>
        <w:tc>
          <w:tcPr>
            <w:tcW w:w="335"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267"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356" w:type="dxa"/>
            <w:tcBorders>
              <w:top w:val="nil"/>
              <w:left w:val="nil"/>
              <w:bottom w:val="nil"/>
              <w:right w:val="nil"/>
            </w:tcBorders>
            <w:shd w:val="clear" w:color="auto" w:fill="auto"/>
            <w:noWrap/>
            <w:vAlign w:val="bottom"/>
            <w:hideMark/>
          </w:tcPr>
          <w:p w:rsidR="005B5046" w:rsidRDefault="005B5046" w:rsidP="005B5046">
            <w:pPr>
              <w:rPr>
                <w:sz w:val="20"/>
                <w:szCs w:val="20"/>
              </w:rPr>
            </w:pPr>
          </w:p>
        </w:tc>
        <w:tc>
          <w:tcPr>
            <w:tcW w:w="1592" w:type="dxa"/>
            <w:gridSpan w:val="2"/>
            <w:tcBorders>
              <w:top w:val="nil"/>
              <w:left w:val="nil"/>
              <w:bottom w:val="nil"/>
              <w:right w:val="nil"/>
            </w:tcBorders>
            <w:shd w:val="clear" w:color="auto" w:fill="auto"/>
            <w:noWrap/>
            <w:vAlign w:val="center"/>
            <w:hideMark/>
          </w:tcPr>
          <w:p w:rsidR="005B5046" w:rsidRDefault="005B5046" w:rsidP="005B5046">
            <w:pPr>
              <w:rPr>
                <w:rFonts w:ascii="Arial Narrow" w:hAnsi="Arial Narrow"/>
                <w:color w:val="000000"/>
                <w:sz w:val="16"/>
                <w:szCs w:val="16"/>
              </w:rPr>
            </w:pPr>
            <w:r>
              <w:rPr>
                <w:rFonts w:ascii="Arial Narrow" w:hAnsi="Arial Narrow"/>
                <w:color w:val="000000"/>
                <w:sz w:val="16"/>
                <w:szCs w:val="16"/>
              </w:rPr>
              <w:t>Jednorazové</w:t>
            </w:r>
          </w:p>
        </w:tc>
        <w:tc>
          <w:tcPr>
            <w:tcW w:w="994" w:type="dxa"/>
            <w:tcBorders>
              <w:top w:val="nil"/>
              <w:left w:val="single" w:sz="4" w:space="0" w:color="FF0000"/>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lang w:eastAsia="sk-SK"/>
              </w:rPr>
            </w:pPr>
            <w:r>
              <w:rPr>
                <w:rFonts w:ascii="Arial Narrow" w:hAnsi="Arial Narrow" w:cs="Calibri"/>
                <w:color w:val="000000"/>
                <w:sz w:val="16"/>
                <w:szCs w:val="16"/>
              </w:rPr>
              <w:t>47,2</w:t>
            </w:r>
          </w:p>
        </w:tc>
        <w:tc>
          <w:tcPr>
            <w:tcW w:w="851"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40,7</w:t>
            </w:r>
          </w:p>
        </w:tc>
        <w:tc>
          <w:tcPr>
            <w:tcW w:w="850" w:type="dxa"/>
            <w:tcBorders>
              <w:top w:val="nil"/>
              <w:left w:val="nil"/>
              <w:bottom w:val="nil"/>
              <w:right w:val="nil"/>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7,5</w:t>
            </w:r>
          </w:p>
        </w:tc>
        <w:tc>
          <w:tcPr>
            <w:tcW w:w="851" w:type="dxa"/>
            <w:tcBorders>
              <w:top w:val="nil"/>
              <w:left w:val="single" w:sz="4" w:space="0" w:color="FF0000"/>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11,9</w:t>
            </w:r>
          </w:p>
        </w:tc>
        <w:tc>
          <w:tcPr>
            <w:tcW w:w="850" w:type="dxa"/>
            <w:tcBorders>
              <w:top w:val="nil"/>
              <w:left w:val="nil"/>
              <w:bottom w:val="nil"/>
              <w:right w:val="single" w:sz="4" w:space="0" w:color="FF0000"/>
            </w:tcBorders>
            <w:shd w:val="clear" w:color="auto" w:fill="auto"/>
            <w:noWrap/>
            <w:vAlign w:val="bottom"/>
            <w:hideMark/>
          </w:tcPr>
          <w:p w:rsidR="005B5046" w:rsidRPr="00A7469F" w:rsidRDefault="005B5046" w:rsidP="005B5046">
            <w:pPr>
              <w:jc w:val="right"/>
              <w:rPr>
                <w:rFonts w:ascii="Arial Narrow" w:hAnsi="Arial Narrow" w:cs="Calibri"/>
                <w:bCs/>
                <w:color w:val="000000"/>
                <w:sz w:val="16"/>
                <w:szCs w:val="16"/>
              </w:rPr>
            </w:pPr>
            <w:r w:rsidRPr="00A7469F">
              <w:rPr>
                <w:rFonts w:ascii="Arial Narrow" w:hAnsi="Arial Narrow" w:cs="Calibri"/>
                <w:bCs/>
                <w:color w:val="000000"/>
                <w:sz w:val="16"/>
                <w:szCs w:val="16"/>
              </w:rPr>
              <w:t>0,3</w:t>
            </w:r>
          </w:p>
        </w:tc>
        <w:tc>
          <w:tcPr>
            <w:tcW w:w="662" w:type="dxa"/>
            <w:tcBorders>
              <w:top w:val="nil"/>
              <w:left w:val="nil"/>
              <w:bottom w:val="nil"/>
              <w:right w:val="single" w:sz="4" w:space="0" w:color="FF0000"/>
            </w:tcBorders>
            <w:shd w:val="clear" w:color="auto" w:fill="auto"/>
            <w:noWrap/>
            <w:vAlign w:val="bottom"/>
            <w:hideMark/>
          </w:tcPr>
          <w:p w:rsidR="005B5046" w:rsidRDefault="005B5046" w:rsidP="005B5046">
            <w:pPr>
              <w:jc w:val="right"/>
              <w:rPr>
                <w:rFonts w:ascii="Arial Narrow" w:hAnsi="Arial Narrow" w:cs="Calibri"/>
                <w:color w:val="000000"/>
                <w:sz w:val="16"/>
                <w:szCs w:val="16"/>
              </w:rPr>
            </w:pPr>
            <w:r>
              <w:rPr>
                <w:rFonts w:ascii="Arial Narrow" w:hAnsi="Arial Narrow" w:cs="Calibri"/>
                <w:color w:val="000000"/>
                <w:sz w:val="16"/>
                <w:szCs w:val="16"/>
              </w:rPr>
              <w:t>0,1</w:t>
            </w:r>
          </w:p>
        </w:tc>
        <w:tc>
          <w:tcPr>
            <w:tcW w:w="897" w:type="dxa"/>
            <w:tcBorders>
              <w:top w:val="nil"/>
              <w:left w:val="nil"/>
              <w:bottom w:val="nil"/>
              <w:right w:val="nil"/>
            </w:tcBorders>
            <w:shd w:val="clear" w:color="auto" w:fill="auto"/>
            <w:noWrap/>
            <w:vAlign w:val="bottom"/>
            <w:hideMark/>
          </w:tcPr>
          <w:p w:rsidR="005B5046" w:rsidRDefault="005720C5" w:rsidP="005B5046">
            <w:pPr>
              <w:jc w:val="right"/>
              <w:rPr>
                <w:rFonts w:ascii="Arial Narrow" w:hAnsi="Arial Narrow" w:cs="Calibri"/>
                <w:color w:val="000000"/>
                <w:sz w:val="16"/>
                <w:szCs w:val="16"/>
              </w:rPr>
            </w:pPr>
            <w:r>
              <w:rPr>
                <w:rFonts w:ascii="Arial Narrow" w:hAnsi="Arial Narrow" w:cs="Calibri"/>
                <w:color w:val="000000"/>
                <w:sz w:val="16"/>
                <w:szCs w:val="16"/>
              </w:rPr>
              <w:t>100,4</w:t>
            </w:r>
          </w:p>
        </w:tc>
      </w:tr>
      <w:tr w:rsidR="005B5046" w:rsidTr="005B5046">
        <w:trPr>
          <w:trHeight w:val="225"/>
        </w:trPr>
        <w:tc>
          <w:tcPr>
            <w:tcW w:w="799" w:type="dxa"/>
            <w:tcBorders>
              <w:top w:val="nil"/>
              <w:left w:val="nil"/>
              <w:bottom w:val="nil"/>
              <w:right w:val="nil"/>
            </w:tcBorders>
            <w:shd w:val="clear" w:color="auto" w:fill="E2EFD9" w:themeFill="accent6" w:themeFillTint="33"/>
            <w:noWrap/>
            <w:vAlign w:val="bottom"/>
            <w:hideMark/>
          </w:tcPr>
          <w:p w:rsidR="005B5046" w:rsidRDefault="005B5046" w:rsidP="005B5046">
            <w:pPr>
              <w:jc w:val="right"/>
              <w:rPr>
                <w:rFonts w:ascii="Arial Narrow" w:hAnsi="Arial Narrow"/>
                <w:color w:val="000000"/>
                <w:sz w:val="16"/>
                <w:szCs w:val="16"/>
              </w:rPr>
            </w:pPr>
          </w:p>
        </w:tc>
        <w:tc>
          <w:tcPr>
            <w:tcW w:w="335" w:type="dxa"/>
            <w:tcBorders>
              <w:top w:val="nil"/>
              <w:left w:val="nil"/>
              <w:bottom w:val="nil"/>
              <w:right w:val="nil"/>
            </w:tcBorders>
            <w:shd w:val="clear" w:color="auto" w:fill="E2EFD9" w:themeFill="accent6" w:themeFillTint="33"/>
            <w:noWrap/>
            <w:vAlign w:val="bottom"/>
            <w:hideMark/>
          </w:tcPr>
          <w:p w:rsidR="005B5046" w:rsidRDefault="005B5046" w:rsidP="005B5046">
            <w:pPr>
              <w:rPr>
                <w:sz w:val="20"/>
                <w:szCs w:val="20"/>
              </w:rPr>
            </w:pPr>
          </w:p>
        </w:tc>
        <w:tc>
          <w:tcPr>
            <w:tcW w:w="267" w:type="dxa"/>
            <w:tcBorders>
              <w:top w:val="nil"/>
              <w:left w:val="nil"/>
              <w:bottom w:val="nil"/>
              <w:right w:val="nil"/>
            </w:tcBorders>
            <w:shd w:val="clear" w:color="auto" w:fill="E2EFD9" w:themeFill="accent6" w:themeFillTint="33"/>
            <w:noWrap/>
            <w:vAlign w:val="bottom"/>
            <w:hideMark/>
          </w:tcPr>
          <w:p w:rsidR="005B5046" w:rsidRDefault="005B5046" w:rsidP="005B5046">
            <w:pPr>
              <w:rPr>
                <w:sz w:val="20"/>
                <w:szCs w:val="20"/>
              </w:rPr>
            </w:pPr>
          </w:p>
        </w:tc>
        <w:tc>
          <w:tcPr>
            <w:tcW w:w="1948" w:type="dxa"/>
            <w:gridSpan w:val="3"/>
            <w:tcBorders>
              <w:top w:val="nil"/>
              <w:left w:val="nil"/>
              <w:bottom w:val="nil"/>
              <w:right w:val="nil"/>
            </w:tcBorders>
            <w:shd w:val="clear" w:color="auto" w:fill="E2EFD9" w:themeFill="accent6" w:themeFillTint="33"/>
            <w:noWrap/>
            <w:vAlign w:val="center"/>
            <w:hideMark/>
          </w:tcPr>
          <w:p w:rsidR="005B5046" w:rsidRPr="00A7469F" w:rsidRDefault="005B5046" w:rsidP="005B5046">
            <w:pPr>
              <w:rPr>
                <w:rFonts w:ascii="Arial Narrow" w:hAnsi="Arial Narrow"/>
                <w:b/>
                <w:color w:val="000000"/>
                <w:sz w:val="16"/>
                <w:szCs w:val="16"/>
              </w:rPr>
            </w:pPr>
            <w:r w:rsidRPr="00A7469F">
              <w:rPr>
                <w:rFonts w:ascii="Arial Narrow" w:hAnsi="Arial Narrow"/>
                <w:b/>
                <w:color w:val="000000"/>
                <w:sz w:val="16"/>
                <w:szCs w:val="16"/>
              </w:rPr>
              <w:t>Vecné dávky</w:t>
            </w:r>
          </w:p>
        </w:tc>
        <w:tc>
          <w:tcPr>
            <w:tcW w:w="994" w:type="dxa"/>
            <w:tcBorders>
              <w:top w:val="nil"/>
              <w:left w:val="single" w:sz="4" w:space="0" w:color="FF0000"/>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lang w:eastAsia="sk-SK"/>
              </w:rPr>
            </w:pPr>
            <w:r w:rsidRPr="00A7469F">
              <w:rPr>
                <w:rFonts w:ascii="Arial Narrow" w:hAnsi="Arial Narrow" w:cs="Calibri"/>
                <w:b/>
                <w:color w:val="000000"/>
                <w:sz w:val="16"/>
                <w:szCs w:val="16"/>
              </w:rPr>
              <w:t>202,7</w:t>
            </w:r>
          </w:p>
        </w:tc>
        <w:tc>
          <w:tcPr>
            <w:tcW w:w="851"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Pr>
                <w:rFonts w:ascii="Arial Narrow" w:hAnsi="Arial Narrow" w:cs="Calibri"/>
                <w:b/>
                <w:color w:val="000000"/>
                <w:sz w:val="16"/>
                <w:szCs w:val="16"/>
              </w:rPr>
              <w:t>174,9</w:t>
            </w:r>
          </w:p>
        </w:tc>
        <w:tc>
          <w:tcPr>
            <w:tcW w:w="850" w:type="dxa"/>
            <w:tcBorders>
              <w:top w:val="nil"/>
              <w:left w:val="nil"/>
              <w:bottom w:val="nil"/>
              <w:right w:val="nil"/>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32,1</w:t>
            </w:r>
          </w:p>
        </w:tc>
        <w:tc>
          <w:tcPr>
            <w:tcW w:w="851" w:type="dxa"/>
            <w:tcBorders>
              <w:top w:val="nil"/>
              <w:left w:val="single" w:sz="4" w:space="0" w:color="FF0000"/>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51,2</w:t>
            </w:r>
          </w:p>
        </w:tc>
        <w:tc>
          <w:tcPr>
            <w:tcW w:w="850"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bCs/>
                <w:color w:val="000000"/>
                <w:sz w:val="16"/>
                <w:szCs w:val="16"/>
              </w:rPr>
            </w:pPr>
            <w:r w:rsidRPr="00A7469F">
              <w:rPr>
                <w:rFonts w:ascii="Arial Narrow" w:hAnsi="Arial Narrow" w:cs="Calibri"/>
                <w:b/>
                <w:bCs/>
                <w:color w:val="000000"/>
                <w:sz w:val="16"/>
                <w:szCs w:val="16"/>
              </w:rPr>
              <w:t>1,2</w:t>
            </w:r>
          </w:p>
        </w:tc>
        <w:tc>
          <w:tcPr>
            <w:tcW w:w="662" w:type="dxa"/>
            <w:tcBorders>
              <w:top w:val="nil"/>
              <w:left w:val="nil"/>
              <w:bottom w:val="nil"/>
              <w:right w:val="single" w:sz="4" w:space="0" w:color="FF0000"/>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0,2</w:t>
            </w:r>
          </w:p>
        </w:tc>
        <w:tc>
          <w:tcPr>
            <w:tcW w:w="897" w:type="dxa"/>
            <w:tcBorders>
              <w:top w:val="nil"/>
              <w:left w:val="nil"/>
              <w:bottom w:val="nil"/>
              <w:right w:val="nil"/>
            </w:tcBorders>
            <w:shd w:val="clear" w:color="auto" w:fill="E2EFD9" w:themeFill="accent6" w:themeFillTint="33"/>
            <w:noWrap/>
            <w:vAlign w:val="bottom"/>
            <w:hideMark/>
          </w:tcPr>
          <w:p w:rsidR="005B5046" w:rsidRPr="00A7469F" w:rsidRDefault="005B5046" w:rsidP="005B5046">
            <w:pPr>
              <w:jc w:val="right"/>
              <w:rPr>
                <w:rFonts w:ascii="Arial Narrow" w:hAnsi="Arial Narrow" w:cs="Calibri"/>
                <w:b/>
                <w:color w:val="000000"/>
                <w:sz w:val="16"/>
                <w:szCs w:val="16"/>
              </w:rPr>
            </w:pPr>
            <w:r w:rsidRPr="00A7469F">
              <w:rPr>
                <w:rFonts w:ascii="Arial Narrow" w:hAnsi="Arial Narrow" w:cs="Calibri"/>
                <w:b/>
                <w:color w:val="000000"/>
                <w:sz w:val="16"/>
                <w:szCs w:val="16"/>
              </w:rPr>
              <w:t>100,</w:t>
            </w:r>
            <w:r>
              <w:rPr>
                <w:rFonts w:ascii="Arial Narrow" w:hAnsi="Arial Narrow" w:cs="Calibri"/>
                <w:b/>
                <w:color w:val="000000"/>
                <w:sz w:val="16"/>
                <w:szCs w:val="16"/>
              </w:rPr>
              <w:t>1</w:t>
            </w:r>
          </w:p>
        </w:tc>
      </w:tr>
    </w:tbl>
    <w:p w:rsidR="0042276E" w:rsidRPr="0042276E" w:rsidRDefault="0042276E" w:rsidP="00875D8D">
      <w:pPr>
        <w:jc w:val="both"/>
        <w:rPr>
          <w:rFonts w:ascii="Arial Narrow" w:hAnsi="Arial Narrow"/>
          <w:b/>
          <w:bCs/>
          <w:color w:val="000000"/>
          <w:sz w:val="10"/>
          <w:szCs w:val="10"/>
        </w:rPr>
      </w:pPr>
    </w:p>
    <w:p w:rsidR="00875D8D" w:rsidRPr="00F619EF" w:rsidRDefault="00FB27D7" w:rsidP="00875D8D">
      <w:pPr>
        <w:jc w:val="both"/>
        <w:rPr>
          <w:rFonts w:ascii="Arial Narrow" w:hAnsi="Arial Narrow"/>
          <w:i/>
          <w:sz w:val="15"/>
          <w:szCs w:val="15"/>
        </w:rPr>
      </w:pPr>
      <w:r w:rsidRPr="00F619EF">
        <w:rPr>
          <w:rFonts w:ascii="Arial Narrow" w:hAnsi="Arial Narrow"/>
          <w:i/>
          <w:sz w:val="15"/>
          <w:szCs w:val="15"/>
        </w:rPr>
        <w:t xml:space="preserve">Zdroj: ŠÚ SR </w:t>
      </w:r>
      <w:r w:rsidR="00D6566E" w:rsidRPr="00F619EF">
        <w:rPr>
          <w:rFonts w:ascii="Arial Narrow" w:hAnsi="Arial Narrow"/>
          <w:i/>
          <w:sz w:val="15"/>
          <w:szCs w:val="15"/>
        </w:rPr>
        <w:t>–</w:t>
      </w:r>
      <w:r w:rsidRPr="00F619EF">
        <w:rPr>
          <w:rFonts w:ascii="Arial Narrow" w:hAnsi="Arial Narrow"/>
          <w:i/>
          <w:sz w:val="15"/>
          <w:szCs w:val="15"/>
        </w:rPr>
        <w:t xml:space="preserve"> ESSPROS</w:t>
      </w:r>
    </w:p>
    <w:p w:rsidR="00D6566E" w:rsidRDefault="00D6566E" w:rsidP="00875D8D">
      <w:pPr>
        <w:jc w:val="both"/>
        <w:rPr>
          <w:rFonts w:ascii="Arial Narrow" w:hAnsi="Arial Narrow"/>
          <w:b/>
          <w:bCs/>
          <w:color w:val="000000"/>
          <w:sz w:val="20"/>
          <w:szCs w:val="20"/>
        </w:rPr>
      </w:pPr>
    </w:p>
    <w:p w:rsidR="004D4747" w:rsidRDefault="004D4747" w:rsidP="009E3AF8">
      <w:pPr>
        <w:jc w:val="both"/>
        <w:rPr>
          <w:rFonts w:ascii="Arial Narrow" w:hAnsi="Arial Narrow"/>
          <w:b/>
          <w:bCs/>
          <w:color w:val="000000"/>
          <w:sz w:val="20"/>
          <w:szCs w:val="20"/>
        </w:rPr>
      </w:pPr>
    </w:p>
    <w:p w:rsidR="009E3AF8" w:rsidRDefault="009E3AF8" w:rsidP="009E3AF8">
      <w:pPr>
        <w:jc w:val="both"/>
        <w:rPr>
          <w:rFonts w:ascii="Arial Narrow" w:hAnsi="Arial Narrow"/>
          <w:b/>
          <w:bCs/>
          <w:color w:val="000000"/>
          <w:sz w:val="20"/>
          <w:szCs w:val="20"/>
        </w:rPr>
      </w:pPr>
      <w:r w:rsidRPr="00F802B3">
        <w:rPr>
          <w:rFonts w:ascii="Arial Narrow" w:hAnsi="Arial Narrow"/>
          <w:b/>
          <w:bCs/>
          <w:color w:val="000000"/>
          <w:sz w:val="20"/>
          <w:szCs w:val="20"/>
        </w:rPr>
        <w:t xml:space="preserve">Graf 1.6  Výdavky na sociálne dávky v SR podľa </w:t>
      </w:r>
      <w:r w:rsidR="003817DD" w:rsidRPr="00F802B3">
        <w:rPr>
          <w:rFonts w:ascii="Arial Narrow" w:hAnsi="Arial Narrow"/>
          <w:b/>
          <w:bCs/>
          <w:color w:val="000000"/>
          <w:sz w:val="20"/>
          <w:szCs w:val="20"/>
        </w:rPr>
        <w:t>typu</w:t>
      </w:r>
      <w:r w:rsidR="000B76D6" w:rsidRPr="00F802B3">
        <w:rPr>
          <w:rFonts w:ascii="Arial Narrow" w:hAnsi="Arial Narrow"/>
          <w:b/>
          <w:bCs/>
          <w:color w:val="000000"/>
          <w:sz w:val="20"/>
          <w:szCs w:val="20"/>
        </w:rPr>
        <w:t>, 199</w:t>
      </w:r>
      <w:r w:rsidR="00F802B3" w:rsidRPr="00F802B3">
        <w:rPr>
          <w:rFonts w:ascii="Arial Narrow" w:hAnsi="Arial Narrow"/>
          <w:b/>
          <w:bCs/>
          <w:color w:val="000000"/>
          <w:sz w:val="20"/>
          <w:szCs w:val="20"/>
        </w:rPr>
        <w:t>8</w:t>
      </w:r>
      <w:r w:rsidR="000B76D6" w:rsidRPr="00F802B3">
        <w:rPr>
          <w:rFonts w:ascii="Arial Narrow" w:hAnsi="Arial Narrow"/>
          <w:b/>
          <w:bCs/>
          <w:color w:val="000000"/>
          <w:sz w:val="20"/>
          <w:szCs w:val="20"/>
        </w:rPr>
        <w:t xml:space="preserve"> </w:t>
      </w:r>
      <w:r w:rsidR="00F802B3" w:rsidRPr="00F802B3">
        <w:rPr>
          <w:rFonts w:ascii="Arial Narrow" w:hAnsi="Arial Narrow"/>
          <w:b/>
          <w:bCs/>
          <w:color w:val="000000"/>
          <w:sz w:val="20"/>
          <w:szCs w:val="20"/>
        </w:rPr>
        <w:t>–</w:t>
      </w:r>
      <w:r w:rsidR="000B76D6" w:rsidRPr="00F802B3">
        <w:rPr>
          <w:rFonts w:ascii="Arial Narrow" w:hAnsi="Arial Narrow"/>
          <w:b/>
          <w:bCs/>
          <w:color w:val="000000"/>
          <w:sz w:val="20"/>
          <w:szCs w:val="20"/>
        </w:rPr>
        <w:t xml:space="preserve"> 201</w:t>
      </w:r>
      <w:r w:rsidR="00F802B3" w:rsidRPr="00F802B3">
        <w:rPr>
          <w:rFonts w:ascii="Arial Narrow" w:hAnsi="Arial Narrow"/>
          <w:b/>
          <w:bCs/>
          <w:color w:val="000000"/>
          <w:sz w:val="20"/>
          <w:szCs w:val="20"/>
        </w:rPr>
        <w:t>9</w:t>
      </w:r>
    </w:p>
    <w:p w:rsidR="0042276E" w:rsidRPr="0042276E" w:rsidRDefault="0042276E" w:rsidP="009E3AF8">
      <w:pPr>
        <w:jc w:val="both"/>
        <w:rPr>
          <w:rFonts w:ascii="Arial Narrow" w:hAnsi="Arial Narrow"/>
          <w:b/>
          <w:bCs/>
          <w:color w:val="000000"/>
          <w:sz w:val="10"/>
          <w:szCs w:val="10"/>
        </w:rPr>
      </w:pPr>
    </w:p>
    <w:p w:rsidR="00F802B3" w:rsidRDefault="00D74A81" w:rsidP="009E3AF8">
      <w:pPr>
        <w:jc w:val="both"/>
        <w:rPr>
          <w:rFonts w:ascii="Arial Narrow" w:hAnsi="Arial Narrow"/>
          <w:b/>
          <w:bCs/>
          <w:color w:val="000000"/>
          <w:sz w:val="20"/>
          <w:szCs w:val="20"/>
        </w:rPr>
      </w:pPr>
      <w:r>
        <w:rPr>
          <w:noProof/>
          <w:lang w:eastAsia="sk-SK"/>
        </w:rPr>
        <w:drawing>
          <wp:inline distT="0" distB="0" distL="0" distR="0" wp14:anchorId="36D078D3" wp14:editId="09B803B2">
            <wp:extent cx="5759450" cy="2231390"/>
            <wp:effectExtent l="0" t="0" r="12700" b="16510"/>
            <wp:docPr id="18" name="Graf 18">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2276E" w:rsidRPr="0042276E" w:rsidRDefault="0042276E" w:rsidP="0042276E">
      <w:pPr>
        <w:rPr>
          <w:rFonts w:ascii="Arial Narrow" w:hAnsi="Arial Narrow"/>
          <w:i/>
          <w:sz w:val="10"/>
          <w:szCs w:val="10"/>
        </w:rPr>
      </w:pPr>
    </w:p>
    <w:p w:rsidR="009C6810" w:rsidRDefault="00D06F72" w:rsidP="0042276E">
      <w:pPr>
        <w:rPr>
          <w:rFonts w:ascii="Arial Narrow" w:hAnsi="Arial Narrow"/>
          <w:sz w:val="20"/>
          <w:szCs w:val="20"/>
        </w:rPr>
      </w:pPr>
      <w:r>
        <w:rPr>
          <w:rFonts w:ascii="Arial Narrow" w:hAnsi="Arial Narrow"/>
          <w:i/>
          <w:sz w:val="16"/>
          <w:szCs w:val="16"/>
        </w:rPr>
        <w:t xml:space="preserve">Zdroj: ŠÚ SR </w:t>
      </w:r>
      <w:r w:rsidR="0027203E">
        <w:rPr>
          <w:rFonts w:ascii="Arial Narrow" w:hAnsi="Arial Narrow"/>
          <w:i/>
          <w:sz w:val="16"/>
          <w:szCs w:val="16"/>
        </w:rPr>
        <w:t>-</w:t>
      </w:r>
      <w:r>
        <w:rPr>
          <w:rFonts w:ascii="Arial Narrow" w:hAnsi="Arial Narrow"/>
          <w:i/>
          <w:sz w:val="16"/>
          <w:szCs w:val="16"/>
        </w:rPr>
        <w:t xml:space="preserve"> ESSPROS</w:t>
      </w:r>
    </w:p>
    <w:p w:rsidR="007F3A83" w:rsidRDefault="007F3A83" w:rsidP="009C6810">
      <w:pPr>
        <w:rPr>
          <w:rFonts w:ascii="Arial Narrow" w:hAnsi="Arial Narrow"/>
          <w:i/>
          <w:sz w:val="16"/>
          <w:szCs w:val="16"/>
        </w:rPr>
      </w:pPr>
    </w:p>
    <w:p w:rsidR="0042276E" w:rsidRDefault="0042276E" w:rsidP="009C6810">
      <w:pPr>
        <w:rPr>
          <w:rFonts w:ascii="Arial Narrow" w:hAnsi="Arial Narrow"/>
          <w:i/>
          <w:sz w:val="16"/>
          <w:szCs w:val="16"/>
        </w:rPr>
      </w:pPr>
    </w:p>
    <w:p w:rsidR="0042276E" w:rsidRDefault="0042276E" w:rsidP="009C6810">
      <w:pPr>
        <w:rPr>
          <w:rFonts w:ascii="Arial Narrow" w:hAnsi="Arial Narrow"/>
          <w:i/>
          <w:sz w:val="16"/>
          <w:szCs w:val="16"/>
        </w:rPr>
      </w:pPr>
    </w:p>
    <w:p w:rsidR="0042276E" w:rsidRDefault="0042276E" w:rsidP="009C6810">
      <w:pPr>
        <w:rPr>
          <w:rFonts w:ascii="Arial Narrow" w:hAnsi="Arial Narrow"/>
          <w:i/>
          <w:sz w:val="16"/>
          <w:szCs w:val="16"/>
        </w:rPr>
      </w:pPr>
    </w:p>
    <w:p w:rsidR="0042276E" w:rsidRDefault="0042276E" w:rsidP="0027203E">
      <w:pPr>
        <w:rPr>
          <w:rFonts w:ascii="Arial Narrow" w:hAnsi="Arial Narrow"/>
          <w:b/>
          <w:sz w:val="20"/>
          <w:szCs w:val="20"/>
        </w:rPr>
      </w:pPr>
    </w:p>
    <w:p w:rsidR="0042276E" w:rsidRDefault="0042276E" w:rsidP="0027203E">
      <w:pPr>
        <w:rPr>
          <w:rFonts w:ascii="Arial Narrow" w:hAnsi="Arial Narrow"/>
          <w:b/>
          <w:sz w:val="20"/>
          <w:szCs w:val="20"/>
        </w:rPr>
      </w:pPr>
    </w:p>
    <w:p w:rsidR="0042276E" w:rsidRDefault="0042276E" w:rsidP="0027203E">
      <w:pPr>
        <w:rPr>
          <w:rFonts w:ascii="Arial Narrow" w:hAnsi="Arial Narrow"/>
          <w:b/>
          <w:sz w:val="20"/>
          <w:szCs w:val="20"/>
        </w:rPr>
      </w:pPr>
    </w:p>
    <w:p w:rsidR="0042276E" w:rsidRDefault="0042276E" w:rsidP="0027203E">
      <w:pPr>
        <w:rPr>
          <w:rFonts w:ascii="Arial Narrow" w:hAnsi="Arial Narrow"/>
          <w:b/>
          <w:sz w:val="20"/>
          <w:szCs w:val="20"/>
        </w:rPr>
      </w:pPr>
    </w:p>
    <w:p w:rsidR="0042276E" w:rsidRDefault="0042276E" w:rsidP="0027203E">
      <w:pPr>
        <w:rPr>
          <w:rFonts w:ascii="Arial Narrow" w:hAnsi="Arial Narrow"/>
          <w:b/>
          <w:sz w:val="20"/>
          <w:szCs w:val="20"/>
        </w:rPr>
      </w:pPr>
    </w:p>
    <w:p w:rsidR="0042276E" w:rsidRDefault="0042276E" w:rsidP="0027203E">
      <w:pPr>
        <w:rPr>
          <w:rFonts w:ascii="Arial Narrow" w:hAnsi="Arial Narrow"/>
          <w:b/>
          <w:sz w:val="20"/>
          <w:szCs w:val="20"/>
        </w:rPr>
      </w:pPr>
    </w:p>
    <w:p w:rsidR="0042276E" w:rsidRDefault="0042276E" w:rsidP="0027203E">
      <w:pPr>
        <w:rPr>
          <w:rFonts w:ascii="Arial Narrow" w:hAnsi="Arial Narrow"/>
          <w:b/>
          <w:sz w:val="20"/>
          <w:szCs w:val="20"/>
        </w:rPr>
      </w:pPr>
    </w:p>
    <w:p w:rsidR="0042276E" w:rsidRDefault="0042276E" w:rsidP="0027203E">
      <w:pPr>
        <w:rPr>
          <w:rFonts w:ascii="Arial Narrow" w:hAnsi="Arial Narrow"/>
          <w:b/>
          <w:sz w:val="20"/>
          <w:szCs w:val="20"/>
        </w:rPr>
      </w:pPr>
    </w:p>
    <w:p w:rsidR="0042276E" w:rsidRDefault="0042276E" w:rsidP="0027203E">
      <w:pPr>
        <w:rPr>
          <w:rFonts w:ascii="Arial Narrow" w:hAnsi="Arial Narrow"/>
          <w:b/>
          <w:sz w:val="20"/>
          <w:szCs w:val="20"/>
        </w:rPr>
      </w:pPr>
    </w:p>
    <w:p w:rsidR="0027203E" w:rsidRPr="0042276E" w:rsidRDefault="0027203E" w:rsidP="0027203E">
      <w:pPr>
        <w:rPr>
          <w:rFonts w:ascii="Arial Narrow" w:hAnsi="Arial Narrow"/>
          <w:b/>
          <w:sz w:val="20"/>
          <w:szCs w:val="20"/>
        </w:rPr>
      </w:pPr>
      <w:r w:rsidRPr="0042276E">
        <w:rPr>
          <w:rFonts w:ascii="Arial Narrow" w:hAnsi="Arial Narrow"/>
          <w:b/>
          <w:sz w:val="20"/>
          <w:szCs w:val="20"/>
        </w:rPr>
        <w:lastRenderedPageBreak/>
        <w:t>Graf 1.7  Štruktúra výdavkov na sociálne dávky v SR podľa účelov, 199</w:t>
      </w:r>
      <w:r w:rsidR="002F4E6E" w:rsidRPr="0042276E">
        <w:rPr>
          <w:rFonts w:ascii="Arial Narrow" w:hAnsi="Arial Narrow"/>
          <w:b/>
          <w:sz w:val="20"/>
          <w:szCs w:val="20"/>
        </w:rPr>
        <w:t>8</w:t>
      </w:r>
      <w:r w:rsidRPr="0042276E">
        <w:rPr>
          <w:rFonts w:ascii="Arial Narrow" w:hAnsi="Arial Narrow"/>
          <w:b/>
          <w:sz w:val="20"/>
          <w:szCs w:val="20"/>
        </w:rPr>
        <w:t xml:space="preserve"> </w:t>
      </w:r>
      <w:r w:rsidR="0042276E" w:rsidRPr="0042276E">
        <w:rPr>
          <w:rFonts w:ascii="Arial Narrow" w:hAnsi="Arial Narrow"/>
          <w:b/>
          <w:sz w:val="20"/>
          <w:szCs w:val="20"/>
        </w:rPr>
        <w:t>–</w:t>
      </w:r>
      <w:r w:rsidR="000B76D6" w:rsidRPr="0042276E">
        <w:rPr>
          <w:rFonts w:ascii="Arial Narrow" w:hAnsi="Arial Narrow"/>
          <w:b/>
          <w:sz w:val="20"/>
          <w:szCs w:val="20"/>
        </w:rPr>
        <w:t xml:space="preserve"> 201</w:t>
      </w:r>
      <w:r w:rsidR="002F4E6E" w:rsidRPr="0042276E">
        <w:rPr>
          <w:rFonts w:ascii="Arial Narrow" w:hAnsi="Arial Narrow"/>
          <w:b/>
          <w:sz w:val="20"/>
          <w:szCs w:val="20"/>
        </w:rPr>
        <w:t>9</w:t>
      </w:r>
    </w:p>
    <w:p w:rsidR="0042276E" w:rsidRPr="0042276E" w:rsidRDefault="0042276E" w:rsidP="0027203E">
      <w:pPr>
        <w:rPr>
          <w:rFonts w:ascii="Arial Narrow" w:hAnsi="Arial Narrow"/>
          <w:b/>
          <w:sz w:val="10"/>
          <w:szCs w:val="10"/>
        </w:rPr>
      </w:pPr>
    </w:p>
    <w:p w:rsidR="0027203E" w:rsidRDefault="00D74A81" w:rsidP="0027203E">
      <w:pPr>
        <w:rPr>
          <w:rFonts w:ascii="Arial Narrow" w:hAnsi="Arial Narrow"/>
          <w:b/>
          <w:sz w:val="20"/>
          <w:szCs w:val="20"/>
        </w:rPr>
      </w:pPr>
      <w:r>
        <w:rPr>
          <w:noProof/>
          <w:lang w:eastAsia="sk-SK"/>
        </w:rPr>
        <w:drawing>
          <wp:inline distT="0" distB="0" distL="0" distR="0" wp14:anchorId="7A471B2A" wp14:editId="1347823E">
            <wp:extent cx="5755237" cy="2749551"/>
            <wp:effectExtent l="0" t="0" r="17145" b="12700"/>
            <wp:docPr id="20" name="Graf 20">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2276E" w:rsidRPr="0042276E" w:rsidRDefault="0042276E" w:rsidP="0042276E">
      <w:pPr>
        <w:rPr>
          <w:rFonts w:ascii="Arial Narrow" w:hAnsi="Arial Narrow"/>
          <w:i/>
          <w:sz w:val="10"/>
          <w:szCs w:val="10"/>
        </w:rPr>
      </w:pPr>
    </w:p>
    <w:p w:rsidR="0027203E" w:rsidRDefault="0027203E" w:rsidP="0042276E">
      <w:pPr>
        <w:rPr>
          <w:rFonts w:ascii="Arial Narrow" w:hAnsi="Arial Narrow"/>
          <w:sz w:val="20"/>
          <w:szCs w:val="20"/>
        </w:rPr>
      </w:pPr>
      <w:r>
        <w:rPr>
          <w:rFonts w:ascii="Arial Narrow" w:hAnsi="Arial Narrow"/>
          <w:i/>
          <w:sz w:val="16"/>
          <w:szCs w:val="16"/>
        </w:rPr>
        <w:t>Zdroj: ŠÚ SR - ESSPROS</w:t>
      </w:r>
    </w:p>
    <w:p w:rsidR="0027203E" w:rsidRPr="0042276E" w:rsidRDefault="0027203E" w:rsidP="0027203E">
      <w:pPr>
        <w:ind w:firstLine="708"/>
        <w:jc w:val="both"/>
        <w:rPr>
          <w:rFonts w:ascii="Arial Narrow" w:hAnsi="Arial Narrow"/>
          <w:sz w:val="22"/>
          <w:szCs w:val="22"/>
        </w:rPr>
      </w:pPr>
    </w:p>
    <w:p w:rsidR="0027203E" w:rsidRPr="0042276E" w:rsidRDefault="00D203EA" w:rsidP="008352D9">
      <w:pPr>
        <w:rPr>
          <w:rFonts w:ascii="Arial Narrow" w:hAnsi="Arial Narrow"/>
          <w:b/>
          <w:sz w:val="20"/>
          <w:szCs w:val="20"/>
        </w:rPr>
      </w:pPr>
      <w:r w:rsidRPr="0042276E">
        <w:rPr>
          <w:rFonts w:ascii="Arial Narrow" w:hAnsi="Arial Narrow"/>
          <w:b/>
          <w:sz w:val="20"/>
          <w:szCs w:val="20"/>
        </w:rPr>
        <w:t>G</w:t>
      </w:r>
      <w:r w:rsidR="008352D9" w:rsidRPr="0042276E">
        <w:rPr>
          <w:rFonts w:ascii="Arial Narrow" w:hAnsi="Arial Narrow"/>
          <w:b/>
          <w:sz w:val="20"/>
          <w:szCs w:val="20"/>
        </w:rPr>
        <w:t xml:space="preserve">raf </w:t>
      </w:r>
      <w:r w:rsidR="002A5885" w:rsidRPr="0042276E">
        <w:rPr>
          <w:rFonts w:ascii="Arial Narrow" w:hAnsi="Arial Narrow"/>
          <w:b/>
          <w:sz w:val="20"/>
          <w:szCs w:val="20"/>
        </w:rPr>
        <w:t>1.</w:t>
      </w:r>
      <w:r w:rsidR="00CF6385" w:rsidRPr="0042276E">
        <w:rPr>
          <w:rFonts w:ascii="Arial Narrow" w:hAnsi="Arial Narrow"/>
          <w:b/>
          <w:sz w:val="20"/>
          <w:szCs w:val="20"/>
        </w:rPr>
        <w:t>8</w:t>
      </w:r>
      <w:r w:rsidR="00191622" w:rsidRPr="0042276E">
        <w:rPr>
          <w:rFonts w:ascii="Arial Narrow" w:hAnsi="Arial Narrow"/>
          <w:b/>
          <w:sz w:val="20"/>
          <w:szCs w:val="20"/>
        </w:rPr>
        <w:t xml:space="preserve"> </w:t>
      </w:r>
      <w:r w:rsidR="008352D9" w:rsidRPr="0042276E">
        <w:rPr>
          <w:rFonts w:ascii="Arial Narrow" w:hAnsi="Arial Narrow"/>
          <w:b/>
          <w:sz w:val="20"/>
          <w:szCs w:val="20"/>
        </w:rPr>
        <w:t xml:space="preserve"> Príjmy a výdavky v SR na sociálnu ochranu, </w:t>
      </w:r>
      <w:r w:rsidR="004B0E41" w:rsidRPr="0042276E">
        <w:rPr>
          <w:rFonts w:ascii="Arial Narrow" w:hAnsi="Arial Narrow"/>
          <w:b/>
          <w:sz w:val="20"/>
          <w:szCs w:val="20"/>
        </w:rPr>
        <w:t>1998</w:t>
      </w:r>
      <w:r w:rsidR="008352D9" w:rsidRPr="0042276E">
        <w:rPr>
          <w:rFonts w:ascii="Arial Narrow" w:hAnsi="Arial Narrow"/>
          <w:b/>
          <w:sz w:val="20"/>
          <w:szCs w:val="20"/>
        </w:rPr>
        <w:t xml:space="preserve"> </w:t>
      </w:r>
      <w:r w:rsidR="0042276E" w:rsidRPr="0042276E">
        <w:rPr>
          <w:rFonts w:ascii="Arial Narrow" w:hAnsi="Arial Narrow"/>
          <w:b/>
          <w:sz w:val="20"/>
          <w:szCs w:val="20"/>
        </w:rPr>
        <w:t>–</w:t>
      </w:r>
      <w:r w:rsidR="008352D9" w:rsidRPr="0042276E">
        <w:rPr>
          <w:rFonts w:ascii="Arial Narrow" w:hAnsi="Arial Narrow"/>
          <w:b/>
          <w:sz w:val="20"/>
          <w:szCs w:val="20"/>
        </w:rPr>
        <w:t xml:space="preserve"> 201</w:t>
      </w:r>
      <w:r w:rsidR="007A49B2" w:rsidRPr="0042276E">
        <w:rPr>
          <w:rFonts w:ascii="Arial Narrow" w:hAnsi="Arial Narrow"/>
          <w:b/>
          <w:sz w:val="20"/>
          <w:szCs w:val="20"/>
        </w:rPr>
        <w:t>9</w:t>
      </w:r>
    </w:p>
    <w:p w:rsidR="0042276E" w:rsidRPr="0042276E" w:rsidRDefault="0042276E" w:rsidP="0042276E">
      <w:pPr>
        <w:ind w:firstLine="708"/>
        <w:rPr>
          <w:rFonts w:ascii="Arial Narrow" w:hAnsi="Arial Narrow"/>
          <w:b/>
          <w:sz w:val="10"/>
          <w:szCs w:val="10"/>
        </w:rPr>
      </w:pPr>
    </w:p>
    <w:p w:rsidR="00E12FE6" w:rsidRDefault="00D74A81" w:rsidP="008352D9">
      <w:pPr>
        <w:rPr>
          <w:rFonts w:ascii="Arial Narrow" w:hAnsi="Arial Narrow"/>
          <w:b/>
          <w:sz w:val="20"/>
          <w:szCs w:val="20"/>
        </w:rPr>
      </w:pPr>
      <w:r>
        <w:rPr>
          <w:noProof/>
          <w:lang w:eastAsia="sk-SK"/>
        </w:rPr>
        <w:drawing>
          <wp:inline distT="0" distB="0" distL="0" distR="0" wp14:anchorId="0628506F" wp14:editId="07A5AE96">
            <wp:extent cx="5409525" cy="2160000"/>
            <wp:effectExtent l="0" t="0" r="1270" b="12065"/>
            <wp:docPr id="21" name="Graf 21">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2276E" w:rsidRPr="0042276E" w:rsidRDefault="0042276E" w:rsidP="0042276E">
      <w:pPr>
        <w:rPr>
          <w:rFonts w:ascii="Arial Narrow" w:hAnsi="Arial Narrow"/>
          <w:i/>
          <w:sz w:val="10"/>
          <w:szCs w:val="10"/>
        </w:rPr>
      </w:pPr>
    </w:p>
    <w:p w:rsidR="00787D15" w:rsidRPr="00E12FE6" w:rsidRDefault="00787D15" w:rsidP="0042276E">
      <w:pPr>
        <w:rPr>
          <w:rFonts w:ascii="Arial Narrow" w:hAnsi="Arial Narrow" w:cs="Arial"/>
          <w:sz w:val="20"/>
          <w:szCs w:val="20"/>
        </w:rPr>
      </w:pPr>
      <w:r w:rsidRPr="00787D15">
        <w:rPr>
          <w:rFonts w:ascii="Arial Narrow" w:hAnsi="Arial Narrow"/>
          <w:i/>
          <w:sz w:val="16"/>
          <w:szCs w:val="16"/>
        </w:rPr>
        <w:t xml:space="preserve">Zdroj: ŠÚ SR </w:t>
      </w:r>
      <w:r w:rsidR="007A34F5">
        <w:rPr>
          <w:rFonts w:ascii="Arial Narrow" w:hAnsi="Arial Narrow"/>
          <w:i/>
          <w:sz w:val="16"/>
          <w:szCs w:val="16"/>
        </w:rPr>
        <w:t>-</w:t>
      </w:r>
      <w:r w:rsidRPr="00787D15">
        <w:rPr>
          <w:rFonts w:ascii="Arial Narrow" w:hAnsi="Arial Narrow"/>
          <w:i/>
          <w:sz w:val="16"/>
          <w:szCs w:val="16"/>
        </w:rPr>
        <w:t xml:space="preserve"> ESSPROS</w:t>
      </w:r>
    </w:p>
    <w:p w:rsidR="00941B46" w:rsidRDefault="00C7749A" w:rsidP="003338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Arial"/>
          <w:sz w:val="20"/>
          <w:szCs w:val="20"/>
        </w:rPr>
      </w:pPr>
      <w:r>
        <w:rPr>
          <w:rFonts w:ascii="Arial Narrow" w:hAnsi="Arial Narrow" w:cs="Courier New"/>
          <w:sz w:val="20"/>
          <w:szCs w:val="20"/>
          <w:lang w:eastAsia="sk-SK"/>
        </w:rPr>
        <w:tab/>
      </w:r>
    </w:p>
    <w:p w:rsidR="008352D9" w:rsidRDefault="008352D9" w:rsidP="00E12FE6">
      <w:pPr>
        <w:jc w:val="both"/>
        <w:rPr>
          <w:rFonts w:ascii="Arial Narrow" w:hAnsi="Arial Narrow" w:cs="Arial"/>
          <w:sz w:val="20"/>
          <w:szCs w:val="20"/>
        </w:rPr>
      </w:pPr>
    </w:p>
    <w:p w:rsidR="00D203EA" w:rsidRPr="00F46505" w:rsidRDefault="00D203EA" w:rsidP="00D203EA">
      <w:pPr>
        <w:rPr>
          <w:rFonts w:ascii="Arial" w:hAnsi="Arial" w:cs="Arial"/>
          <w:bCs/>
          <w:sz w:val="20"/>
          <w:szCs w:val="20"/>
        </w:rPr>
        <w:sectPr w:rsidR="00D203EA" w:rsidRPr="00F46505" w:rsidSect="0050625F">
          <w:type w:val="continuous"/>
          <w:pgSz w:w="11906" w:h="16838"/>
          <w:pgMar w:top="1418" w:right="1418" w:bottom="964" w:left="1418" w:header="720" w:footer="720" w:gutter="0"/>
          <w:cols w:space="282"/>
          <w:docGrid w:linePitch="360"/>
        </w:sectPr>
      </w:pPr>
    </w:p>
    <w:p w:rsidR="00623C71" w:rsidRPr="0042276E" w:rsidRDefault="002A5885" w:rsidP="00433CA1">
      <w:pPr>
        <w:pStyle w:val="Nadpis6"/>
        <w:jc w:val="left"/>
        <w:rPr>
          <w:rFonts w:ascii="Arial Narrow" w:hAnsi="Arial Narrow"/>
          <w:sz w:val="24"/>
        </w:rPr>
      </w:pPr>
      <w:r w:rsidRPr="0042276E">
        <w:rPr>
          <w:rFonts w:ascii="Arial Narrow" w:hAnsi="Arial Narrow"/>
          <w:sz w:val="24"/>
        </w:rPr>
        <w:lastRenderedPageBreak/>
        <w:t>1.</w:t>
      </w:r>
      <w:r w:rsidR="00A64EDF" w:rsidRPr="0042276E">
        <w:rPr>
          <w:rFonts w:ascii="Arial Narrow" w:hAnsi="Arial Narrow"/>
          <w:sz w:val="24"/>
        </w:rPr>
        <w:t>2.1</w:t>
      </w:r>
      <w:r w:rsidR="00F96D82" w:rsidRPr="0042276E">
        <w:rPr>
          <w:rFonts w:ascii="Arial Narrow" w:hAnsi="Arial Narrow"/>
          <w:sz w:val="24"/>
        </w:rPr>
        <w:t xml:space="preserve"> </w:t>
      </w:r>
      <w:r w:rsidR="00322191" w:rsidRPr="0042276E">
        <w:rPr>
          <w:rFonts w:ascii="Arial Narrow" w:hAnsi="Arial Narrow"/>
          <w:sz w:val="24"/>
        </w:rPr>
        <w:t xml:space="preserve"> </w:t>
      </w:r>
      <w:r w:rsidR="00623C71" w:rsidRPr="0042276E">
        <w:rPr>
          <w:rFonts w:ascii="Arial Narrow" w:hAnsi="Arial Narrow"/>
          <w:sz w:val="24"/>
        </w:rPr>
        <w:t>Výdavky na účel choroba/zdravotná starostlivosť</w:t>
      </w:r>
      <w:r w:rsidR="00C121C5" w:rsidRPr="0042276E">
        <w:rPr>
          <w:rFonts w:ascii="Arial Narrow" w:hAnsi="Arial Narrow"/>
          <w:sz w:val="24"/>
        </w:rPr>
        <w:t xml:space="preserve"> v SR</w:t>
      </w:r>
      <w:r w:rsidR="0095609A" w:rsidRPr="0042276E">
        <w:rPr>
          <w:rFonts w:ascii="Arial Narrow" w:hAnsi="Arial Narrow"/>
          <w:sz w:val="24"/>
        </w:rPr>
        <w:t xml:space="preserve"> </w:t>
      </w:r>
      <w:r w:rsidR="0095609A" w:rsidRPr="0042276E">
        <w:rPr>
          <w:rFonts w:ascii="Arial Narrow" w:hAnsi="Arial Narrow"/>
          <w:b w:val="0"/>
          <w:sz w:val="24"/>
        </w:rPr>
        <w:t>(Programy sociál</w:t>
      </w:r>
      <w:r w:rsidR="0042276E">
        <w:rPr>
          <w:rFonts w:ascii="Arial Narrow" w:hAnsi="Arial Narrow"/>
          <w:b w:val="0"/>
          <w:sz w:val="24"/>
        </w:rPr>
        <w:t xml:space="preserve">nej ochrany č.: 1, 4, 7, 8, 10, </w:t>
      </w:r>
      <w:r w:rsidR="0095609A" w:rsidRPr="0042276E">
        <w:rPr>
          <w:rFonts w:ascii="Arial Narrow" w:hAnsi="Arial Narrow"/>
          <w:b w:val="0"/>
          <w:sz w:val="24"/>
        </w:rPr>
        <w:t>12, 13)</w:t>
      </w:r>
    </w:p>
    <w:p w:rsidR="00623C71" w:rsidRPr="00F5524A" w:rsidRDefault="00623C71" w:rsidP="00623C71">
      <w:pPr>
        <w:rPr>
          <w:rFonts w:ascii="Arial Narrow" w:hAnsi="Arial Narrow"/>
          <w:sz w:val="20"/>
          <w:szCs w:val="20"/>
        </w:rPr>
      </w:pPr>
    </w:p>
    <w:p w:rsidR="009C62F3" w:rsidRPr="0042276E" w:rsidRDefault="009C62F3" w:rsidP="00F5524A">
      <w:pPr>
        <w:jc w:val="both"/>
        <w:rPr>
          <w:rFonts w:ascii="Arial Narrow" w:hAnsi="Arial Narrow"/>
          <w:sz w:val="22"/>
          <w:szCs w:val="22"/>
        </w:rPr>
      </w:pPr>
      <w:r w:rsidRPr="0042276E">
        <w:rPr>
          <w:rFonts w:ascii="Arial Narrow" w:hAnsi="Arial Narrow"/>
          <w:sz w:val="22"/>
          <w:szCs w:val="22"/>
        </w:rPr>
        <w:t>Účel choroba/zdravotná starostlivosť pokrýva:</w:t>
      </w:r>
    </w:p>
    <w:p w:rsidR="009C62F3" w:rsidRPr="0042276E" w:rsidRDefault="009C62F3" w:rsidP="0020351B">
      <w:pPr>
        <w:pStyle w:val="Odsekzoznamu"/>
        <w:numPr>
          <w:ilvl w:val="0"/>
          <w:numId w:val="5"/>
        </w:numPr>
        <w:jc w:val="both"/>
        <w:rPr>
          <w:rFonts w:ascii="Arial Narrow" w:hAnsi="Arial Narrow"/>
          <w:sz w:val="22"/>
          <w:szCs w:val="22"/>
        </w:rPr>
      </w:pPr>
      <w:r w:rsidRPr="0042276E">
        <w:rPr>
          <w:rFonts w:ascii="Arial Narrow" w:hAnsi="Arial Narrow"/>
          <w:sz w:val="22"/>
          <w:szCs w:val="22"/>
          <w:u w:val="single"/>
        </w:rPr>
        <w:t>peňažné dávky</w:t>
      </w:r>
      <w:r w:rsidRPr="0042276E">
        <w:rPr>
          <w:rFonts w:ascii="Arial Narrow" w:hAnsi="Arial Narrow"/>
          <w:sz w:val="22"/>
          <w:szCs w:val="22"/>
        </w:rPr>
        <w:t>, ktoré v plnej výške alebo čiastočne nahradzujú stratu zárobkov počas dočasnej neschopnosti pracovať vzhľadom k nemoci alebo zraneniu</w:t>
      </w:r>
      <w:r w:rsidR="004001EE" w:rsidRPr="0042276E">
        <w:rPr>
          <w:rFonts w:ascii="Arial Narrow" w:hAnsi="Arial Narrow"/>
          <w:sz w:val="22"/>
          <w:szCs w:val="22"/>
        </w:rPr>
        <w:t xml:space="preserve"> (</w:t>
      </w:r>
      <w:r w:rsidR="009578ED" w:rsidRPr="0042276E">
        <w:rPr>
          <w:rFonts w:ascii="Arial Narrow" w:hAnsi="Arial Narrow"/>
          <w:sz w:val="22"/>
          <w:szCs w:val="22"/>
        </w:rPr>
        <w:t xml:space="preserve">SR: </w:t>
      </w:r>
      <w:r w:rsidR="004001EE" w:rsidRPr="0042276E">
        <w:rPr>
          <w:rFonts w:ascii="Arial Narrow" w:hAnsi="Arial Narrow"/>
          <w:sz w:val="22"/>
          <w:szCs w:val="22"/>
        </w:rPr>
        <w:t>dávky vyplácané zamestnávateľom a z nemocenského, resp. úrazového poistenia)</w:t>
      </w:r>
      <w:r w:rsidRPr="0042276E">
        <w:rPr>
          <w:rFonts w:ascii="Arial Narrow" w:hAnsi="Arial Narrow"/>
          <w:sz w:val="22"/>
          <w:szCs w:val="22"/>
        </w:rPr>
        <w:t>,</w:t>
      </w:r>
    </w:p>
    <w:p w:rsidR="00CA6F49" w:rsidRPr="0042276E" w:rsidRDefault="009C62F3" w:rsidP="0020351B">
      <w:pPr>
        <w:pStyle w:val="Odsekzoznamu"/>
        <w:numPr>
          <w:ilvl w:val="0"/>
          <w:numId w:val="5"/>
        </w:numPr>
        <w:jc w:val="both"/>
        <w:rPr>
          <w:rFonts w:ascii="Arial Narrow" w:hAnsi="Arial Narrow"/>
          <w:sz w:val="22"/>
          <w:szCs w:val="22"/>
        </w:rPr>
      </w:pPr>
      <w:r w:rsidRPr="0042276E">
        <w:rPr>
          <w:rFonts w:ascii="Arial Narrow" w:hAnsi="Arial Narrow"/>
          <w:sz w:val="22"/>
          <w:szCs w:val="22"/>
          <w:u w:val="single"/>
        </w:rPr>
        <w:t>zdravotnú starostlivosť</w:t>
      </w:r>
      <w:r w:rsidRPr="0042276E">
        <w:rPr>
          <w:rFonts w:ascii="Arial Narrow" w:hAnsi="Arial Narrow"/>
          <w:sz w:val="22"/>
          <w:szCs w:val="22"/>
        </w:rPr>
        <w:t xml:space="preserve"> poskytovanú v rámci sociálnej ochrany pre udržanie, obnovu ale</w:t>
      </w:r>
      <w:r w:rsidR="00C121C5" w:rsidRPr="0042276E">
        <w:rPr>
          <w:rFonts w:ascii="Arial Narrow" w:hAnsi="Arial Narrow"/>
          <w:sz w:val="22"/>
          <w:szCs w:val="22"/>
        </w:rPr>
        <w:t xml:space="preserve">bo zlepšenie zdravia chránených </w:t>
      </w:r>
      <w:r w:rsidRPr="0042276E">
        <w:rPr>
          <w:rFonts w:ascii="Arial Narrow" w:hAnsi="Arial Narrow"/>
          <w:sz w:val="22"/>
          <w:szCs w:val="22"/>
        </w:rPr>
        <w:t>osôb</w:t>
      </w:r>
      <w:r w:rsidR="00C121C5" w:rsidRPr="0042276E">
        <w:rPr>
          <w:rFonts w:ascii="Arial Narrow" w:hAnsi="Arial Narrow"/>
          <w:sz w:val="22"/>
          <w:szCs w:val="22"/>
        </w:rPr>
        <w:t xml:space="preserve"> financovanú prevažne zdravotnými poisťovňami.</w:t>
      </w:r>
    </w:p>
    <w:p w:rsidR="004001EE" w:rsidRPr="0042276E" w:rsidRDefault="004001EE" w:rsidP="004001EE">
      <w:pPr>
        <w:jc w:val="both"/>
        <w:rPr>
          <w:rFonts w:ascii="Arial Narrow" w:hAnsi="Arial Narrow"/>
          <w:sz w:val="22"/>
          <w:szCs w:val="22"/>
        </w:rPr>
      </w:pPr>
    </w:p>
    <w:p w:rsidR="004001EE" w:rsidRPr="0042276E" w:rsidRDefault="004952A2" w:rsidP="00F5524A">
      <w:pPr>
        <w:jc w:val="both"/>
        <w:rPr>
          <w:rFonts w:ascii="Arial Narrow" w:hAnsi="Arial Narrow"/>
          <w:sz w:val="22"/>
          <w:szCs w:val="22"/>
        </w:rPr>
      </w:pPr>
      <w:r w:rsidRPr="0042276E">
        <w:rPr>
          <w:rFonts w:ascii="Arial Narrow" w:hAnsi="Arial Narrow"/>
          <w:b/>
          <w:sz w:val="22"/>
          <w:szCs w:val="22"/>
        </w:rPr>
        <w:t>Platená n</w:t>
      </w:r>
      <w:r w:rsidR="004001EE" w:rsidRPr="0042276E">
        <w:rPr>
          <w:rFonts w:ascii="Arial Narrow" w:hAnsi="Arial Narrow"/>
          <w:b/>
          <w:sz w:val="22"/>
          <w:szCs w:val="22"/>
        </w:rPr>
        <w:t>emocenská</w:t>
      </w:r>
      <w:r w:rsidR="004001EE" w:rsidRPr="0042276E">
        <w:rPr>
          <w:rFonts w:ascii="Arial Narrow" w:hAnsi="Arial Narrow"/>
          <w:sz w:val="22"/>
          <w:szCs w:val="22"/>
        </w:rPr>
        <w:t xml:space="preserve"> sú dávky vyplácané zamestnávateľom a z nemocenského, resp. úrazového poistenia. Aj platená dovolenka v prípade nemoci alebo úrazu odkázaného člena rodiny (väčšinou nezaopatrené dieťa) je zaradená pod túto položku.</w:t>
      </w:r>
    </w:p>
    <w:p w:rsidR="00F5524A" w:rsidRPr="0042276E" w:rsidRDefault="00F5524A" w:rsidP="00F5524A">
      <w:pPr>
        <w:jc w:val="both"/>
        <w:rPr>
          <w:rFonts w:ascii="Arial Narrow" w:hAnsi="Arial Narrow"/>
          <w:sz w:val="22"/>
          <w:szCs w:val="22"/>
        </w:rPr>
      </w:pPr>
    </w:p>
    <w:p w:rsidR="004952A2" w:rsidRPr="0042276E" w:rsidRDefault="004952A2" w:rsidP="00F5524A">
      <w:pPr>
        <w:jc w:val="both"/>
        <w:rPr>
          <w:rFonts w:ascii="Arial Narrow" w:hAnsi="Arial Narrow"/>
          <w:sz w:val="22"/>
          <w:szCs w:val="22"/>
        </w:rPr>
      </w:pPr>
      <w:r w:rsidRPr="0042276E">
        <w:rPr>
          <w:rFonts w:ascii="Arial Narrow" w:hAnsi="Arial Narrow"/>
          <w:b/>
          <w:sz w:val="22"/>
          <w:szCs w:val="22"/>
        </w:rPr>
        <w:t>Iné peňažné dávky</w:t>
      </w:r>
      <w:r w:rsidRPr="0042276E">
        <w:rPr>
          <w:rFonts w:ascii="Arial Narrow" w:hAnsi="Arial Narrow"/>
          <w:sz w:val="22"/>
          <w:szCs w:val="22"/>
        </w:rPr>
        <w:t>: rôzne platby chráneným osobám súvisiace s nemocou alebo úrazom.</w:t>
      </w:r>
    </w:p>
    <w:p w:rsidR="00F5524A" w:rsidRPr="0042276E" w:rsidRDefault="00F5524A" w:rsidP="00F5524A">
      <w:pPr>
        <w:jc w:val="both"/>
        <w:rPr>
          <w:rFonts w:ascii="Arial Narrow" w:hAnsi="Arial Narrow"/>
          <w:sz w:val="22"/>
          <w:szCs w:val="22"/>
        </w:rPr>
      </w:pPr>
    </w:p>
    <w:p w:rsidR="00907A17" w:rsidRPr="0042276E" w:rsidRDefault="009C62F3" w:rsidP="00F5524A">
      <w:pPr>
        <w:jc w:val="both"/>
        <w:rPr>
          <w:rFonts w:ascii="Arial Narrow" w:hAnsi="Arial Narrow"/>
          <w:sz w:val="22"/>
          <w:szCs w:val="22"/>
        </w:rPr>
      </w:pPr>
      <w:r w:rsidRPr="0042276E">
        <w:rPr>
          <w:rFonts w:ascii="Arial Narrow" w:hAnsi="Arial Narrow"/>
          <w:b/>
          <w:sz w:val="22"/>
          <w:szCs w:val="22"/>
        </w:rPr>
        <w:t>Lekárska starostlivosť</w:t>
      </w:r>
      <w:r w:rsidRPr="0042276E">
        <w:rPr>
          <w:rFonts w:ascii="Arial Narrow" w:hAnsi="Arial Narrow"/>
          <w:sz w:val="22"/>
          <w:szCs w:val="22"/>
        </w:rPr>
        <w:t xml:space="preserve"> osobitne pokrýva tovary a služby používané pri liečbe, prevencii alebo rehabilitácii:</w:t>
      </w:r>
    </w:p>
    <w:p w:rsidR="004952A2" w:rsidRPr="0042276E" w:rsidRDefault="004952A2" w:rsidP="00F5524A">
      <w:pPr>
        <w:jc w:val="both"/>
        <w:rPr>
          <w:rFonts w:ascii="Arial Narrow" w:hAnsi="Arial Narrow"/>
          <w:sz w:val="22"/>
          <w:szCs w:val="22"/>
        </w:rPr>
      </w:pPr>
      <w:r w:rsidRPr="0042276E">
        <w:rPr>
          <w:rFonts w:ascii="Arial Narrow" w:hAnsi="Arial Narrow"/>
          <w:b/>
          <w:sz w:val="22"/>
          <w:szCs w:val="22"/>
        </w:rPr>
        <w:lastRenderedPageBreak/>
        <w:t>Zdravotná starostlivosť o hospitalizovaného pacienta</w:t>
      </w:r>
      <w:r w:rsidRPr="0042276E">
        <w:rPr>
          <w:rFonts w:ascii="Arial Narrow" w:hAnsi="Arial Narrow"/>
          <w:sz w:val="22"/>
          <w:szCs w:val="22"/>
        </w:rPr>
        <w:t xml:space="preserve">: lekárska starostlivosť poskytovaná chráneným osobám počas pobytu v nemocnici, na klinike, v sanatóriu, zariadení poskytujúcom termálnu terapiu alebo v podobnom lekárskom zariadení, vrátane nákladov na stravu a ubytovanie. Za normálnych okolností musí pacient stráviť v zariadení najmenej jednu noc. </w:t>
      </w:r>
    </w:p>
    <w:p w:rsidR="004952A2" w:rsidRPr="0042276E" w:rsidRDefault="004952A2" w:rsidP="00F5524A">
      <w:pPr>
        <w:jc w:val="both"/>
        <w:rPr>
          <w:rFonts w:ascii="Arial Narrow" w:hAnsi="Arial Narrow"/>
          <w:sz w:val="22"/>
          <w:szCs w:val="22"/>
        </w:rPr>
      </w:pPr>
      <w:r w:rsidRPr="0042276E">
        <w:rPr>
          <w:rFonts w:ascii="Arial Narrow" w:hAnsi="Arial Narrow"/>
          <w:b/>
          <w:sz w:val="22"/>
          <w:szCs w:val="22"/>
        </w:rPr>
        <w:t>Ambulantná zdravotná starostlivosť</w:t>
      </w:r>
      <w:r w:rsidRPr="0042276E">
        <w:rPr>
          <w:rFonts w:ascii="Arial Narrow" w:hAnsi="Arial Narrow"/>
          <w:sz w:val="22"/>
          <w:szCs w:val="22"/>
        </w:rPr>
        <w:t>: lekárska starostlivosť poskytovaná chráneným osobám v ich domovoch (vrátane domovov dôchodcov), v lekárskych ordináciách alebo v ambulantných oddeleniach nemocníc alebo kliník.</w:t>
      </w:r>
    </w:p>
    <w:p w:rsidR="00F5524A" w:rsidRPr="0042276E" w:rsidRDefault="00F5524A" w:rsidP="00F5524A">
      <w:pPr>
        <w:jc w:val="both"/>
        <w:rPr>
          <w:rFonts w:ascii="Arial Narrow" w:hAnsi="Arial Narrow"/>
          <w:sz w:val="22"/>
          <w:szCs w:val="22"/>
        </w:rPr>
      </w:pPr>
    </w:p>
    <w:p w:rsidR="00547D35" w:rsidRPr="0042276E" w:rsidRDefault="00547D35" w:rsidP="00F5524A">
      <w:pPr>
        <w:jc w:val="both"/>
        <w:rPr>
          <w:rFonts w:ascii="Arial Narrow" w:hAnsi="Arial Narrow"/>
          <w:sz w:val="22"/>
          <w:szCs w:val="22"/>
        </w:rPr>
      </w:pPr>
      <w:r w:rsidRPr="0042276E">
        <w:rPr>
          <w:rFonts w:ascii="Arial Narrow" w:hAnsi="Arial Narrow"/>
          <w:b/>
          <w:sz w:val="22"/>
          <w:szCs w:val="22"/>
        </w:rPr>
        <w:t>Farmaceutické výrobky</w:t>
      </w:r>
      <w:r w:rsidRPr="0042276E">
        <w:rPr>
          <w:rFonts w:ascii="Arial Narrow" w:hAnsi="Arial Narrow"/>
          <w:sz w:val="22"/>
          <w:szCs w:val="22"/>
        </w:rPr>
        <w:t xml:space="preserve">: </w:t>
      </w:r>
      <w:proofErr w:type="spellStart"/>
      <w:r w:rsidRPr="0042276E">
        <w:rPr>
          <w:rFonts w:ascii="Arial Narrow" w:hAnsi="Arial Narrow"/>
          <w:sz w:val="22"/>
          <w:szCs w:val="22"/>
        </w:rPr>
        <w:t>podkategória</w:t>
      </w:r>
      <w:proofErr w:type="spellEnd"/>
      <w:r w:rsidRPr="0042276E">
        <w:rPr>
          <w:rFonts w:ascii="Arial Narrow" w:hAnsi="Arial Narrow"/>
          <w:sz w:val="22"/>
          <w:szCs w:val="22"/>
        </w:rPr>
        <w:t xml:space="preserve"> ambulantnej starostlivosti, obsahuje všetky predpísané, predávané alebo priamo poskytované farmaceutické výrobky pre lekársku starostlivosť</w:t>
      </w:r>
      <w:r w:rsidRPr="0042276E">
        <w:rPr>
          <w:rFonts w:ascii="Arial Narrow" w:hAnsi="Arial Narrow"/>
          <w:sz w:val="22"/>
          <w:szCs w:val="22"/>
          <w:lang w:val="en-US"/>
        </w:rPr>
        <w:t>;</w:t>
      </w:r>
      <w:r w:rsidRPr="0042276E">
        <w:rPr>
          <w:rFonts w:ascii="Arial Narrow" w:hAnsi="Arial Narrow"/>
          <w:sz w:val="22"/>
          <w:szCs w:val="22"/>
        </w:rPr>
        <w:t xml:space="preserve"> pod tento pojem sú zahrnuté aj krv a</w:t>
      </w:r>
      <w:r w:rsidR="006747FA" w:rsidRPr="0042276E">
        <w:rPr>
          <w:rFonts w:ascii="Arial Narrow" w:hAnsi="Arial Narrow"/>
          <w:sz w:val="22"/>
          <w:szCs w:val="22"/>
        </w:rPr>
        <w:t> </w:t>
      </w:r>
      <w:r w:rsidRPr="0042276E">
        <w:rPr>
          <w:rFonts w:ascii="Arial Narrow" w:hAnsi="Arial Narrow"/>
          <w:sz w:val="22"/>
          <w:szCs w:val="22"/>
        </w:rPr>
        <w:t>plazma</w:t>
      </w:r>
      <w:r w:rsidR="006747FA" w:rsidRPr="0042276E">
        <w:rPr>
          <w:rFonts w:ascii="Arial Narrow" w:hAnsi="Arial Narrow"/>
          <w:sz w:val="22"/>
          <w:szCs w:val="22"/>
        </w:rPr>
        <w:t>.</w:t>
      </w:r>
    </w:p>
    <w:p w:rsidR="00F5524A" w:rsidRPr="0042276E" w:rsidRDefault="00F5524A" w:rsidP="00F5524A">
      <w:pPr>
        <w:jc w:val="both"/>
        <w:rPr>
          <w:rFonts w:ascii="Arial Narrow" w:hAnsi="Arial Narrow"/>
          <w:sz w:val="22"/>
          <w:szCs w:val="22"/>
        </w:rPr>
      </w:pPr>
    </w:p>
    <w:p w:rsidR="00547D35" w:rsidRPr="0042276E" w:rsidRDefault="00547D35" w:rsidP="00F5524A">
      <w:pPr>
        <w:jc w:val="both"/>
        <w:rPr>
          <w:rFonts w:ascii="Arial Narrow" w:hAnsi="Arial Narrow"/>
          <w:sz w:val="22"/>
          <w:szCs w:val="22"/>
        </w:rPr>
      </w:pPr>
      <w:r w:rsidRPr="0042276E">
        <w:rPr>
          <w:rFonts w:ascii="Arial Narrow" w:hAnsi="Arial Narrow"/>
          <w:b/>
          <w:sz w:val="22"/>
          <w:szCs w:val="22"/>
        </w:rPr>
        <w:t xml:space="preserve">Iné </w:t>
      </w:r>
      <w:r w:rsidR="00BB272E" w:rsidRPr="0042276E">
        <w:rPr>
          <w:rFonts w:ascii="Arial Narrow" w:hAnsi="Arial Narrow"/>
          <w:b/>
          <w:sz w:val="22"/>
          <w:szCs w:val="22"/>
        </w:rPr>
        <w:t xml:space="preserve">vecné </w:t>
      </w:r>
      <w:r w:rsidRPr="0042276E">
        <w:rPr>
          <w:rFonts w:ascii="Arial Narrow" w:hAnsi="Arial Narrow"/>
          <w:b/>
          <w:sz w:val="22"/>
          <w:szCs w:val="22"/>
        </w:rPr>
        <w:t>dávky</w:t>
      </w:r>
      <w:r w:rsidRPr="0042276E">
        <w:rPr>
          <w:rFonts w:ascii="Arial Narrow" w:hAnsi="Arial Narrow"/>
          <w:sz w:val="22"/>
          <w:szCs w:val="22"/>
          <w:u w:val="single"/>
        </w:rPr>
        <w:t>:</w:t>
      </w:r>
      <w:r w:rsidRPr="0042276E">
        <w:rPr>
          <w:rFonts w:ascii="Arial Narrow" w:hAnsi="Arial Narrow"/>
          <w:sz w:val="22"/>
          <w:szCs w:val="22"/>
        </w:rPr>
        <w:t xml:space="preserve"> iná než lekárska pomoc poskytovaná </w:t>
      </w:r>
      <w:r w:rsidR="00BB272E" w:rsidRPr="0042276E">
        <w:rPr>
          <w:rFonts w:ascii="Arial Narrow" w:hAnsi="Arial Narrow"/>
          <w:sz w:val="22"/>
          <w:szCs w:val="22"/>
        </w:rPr>
        <w:t>cho</w:t>
      </w:r>
      <w:r w:rsidR="0095609A" w:rsidRPr="0042276E">
        <w:rPr>
          <w:rFonts w:ascii="Arial Narrow" w:hAnsi="Arial Narrow"/>
          <w:sz w:val="22"/>
          <w:szCs w:val="22"/>
        </w:rPr>
        <w:t>r</w:t>
      </w:r>
      <w:r w:rsidRPr="0042276E">
        <w:rPr>
          <w:rFonts w:ascii="Arial Narrow" w:hAnsi="Arial Narrow"/>
          <w:sz w:val="22"/>
          <w:szCs w:val="22"/>
        </w:rPr>
        <w:t>ým alebo zraneným ľuďom na pomoc pri denných úkonoch, ako je pomoc v domácnosti alebo v dopravných prostriedkoch.</w:t>
      </w:r>
    </w:p>
    <w:p w:rsidR="00547D35" w:rsidRPr="0042276E" w:rsidRDefault="00547D35" w:rsidP="009C62F3">
      <w:pPr>
        <w:jc w:val="both"/>
        <w:rPr>
          <w:rFonts w:ascii="Arial Narrow" w:hAnsi="Arial Narrow"/>
          <w:sz w:val="22"/>
          <w:szCs w:val="22"/>
        </w:rPr>
      </w:pPr>
    </w:p>
    <w:p w:rsidR="004F41AD" w:rsidRDefault="009578ED" w:rsidP="00E44DDA">
      <w:pPr>
        <w:jc w:val="both"/>
        <w:rPr>
          <w:rFonts w:ascii="Arial Narrow" w:hAnsi="Arial Narrow"/>
          <w:sz w:val="20"/>
          <w:szCs w:val="20"/>
        </w:rPr>
      </w:pPr>
      <w:r w:rsidRPr="0042276E">
        <w:rPr>
          <w:rFonts w:ascii="Arial Narrow" w:hAnsi="Arial Narrow"/>
          <w:sz w:val="22"/>
          <w:szCs w:val="22"/>
        </w:rPr>
        <w:t>Náklady na tovary alebo služby, ktoré musí plne hradiť pacient, nie sú zahrnuté do programu sociálnej ochrany</w:t>
      </w:r>
      <w:r w:rsidRPr="009578ED">
        <w:rPr>
          <w:rFonts w:ascii="Arial Narrow" w:hAnsi="Arial Narrow"/>
          <w:sz w:val="20"/>
          <w:szCs w:val="20"/>
        </w:rPr>
        <w:t>.</w:t>
      </w:r>
    </w:p>
    <w:p w:rsidR="004F41AD" w:rsidRPr="0042276E" w:rsidRDefault="004F41AD" w:rsidP="00623C71">
      <w:pPr>
        <w:pStyle w:val="Nadpis6"/>
        <w:jc w:val="left"/>
        <w:rPr>
          <w:rFonts w:ascii="Arial Narrow" w:hAnsi="Arial Narrow"/>
          <w:b w:val="0"/>
          <w:sz w:val="22"/>
          <w:szCs w:val="22"/>
        </w:rPr>
      </w:pPr>
    </w:p>
    <w:p w:rsidR="00B863E9" w:rsidRDefault="00240206" w:rsidP="005720C5">
      <w:pPr>
        <w:pStyle w:val="Nadpis6"/>
        <w:spacing w:line="360" w:lineRule="auto"/>
        <w:jc w:val="left"/>
        <w:rPr>
          <w:rFonts w:ascii="Arial Narrow" w:hAnsi="Arial Narrow"/>
          <w:sz w:val="20"/>
          <w:szCs w:val="20"/>
        </w:rPr>
      </w:pPr>
      <w:r w:rsidRPr="0042276E">
        <w:rPr>
          <w:rFonts w:ascii="Arial Narrow" w:hAnsi="Arial Narrow"/>
          <w:sz w:val="20"/>
          <w:szCs w:val="20"/>
        </w:rPr>
        <w:t xml:space="preserve">Tab. </w:t>
      </w:r>
      <w:r w:rsidR="002A5885" w:rsidRPr="0042276E">
        <w:rPr>
          <w:rFonts w:ascii="Arial Narrow" w:hAnsi="Arial Narrow"/>
          <w:sz w:val="20"/>
          <w:szCs w:val="20"/>
        </w:rPr>
        <w:t>1.</w:t>
      </w:r>
      <w:r w:rsidR="00F5524A" w:rsidRPr="0042276E">
        <w:rPr>
          <w:rFonts w:ascii="Arial Narrow" w:hAnsi="Arial Narrow"/>
          <w:sz w:val="20"/>
          <w:szCs w:val="20"/>
        </w:rPr>
        <w:t>5</w:t>
      </w:r>
      <w:r w:rsidR="0042276E" w:rsidRPr="0042276E">
        <w:rPr>
          <w:rFonts w:ascii="Arial Narrow" w:hAnsi="Arial Narrow"/>
          <w:sz w:val="20"/>
          <w:szCs w:val="20"/>
        </w:rPr>
        <w:t xml:space="preserve"> </w:t>
      </w:r>
      <w:r w:rsidRPr="0042276E">
        <w:rPr>
          <w:rFonts w:ascii="Arial Narrow" w:hAnsi="Arial Narrow"/>
          <w:sz w:val="20"/>
          <w:szCs w:val="20"/>
        </w:rPr>
        <w:t>Výdavky na sociálne dávky na účel choroba/zdravotná starostlivosť v</w:t>
      </w:r>
      <w:r w:rsidR="00AC0E48" w:rsidRPr="0042276E">
        <w:rPr>
          <w:rFonts w:ascii="Arial Narrow" w:hAnsi="Arial Narrow"/>
          <w:sz w:val="20"/>
          <w:szCs w:val="20"/>
        </w:rPr>
        <w:t> </w:t>
      </w:r>
      <w:r w:rsidRPr="0042276E">
        <w:rPr>
          <w:rFonts w:ascii="Arial Narrow" w:hAnsi="Arial Narrow"/>
          <w:sz w:val="20"/>
          <w:szCs w:val="20"/>
        </w:rPr>
        <w:t>SR</w:t>
      </w:r>
      <w:r w:rsidR="00AC0E48" w:rsidRPr="0042276E">
        <w:rPr>
          <w:rFonts w:ascii="Arial Narrow" w:hAnsi="Arial Narrow"/>
          <w:sz w:val="20"/>
          <w:szCs w:val="20"/>
        </w:rPr>
        <w:t>, 201</w:t>
      </w:r>
      <w:r w:rsidR="00423D41" w:rsidRPr="0042276E">
        <w:rPr>
          <w:rFonts w:ascii="Arial Narrow" w:hAnsi="Arial Narrow"/>
          <w:sz w:val="20"/>
          <w:szCs w:val="20"/>
        </w:rPr>
        <w:t>9</w:t>
      </w:r>
    </w:p>
    <w:p w:rsidR="005720C5" w:rsidRPr="005720C5" w:rsidRDefault="005720C5" w:rsidP="005720C5">
      <w:pPr>
        <w:rPr>
          <w:sz w:val="10"/>
          <w:szCs w:val="10"/>
        </w:rPr>
      </w:pPr>
    </w:p>
    <w:tbl>
      <w:tblPr>
        <w:tblW w:w="9072" w:type="dxa"/>
        <w:tblCellMar>
          <w:left w:w="70" w:type="dxa"/>
          <w:right w:w="70" w:type="dxa"/>
        </w:tblCellMar>
        <w:tblLook w:val="04A0" w:firstRow="1" w:lastRow="0" w:firstColumn="1" w:lastColumn="0" w:noHBand="0" w:noVBand="1"/>
      </w:tblPr>
      <w:tblGrid>
        <w:gridCol w:w="182"/>
        <w:gridCol w:w="182"/>
        <w:gridCol w:w="146"/>
        <w:gridCol w:w="146"/>
        <w:gridCol w:w="3023"/>
        <w:gridCol w:w="1141"/>
        <w:gridCol w:w="850"/>
        <w:gridCol w:w="993"/>
        <w:gridCol w:w="850"/>
        <w:gridCol w:w="709"/>
        <w:gridCol w:w="850"/>
      </w:tblGrid>
      <w:tr w:rsidR="00B863E9" w:rsidTr="00B863E9">
        <w:trPr>
          <w:trHeight w:val="510"/>
        </w:trPr>
        <w:tc>
          <w:tcPr>
            <w:tcW w:w="3679" w:type="dxa"/>
            <w:gridSpan w:val="5"/>
            <w:tcBorders>
              <w:top w:val="nil"/>
              <w:left w:val="nil"/>
              <w:bottom w:val="single" w:sz="4" w:space="0" w:color="FF0000"/>
              <w:right w:val="single" w:sz="4" w:space="0" w:color="FF0000"/>
            </w:tcBorders>
            <w:shd w:val="clear" w:color="000000" w:fill="A9D08E"/>
            <w:vAlign w:val="center"/>
            <w:hideMark/>
          </w:tcPr>
          <w:p w:rsidR="00B863E9" w:rsidRDefault="00B863E9">
            <w:pPr>
              <w:rPr>
                <w:rFonts w:ascii="Arial Narrow" w:hAnsi="Arial Narrow"/>
                <w:sz w:val="16"/>
                <w:szCs w:val="16"/>
                <w:lang w:eastAsia="sk-SK"/>
              </w:rPr>
            </w:pPr>
            <w:r>
              <w:rPr>
                <w:rFonts w:ascii="Arial Narrow" w:hAnsi="Arial Narrow"/>
                <w:sz w:val="16"/>
                <w:szCs w:val="16"/>
              </w:rPr>
              <w:t>Ukazovateľ</w:t>
            </w:r>
          </w:p>
        </w:tc>
        <w:tc>
          <w:tcPr>
            <w:tcW w:w="1141" w:type="dxa"/>
            <w:tcBorders>
              <w:top w:val="nil"/>
              <w:left w:val="nil"/>
              <w:bottom w:val="single" w:sz="4" w:space="0" w:color="FF0000"/>
              <w:right w:val="single" w:sz="4" w:space="0" w:color="FF0000"/>
            </w:tcBorders>
            <w:shd w:val="clear" w:color="000000" w:fill="A9D08E"/>
            <w:noWrap/>
            <w:vAlign w:val="center"/>
            <w:hideMark/>
          </w:tcPr>
          <w:p w:rsidR="00B863E9" w:rsidRDefault="00B863E9">
            <w:pPr>
              <w:jc w:val="center"/>
              <w:rPr>
                <w:rFonts w:ascii="Arial Narrow" w:hAnsi="Arial Narrow"/>
                <w:color w:val="000000"/>
                <w:sz w:val="16"/>
                <w:szCs w:val="16"/>
              </w:rPr>
            </w:pPr>
            <w:r>
              <w:rPr>
                <w:rFonts w:ascii="Arial Narrow" w:hAnsi="Arial Narrow"/>
                <w:color w:val="000000"/>
                <w:sz w:val="16"/>
                <w:szCs w:val="16"/>
              </w:rPr>
              <w:t>mil. EUR</w:t>
            </w:r>
          </w:p>
        </w:tc>
        <w:tc>
          <w:tcPr>
            <w:tcW w:w="850" w:type="dxa"/>
            <w:tcBorders>
              <w:top w:val="nil"/>
              <w:left w:val="nil"/>
              <w:bottom w:val="single" w:sz="4" w:space="0" w:color="FF0000"/>
              <w:right w:val="single" w:sz="4" w:space="0" w:color="FF0000"/>
            </w:tcBorders>
            <w:shd w:val="clear" w:color="000000" w:fill="A9D08E"/>
            <w:noWrap/>
            <w:vAlign w:val="center"/>
            <w:hideMark/>
          </w:tcPr>
          <w:p w:rsidR="00B863E9" w:rsidRDefault="007B7FAB">
            <w:pPr>
              <w:jc w:val="center"/>
              <w:rPr>
                <w:rFonts w:ascii="Arial Narrow" w:hAnsi="Arial Narrow"/>
                <w:color w:val="000000"/>
                <w:sz w:val="16"/>
                <w:szCs w:val="16"/>
              </w:rPr>
            </w:pPr>
            <w:r w:rsidRPr="004F1C67">
              <w:rPr>
                <w:rFonts w:ascii="Arial Narrow" w:hAnsi="Arial Narrow"/>
                <w:color w:val="000000"/>
                <w:sz w:val="16"/>
                <w:szCs w:val="16"/>
              </w:rPr>
              <w:t>% z dávok spolu</w:t>
            </w:r>
          </w:p>
        </w:tc>
        <w:tc>
          <w:tcPr>
            <w:tcW w:w="993" w:type="dxa"/>
            <w:tcBorders>
              <w:top w:val="nil"/>
              <w:left w:val="nil"/>
              <w:bottom w:val="single" w:sz="4" w:space="0" w:color="FF0000"/>
              <w:right w:val="single" w:sz="4" w:space="0" w:color="FF0000"/>
            </w:tcBorders>
            <w:shd w:val="clear" w:color="000000" w:fill="A9D08E"/>
            <w:vAlign w:val="center"/>
            <w:hideMark/>
          </w:tcPr>
          <w:p w:rsidR="00B863E9" w:rsidRDefault="00B863E9">
            <w:pPr>
              <w:jc w:val="center"/>
              <w:rPr>
                <w:rFonts w:ascii="Arial Narrow" w:hAnsi="Arial Narrow"/>
                <w:color w:val="000000"/>
                <w:sz w:val="16"/>
                <w:szCs w:val="16"/>
              </w:rPr>
            </w:pPr>
            <w:r>
              <w:rPr>
                <w:rFonts w:ascii="Arial Narrow" w:hAnsi="Arial Narrow"/>
                <w:color w:val="000000"/>
                <w:sz w:val="16"/>
                <w:szCs w:val="16"/>
              </w:rPr>
              <w:t xml:space="preserve">EUR na obyv. </w:t>
            </w:r>
            <w:proofErr w:type="spellStart"/>
            <w:r>
              <w:rPr>
                <w:rFonts w:ascii="Arial Narrow" w:hAnsi="Arial Narrow"/>
                <w:color w:val="000000"/>
                <w:sz w:val="16"/>
                <w:szCs w:val="16"/>
              </w:rPr>
              <w:t>s.c</w:t>
            </w:r>
            <w:proofErr w:type="spellEnd"/>
            <w:r>
              <w:rPr>
                <w:rFonts w:ascii="Arial Narrow" w:hAnsi="Arial Narrow"/>
                <w:color w:val="000000"/>
                <w:sz w:val="16"/>
                <w:szCs w:val="16"/>
              </w:rPr>
              <w:t>. 2010</w:t>
            </w:r>
          </w:p>
        </w:tc>
        <w:tc>
          <w:tcPr>
            <w:tcW w:w="850" w:type="dxa"/>
            <w:tcBorders>
              <w:top w:val="nil"/>
              <w:left w:val="nil"/>
              <w:bottom w:val="single" w:sz="4" w:space="0" w:color="FF0000"/>
              <w:right w:val="single" w:sz="4" w:space="0" w:color="FF0000"/>
            </w:tcBorders>
            <w:shd w:val="clear" w:color="000000" w:fill="A9D08E"/>
            <w:vAlign w:val="center"/>
            <w:hideMark/>
          </w:tcPr>
          <w:p w:rsidR="00B863E9" w:rsidRDefault="00B863E9">
            <w:pPr>
              <w:jc w:val="center"/>
              <w:rPr>
                <w:rFonts w:ascii="Arial Narrow" w:hAnsi="Arial Narrow"/>
                <w:color w:val="000000"/>
                <w:sz w:val="16"/>
                <w:szCs w:val="16"/>
              </w:rPr>
            </w:pPr>
            <w:r>
              <w:rPr>
                <w:rFonts w:ascii="Arial Narrow" w:hAnsi="Arial Narrow"/>
                <w:color w:val="000000"/>
                <w:sz w:val="16"/>
                <w:szCs w:val="16"/>
              </w:rPr>
              <w:t>PPS na obyv.</w:t>
            </w:r>
          </w:p>
        </w:tc>
        <w:tc>
          <w:tcPr>
            <w:tcW w:w="709" w:type="dxa"/>
            <w:tcBorders>
              <w:top w:val="nil"/>
              <w:left w:val="nil"/>
              <w:bottom w:val="single" w:sz="4" w:space="0" w:color="FF0000"/>
              <w:right w:val="single" w:sz="4" w:space="0" w:color="FF0000"/>
            </w:tcBorders>
            <w:shd w:val="clear" w:color="000000" w:fill="A9D08E"/>
            <w:vAlign w:val="center"/>
            <w:hideMark/>
          </w:tcPr>
          <w:p w:rsidR="00B863E9" w:rsidRDefault="00B863E9">
            <w:pPr>
              <w:jc w:val="center"/>
              <w:rPr>
                <w:rFonts w:ascii="Arial Narrow" w:hAnsi="Arial Narrow"/>
                <w:color w:val="000000"/>
                <w:sz w:val="16"/>
                <w:szCs w:val="16"/>
              </w:rPr>
            </w:pPr>
            <w:r>
              <w:rPr>
                <w:rFonts w:ascii="Arial Narrow" w:hAnsi="Arial Narrow"/>
                <w:color w:val="000000"/>
                <w:sz w:val="16"/>
                <w:szCs w:val="16"/>
              </w:rPr>
              <w:t>% HDP</w:t>
            </w:r>
          </w:p>
        </w:tc>
        <w:tc>
          <w:tcPr>
            <w:tcW w:w="850" w:type="dxa"/>
            <w:tcBorders>
              <w:top w:val="nil"/>
              <w:left w:val="nil"/>
              <w:bottom w:val="single" w:sz="4" w:space="0" w:color="FF0000"/>
              <w:right w:val="nil"/>
            </w:tcBorders>
            <w:shd w:val="clear" w:color="000000" w:fill="A9D08E"/>
            <w:vAlign w:val="center"/>
            <w:hideMark/>
          </w:tcPr>
          <w:p w:rsidR="00B863E9" w:rsidRDefault="00423D41" w:rsidP="00423D41">
            <w:pPr>
              <w:jc w:val="center"/>
              <w:rPr>
                <w:rFonts w:ascii="Arial Narrow" w:hAnsi="Arial Narrow"/>
                <w:sz w:val="16"/>
                <w:szCs w:val="16"/>
              </w:rPr>
            </w:pPr>
            <w:r>
              <w:rPr>
                <w:rFonts w:ascii="Arial Narrow" w:hAnsi="Arial Narrow"/>
                <w:sz w:val="16"/>
                <w:szCs w:val="16"/>
              </w:rPr>
              <w:t>Index 2019</w:t>
            </w:r>
            <w:r w:rsidR="00B863E9">
              <w:rPr>
                <w:rFonts w:ascii="Arial Narrow" w:hAnsi="Arial Narrow"/>
                <w:sz w:val="16"/>
                <w:szCs w:val="16"/>
              </w:rPr>
              <w:t>/201</w:t>
            </w:r>
            <w:r>
              <w:rPr>
                <w:rFonts w:ascii="Arial Narrow" w:hAnsi="Arial Narrow"/>
                <w:sz w:val="16"/>
                <w:szCs w:val="16"/>
              </w:rPr>
              <w:t>8</w:t>
            </w:r>
          </w:p>
        </w:tc>
      </w:tr>
      <w:tr w:rsidR="00423D41" w:rsidTr="00B863E9">
        <w:trPr>
          <w:trHeight w:val="300"/>
        </w:trPr>
        <w:tc>
          <w:tcPr>
            <w:tcW w:w="3679" w:type="dxa"/>
            <w:gridSpan w:val="5"/>
            <w:tcBorders>
              <w:top w:val="nil"/>
              <w:left w:val="nil"/>
              <w:bottom w:val="nil"/>
              <w:right w:val="single" w:sz="4" w:space="0" w:color="FF0000"/>
            </w:tcBorders>
            <w:shd w:val="clear" w:color="000000" w:fill="E2EFDA"/>
            <w:noWrap/>
            <w:vAlign w:val="center"/>
            <w:hideMark/>
          </w:tcPr>
          <w:p w:rsidR="00423D41" w:rsidRDefault="00423D41" w:rsidP="00423D41">
            <w:pPr>
              <w:rPr>
                <w:rFonts w:ascii="Arial Narrow" w:hAnsi="Arial Narrow"/>
                <w:b/>
                <w:bCs/>
                <w:sz w:val="18"/>
                <w:szCs w:val="18"/>
              </w:rPr>
            </w:pPr>
            <w:r>
              <w:rPr>
                <w:rFonts w:ascii="Arial Narrow" w:hAnsi="Arial Narrow"/>
                <w:b/>
                <w:bCs/>
                <w:sz w:val="18"/>
                <w:szCs w:val="18"/>
              </w:rPr>
              <w:t>Dávky sociálnej ochrany</w:t>
            </w:r>
          </w:p>
        </w:tc>
        <w:tc>
          <w:tcPr>
            <w:tcW w:w="1141"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lang w:eastAsia="sk-SK"/>
              </w:rPr>
            </w:pPr>
            <w:r>
              <w:rPr>
                <w:rFonts w:ascii="Arial Narrow" w:hAnsi="Arial Narrow" w:cs="Calibri"/>
                <w:b/>
                <w:bCs/>
                <w:sz w:val="18"/>
                <w:szCs w:val="18"/>
              </w:rPr>
              <w:t>5 332,4</w:t>
            </w:r>
          </w:p>
        </w:tc>
        <w:tc>
          <w:tcPr>
            <w:tcW w:w="850" w:type="dxa"/>
            <w:tcBorders>
              <w:top w:val="nil"/>
              <w:left w:val="nil"/>
              <w:bottom w:val="nil"/>
              <w:right w:val="single" w:sz="4" w:space="0" w:color="FF0000"/>
            </w:tcBorders>
            <w:shd w:val="clear" w:color="000000" w:fill="E2EFDA"/>
            <w:noWrap/>
            <w:vAlign w:val="bottom"/>
            <w:hideMark/>
          </w:tcPr>
          <w:p w:rsidR="00423D41" w:rsidRDefault="007B7FAB" w:rsidP="00423D41">
            <w:pPr>
              <w:jc w:val="right"/>
              <w:rPr>
                <w:rFonts w:ascii="Arial Narrow" w:hAnsi="Arial Narrow" w:cs="Calibri"/>
                <w:b/>
                <w:bCs/>
                <w:sz w:val="18"/>
                <w:szCs w:val="18"/>
              </w:rPr>
            </w:pPr>
            <w:r>
              <w:rPr>
                <w:rFonts w:ascii="Arial Narrow" w:hAnsi="Arial Narrow" w:cs="Calibri"/>
                <w:b/>
                <w:bCs/>
                <w:sz w:val="18"/>
                <w:szCs w:val="18"/>
              </w:rPr>
              <w:t>10</w:t>
            </w:r>
            <w:r w:rsidR="00423D41">
              <w:rPr>
                <w:rFonts w:ascii="Arial Narrow" w:hAnsi="Arial Narrow" w:cs="Calibri"/>
                <w:b/>
                <w:bCs/>
                <w:sz w:val="18"/>
                <w:szCs w:val="18"/>
              </w:rPr>
              <w:t>0,0</w:t>
            </w:r>
          </w:p>
        </w:tc>
        <w:tc>
          <w:tcPr>
            <w:tcW w:w="993"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843,9</w:t>
            </w:r>
          </w:p>
        </w:tc>
        <w:tc>
          <w:tcPr>
            <w:tcW w:w="850"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1 346,2</w:t>
            </w:r>
          </w:p>
        </w:tc>
        <w:tc>
          <w:tcPr>
            <w:tcW w:w="709"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5,7</w:t>
            </w:r>
          </w:p>
        </w:tc>
        <w:tc>
          <w:tcPr>
            <w:tcW w:w="850" w:type="dxa"/>
            <w:tcBorders>
              <w:top w:val="nil"/>
              <w:left w:val="nil"/>
              <w:bottom w:val="nil"/>
              <w:right w:val="single" w:sz="4" w:space="0" w:color="FF0000"/>
            </w:tcBorders>
            <w:shd w:val="clear" w:color="000000" w:fill="E2EFDA"/>
            <w:noWrap/>
            <w:vAlign w:val="bottom"/>
            <w:hideMark/>
          </w:tcPr>
          <w:p w:rsidR="00423D41" w:rsidRDefault="00D027A2" w:rsidP="00D027A2">
            <w:pPr>
              <w:jc w:val="right"/>
              <w:rPr>
                <w:rFonts w:ascii="Arial Narrow" w:hAnsi="Arial Narrow" w:cs="Calibri"/>
                <w:b/>
                <w:bCs/>
                <w:sz w:val="18"/>
                <w:szCs w:val="18"/>
              </w:rPr>
            </w:pPr>
            <w:r>
              <w:rPr>
                <w:rFonts w:ascii="Arial Narrow" w:hAnsi="Arial Narrow" w:cs="Calibri"/>
                <w:b/>
                <w:bCs/>
                <w:sz w:val="18"/>
                <w:szCs w:val="18"/>
              </w:rPr>
              <w:t>10</w:t>
            </w:r>
            <w:r w:rsidR="00423D41">
              <w:rPr>
                <w:rFonts w:ascii="Arial Narrow" w:hAnsi="Arial Narrow" w:cs="Calibri"/>
                <w:b/>
                <w:bCs/>
                <w:sz w:val="18"/>
                <w:szCs w:val="18"/>
              </w:rPr>
              <w:t>3,</w:t>
            </w:r>
            <w:r>
              <w:rPr>
                <w:rFonts w:ascii="Arial Narrow" w:hAnsi="Arial Narrow" w:cs="Calibri"/>
                <w:b/>
                <w:bCs/>
                <w:sz w:val="18"/>
                <w:szCs w:val="18"/>
              </w:rPr>
              <w:t>7</w:t>
            </w:r>
          </w:p>
        </w:tc>
      </w:tr>
      <w:tr w:rsidR="00423D41" w:rsidTr="00B863E9">
        <w:trPr>
          <w:trHeight w:val="300"/>
        </w:trPr>
        <w:tc>
          <w:tcPr>
            <w:tcW w:w="182" w:type="dxa"/>
            <w:tcBorders>
              <w:top w:val="nil"/>
              <w:left w:val="nil"/>
              <w:bottom w:val="nil"/>
              <w:right w:val="nil"/>
            </w:tcBorders>
            <w:shd w:val="clear" w:color="000000" w:fill="E2EFDA"/>
            <w:noWrap/>
            <w:vAlign w:val="center"/>
            <w:hideMark/>
          </w:tcPr>
          <w:p w:rsidR="00423D41" w:rsidRDefault="00423D41" w:rsidP="00423D41">
            <w:pPr>
              <w:rPr>
                <w:rFonts w:ascii="Arial Narrow" w:hAnsi="Arial Narrow"/>
                <w:b/>
                <w:bCs/>
                <w:sz w:val="18"/>
                <w:szCs w:val="18"/>
              </w:rPr>
            </w:pPr>
            <w:r>
              <w:rPr>
                <w:rFonts w:ascii="Arial Narrow" w:hAnsi="Arial Narrow"/>
                <w:b/>
                <w:bCs/>
                <w:sz w:val="18"/>
                <w:szCs w:val="18"/>
              </w:rPr>
              <w:t> </w:t>
            </w:r>
          </w:p>
        </w:tc>
        <w:tc>
          <w:tcPr>
            <w:tcW w:w="3497" w:type="dxa"/>
            <w:gridSpan w:val="4"/>
            <w:tcBorders>
              <w:top w:val="nil"/>
              <w:left w:val="nil"/>
              <w:bottom w:val="nil"/>
              <w:right w:val="single" w:sz="4" w:space="0" w:color="FF0000"/>
            </w:tcBorders>
            <w:shd w:val="clear" w:color="000000" w:fill="E2EFDA"/>
            <w:noWrap/>
            <w:vAlign w:val="center"/>
            <w:hideMark/>
          </w:tcPr>
          <w:p w:rsidR="00423D41" w:rsidRDefault="00423D41" w:rsidP="00423D41">
            <w:pPr>
              <w:rPr>
                <w:rFonts w:ascii="Arial Narrow" w:hAnsi="Arial Narrow"/>
                <w:b/>
                <w:bCs/>
                <w:sz w:val="18"/>
                <w:szCs w:val="18"/>
              </w:rPr>
            </w:pPr>
            <w:r>
              <w:rPr>
                <w:rFonts w:ascii="Arial Narrow" w:hAnsi="Arial Narrow"/>
                <w:b/>
                <w:bCs/>
                <w:sz w:val="18"/>
                <w:szCs w:val="18"/>
              </w:rPr>
              <w:t>Netestované dávky na príjem</w:t>
            </w:r>
          </w:p>
        </w:tc>
        <w:tc>
          <w:tcPr>
            <w:tcW w:w="1141"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lang w:eastAsia="sk-SK"/>
              </w:rPr>
            </w:pPr>
            <w:r>
              <w:rPr>
                <w:rFonts w:ascii="Arial Narrow" w:hAnsi="Arial Narrow" w:cs="Calibri"/>
                <w:b/>
                <w:bCs/>
                <w:sz w:val="18"/>
                <w:szCs w:val="18"/>
              </w:rPr>
              <w:t>5 332,4</w:t>
            </w:r>
          </w:p>
        </w:tc>
        <w:tc>
          <w:tcPr>
            <w:tcW w:w="850"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100,0</w:t>
            </w:r>
          </w:p>
        </w:tc>
        <w:tc>
          <w:tcPr>
            <w:tcW w:w="993"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843,9</w:t>
            </w:r>
          </w:p>
        </w:tc>
        <w:tc>
          <w:tcPr>
            <w:tcW w:w="850"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1 346,2</w:t>
            </w:r>
          </w:p>
        </w:tc>
        <w:tc>
          <w:tcPr>
            <w:tcW w:w="709"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5,7</w:t>
            </w:r>
          </w:p>
        </w:tc>
        <w:tc>
          <w:tcPr>
            <w:tcW w:w="850" w:type="dxa"/>
            <w:tcBorders>
              <w:top w:val="nil"/>
              <w:left w:val="nil"/>
              <w:bottom w:val="nil"/>
              <w:right w:val="single" w:sz="4" w:space="0" w:color="FF0000"/>
            </w:tcBorders>
            <w:shd w:val="clear" w:color="000000" w:fill="E2EFDA"/>
            <w:noWrap/>
            <w:vAlign w:val="bottom"/>
            <w:hideMark/>
          </w:tcPr>
          <w:p w:rsidR="00423D41" w:rsidRDefault="00D027A2" w:rsidP="00D027A2">
            <w:pPr>
              <w:jc w:val="right"/>
              <w:rPr>
                <w:rFonts w:ascii="Arial Narrow" w:hAnsi="Arial Narrow" w:cs="Calibri"/>
                <w:b/>
                <w:bCs/>
                <w:sz w:val="18"/>
                <w:szCs w:val="18"/>
              </w:rPr>
            </w:pPr>
            <w:r>
              <w:rPr>
                <w:rFonts w:ascii="Arial Narrow" w:hAnsi="Arial Narrow" w:cs="Calibri"/>
                <w:b/>
                <w:bCs/>
                <w:sz w:val="18"/>
                <w:szCs w:val="18"/>
              </w:rPr>
              <w:t>10</w:t>
            </w:r>
            <w:r w:rsidR="00423D41">
              <w:rPr>
                <w:rFonts w:ascii="Arial Narrow" w:hAnsi="Arial Narrow" w:cs="Calibri"/>
                <w:b/>
                <w:bCs/>
                <w:sz w:val="18"/>
                <w:szCs w:val="18"/>
              </w:rPr>
              <w:t>3,</w:t>
            </w:r>
            <w:r>
              <w:rPr>
                <w:rFonts w:ascii="Arial Narrow" w:hAnsi="Arial Narrow" w:cs="Calibri"/>
                <w:b/>
                <w:bCs/>
                <w:sz w:val="18"/>
                <w:szCs w:val="18"/>
              </w:rPr>
              <w:t>7</w:t>
            </w:r>
          </w:p>
        </w:tc>
      </w:tr>
      <w:tr w:rsidR="00423D41" w:rsidTr="00B863E9">
        <w:trPr>
          <w:trHeight w:val="300"/>
        </w:trPr>
        <w:tc>
          <w:tcPr>
            <w:tcW w:w="182" w:type="dxa"/>
            <w:tcBorders>
              <w:top w:val="nil"/>
              <w:left w:val="nil"/>
              <w:bottom w:val="nil"/>
              <w:right w:val="nil"/>
            </w:tcBorders>
            <w:shd w:val="clear" w:color="000000" w:fill="E2EFDA"/>
            <w:noWrap/>
            <w:vAlign w:val="center"/>
            <w:hideMark/>
          </w:tcPr>
          <w:p w:rsidR="00423D41" w:rsidRDefault="00423D41" w:rsidP="00423D41">
            <w:pPr>
              <w:rPr>
                <w:rFonts w:ascii="Arial Narrow" w:hAnsi="Arial Narrow"/>
                <w:b/>
                <w:bCs/>
                <w:sz w:val="18"/>
                <w:szCs w:val="18"/>
              </w:rPr>
            </w:pPr>
            <w:r>
              <w:rPr>
                <w:rFonts w:ascii="Arial Narrow" w:hAnsi="Arial Narrow"/>
                <w:b/>
                <w:bCs/>
                <w:sz w:val="18"/>
                <w:szCs w:val="18"/>
              </w:rPr>
              <w:t> </w:t>
            </w:r>
          </w:p>
        </w:tc>
        <w:tc>
          <w:tcPr>
            <w:tcW w:w="182" w:type="dxa"/>
            <w:tcBorders>
              <w:top w:val="nil"/>
              <w:left w:val="nil"/>
              <w:bottom w:val="nil"/>
              <w:right w:val="nil"/>
            </w:tcBorders>
            <w:shd w:val="clear" w:color="000000" w:fill="E2EFDA"/>
            <w:noWrap/>
            <w:vAlign w:val="center"/>
            <w:hideMark/>
          </w:tcPr>
          <w:p w:rsidR="00423D41" w:rsidRDefault="00423D41" w:rsidP="00423D41">
            <w:pPr>
              <w:rPr>
                <w:rFonts w:ascii="Arial Narrow" w:hAnsi="Arial Narrow"/>
                <w:b/>
                <w:bCs/>
                <w:sz w:val="18"/>
                <w:szCs w:val="18"/>
              </w:rPr>
            </w:pPr>
            <w:r>
              <w:rPr>
                <w:rFonts w:ascii="Arial Narrow" w:hAnsi="Arial Narrow"/>
                <w:b/>
                <w:bCs/>
                <w:sz w:val="18"/>
                <w:szCs w:val="18"/>
              </w:rPr>
              <w:t> </w:t>
            </w:r>
          </w:p>
        </w:tc>
        <w:tc>
          <w:tcPr>
            <w:tcW w:w="3315" w:type="dxa"/>
            <w:gridSpan w:val="3"/>
            <w:tcBorders>
              <w:top w:val="nil"/>
              <w:left w:val="nil"/>
              <w:bottom w:val="nil"/>
              <w:right w:val="single" w:sz="4" w:space="0" w:color="FF0000"/>
            </w:tcBorders>
            <w:shd w:val="clear" w:color="000000" w:fill="E2EFDA"/>
            <w:noWrap/>
            <w:vAlign w:val="center"/>
            <w:hideMark/>
          </w:tcPr>
          <w:p w:rsidR="00423D41" w:rsidRDefault="00423D41" w:rsidP="00423D41">
            <w:pPr>
              <w:rPr>
                <w:rFonts w:ascii="Arial Narrow" w:hAnsi="Arial Narrow"/>
                <w:b/>
                <w:bCs/>
                <w:sz w:val="18"/>
                <w:szCs w:val="18"/>
              </w:rPr>
            </w:pPr>
            <w:r>
              <w:rPr>
                <w:rFonts w:ascii="Arial Narrow" w:hAnsi="Arial Narrow"/>
                <w:b/>
                <w:bCs/>
                <w:sz w:val="18"/>
                <w:szCs w:val="18"/>
              </w:rPr>
              <w:t>Peňažné dávky</w:t>
            </w:r>
          </w:p>
        </w:tc>
        <w:tc>
          <w:tcPr>
            <w:tcW w:w="1141"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lang w:eastAsia="sk-SK"/>
              </w:rPr>
            </w:pPr>
            <w:r>
              <w:rPr>
                <w:rFonts w:ascii="Arial Narrow" w:hAnsi="Arial Narrow" w:cs="Calibri"/>
                <w:b/>
                <w:bCs/>
                <w:sz w:val="18"/>
                <w:szCs w:val="18"/>
              </w:rPr>
              <w:t>609,1</w:t>
            </w:r>
          </w:p>
        </w:tc>
        <w:tc>
          <w:tcPr>
            <w:tcW w:w="850"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11,4</w:t>
            </w:r>
          </w:p>
        </w:tc>
        <w:tc>
          <w:tcPr>
            <w:tcW w:w="993"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96,4</w:t>
            </w:r>
          </w:p>
        </w:tc>
        <w:tc>
          <w:tcPr>
            <w:tcW w:w="850"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153,8</w:t>
            </w:r>
          </w:p>
        </w:tc>
        <w:tc>
          <w:tcPr>
            <w:tcW w:w="709" w:type="dxa"/>
            <w:tcBorders>
              <w:top w:val="nil"/>
              <w:left w:val="nil"/>
              <w:bottom w:val="nil"/>
              <w:right w:val="single" w:sz="4" w:space="0" w:color="FF0000"/>
            </w:tcBorders>
            <w:shd w:val="clear" w:color="000000" w:fill="E2EFDA"/>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0,6</w:t>
            </w:r>
          </w:p>
        </w:tc>
        <w:tc>
          <w:tcPr>
            <w:tcW w:w="850" w:type="dxa"/>
            <w:tcBorders>
              <w:top w:val="nil"/>
              <w:left w:val="nil"/>
              <w:bottom w:val="nil"/>
              <w:right w:val="single" w:sz="4" w:space="0" w:color="FF0000"/>
            </w:tcBorders>
            <w:shd w:val="clear" w:color="000000" w:fill="E2EFDA"/>
            <w:noWrap/>
            <w:vAlign w:val="bottom"/>
            <w:hideMark/>
          </w:tcPr>
          <w:p w:rsidR="00423D41" w:rsidRDefault="00D027A2" w:rsidP="00D027A2">
            <w:pPr>
              <w:jc w:val="right"/>
              <w:rPr>
                <w:rFonts w:ascii="Arial Narrow" w:hAnsi="Arial Narrow" w:cs="Calibri"/>
                <w:b/>
                <w:bCs/>
                <w:sz w:val="18"/>
                <w:szCs w:val="18"/>
              </w:rPr>
            </w:pPr>
            <w:r>
              <w:rPr>
                <w:rFonts w:ascii="Arial Narrow" w:hAnsi="Arial Narrow" w:cs="Calibri"/>
                <w:b/>
                <w:bCs/>
                <w:sz w:val="18"/>
                <w:szCs w:val="18"/>
              </w:rPr>
              <w:t>119</w:t>
            </w:r>
            <w:r w:rsidR="00423D41">
              <w:rPr>
                <w:rFonts w:ascii="Arial Narrow" w:hAnsi="Arial Narrow" w:cs="Calibri"/>
                <w:b/>
                <w:bCs/>
                <w:sz w:val="18"/>
                <w:szCs w:val="18"/>
              </w:rPr>
              <w:t>,</w:t>
            </w:r>
            <w:r>
              <w:rPr>
                <w:rFonts w:ascii="Arial Narrow" w:hAnsi="Arial Narrow" w:cs="Calibri"/>
                <w:b/>
                <w:bCs/>
                <w:sz w:val="18"/>
                <w:szCs w:val="18"/>
              </w:rPr>
              <w:t>8</w:t>
            </w:r>
          </w:p>
        </w:tc>
      </w:tr>
      <w:tr w:rsidR="00423D41" w:rsidTr="00B863E9">
        <w:trPr>
          <w:trHeight w:val="270"/>
        </w:trPr>
        <w:tc>
          <w:tcPr>
            <w:tcW w:w="182" w:type="dxa"/>
            <w:tcBorders>
              <w:top w:val="nil"/>
              <w:left w:val="nil"/>
              <w:bottom w:val="nil"/>
              <w:right w:val="nil"/>
            </w:tcBorders>
            <w:shd w:val="clear" w:color="auto" w:fill="auto"/>
            <w:noWrap/>
            <w:vAlign w:val="center"/>
            <w:hideMark/>
          </w:tcPr>
          <w:p w:rsidR="00423D41" w:rsidRDefault="00423D41" w:rsidP="00423D41">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146"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3169" w:type="dxa"/>
            <w:gridSpan w:val="2"/>
            <w:tcBorders>
              <w:top w:val="nil"/>
              <w:left w:val="nil"/>
              <w:bottom w:val="nil"/>
              <w:right w:val="single" w:sz="4" w:space="0" w:color="FF0000"/>
            </w:tcBorders>
            <w:shd w:val="clear" w:color="auto" w:fill="auto"/>
            <w:noWrap/>
            <w:vAlign w:val="center"/>
            <w:hideMark/>
          </w:tcPr>
          <w:p w:rsidR="00423D41" w:rsidRDefault="00423D41" w:rsidP="00423D41">
            <w:pPr>
              <w:rPr>
                <w:rFonts w:ascii="Arial Narrow" w:hAnsi="Arial Narrow"/>
                <w:b/>
                <w:bCs/>
                <w:sz w:val="18"/>
                <w:szCs w:val="18"/>
              </w:rPr>
            </w:pPr>
            <w:r>
              <w:rPr>
                <w:rFonts w:ascii="Arial Narrow" w:hAnsi="Arial Narrow"/>
                <w:b/>
                <w:bCs/>
                <w:sz w:val="18"/>
                <w:szCs w:val="18"/>
              </w:rPr>
              <w:t>Periodické</w:t>
            </w:r>
          </w:p>
        </w:tc>
        <w:tc>
          <w:tcPr>
            <w:tcW w:w="1141"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b/>
                <w:bCs/>
                <w:sz w:val="18"/>
                <w:szCs w:val="18"/>
                <w:lang w:eastAsia="sk-SK"/>
              </w:rPr>
            </w:pPr>
            <w:r>
              <w:rPr>
                <w:rFonts w:ascii="Arial Narrow" w:hAnsi="Arial Narrow" w:cs="Calibri"/>
                <w:b/>
                <w:bCs/>
                <w:sz w:val="18"/>
                <w:szCs w:val="18"/>
              </w:rPr>
              <w:t>605,1</w:t>
            </w:r>
          </w:p>
        </w:tc>
        <w:tc>
          <w:tcPr>
            <w:tcW w:w="850"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11,3</w:t>
            </w:r>
          </w:p>
        </w:tc>
        <w:tc>
          <w:tcPr>
            <w:tcW w:w="993"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95,8</w:t>
            </w:r>
          </w:p>
        </w:tc>
        <w:tc>
          <w:tcPr>
            <w:tcW w:w="850"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152,8</w:t>
            </w:r>
          </w:p>
        </w:tc>
        <w:tc>
          <w:tcPr>
            <w:tcW w:w="709"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0,6</w:t>
            </w:r>
          </w:p>
        </w:tc>
        <w:tc>
          <w:tcPr>
            <w:tcW w:w="850" w:type="dxa"/>
            <w:tcBorders>
              <w:top w:val="nil"/>
              <w:left w:val="nil"/>
              <w:bottom w:val="nil"/>
              <w:right w:val="single" w:sz="4" w:space="0" w:color="FF0000"/>
            </w:tcBorders>
            <w:shd w:val="clear" w:color="auto" w:fill="auto"/>
            <w:noWrap/>
            <w:vAlign w:val="bottom"/>
            <w:hideMark/>
          </w:tcPr>
          <w:p w:rsidR="00423D41" w:rsidRDefault="00D027A2" w:rsidP="00D027A2">
            <w:pPr>
              <w:jc w:val="right"/>
              <w:rPr>
                <w:rFonts w:ascii="Arial Narrow" w:hAnsi="Arial Narrow" w:cs="Calibri"/>
                <w:b/>
                <w:bCs/>
                <w:sz w:val="18"/>
                <w:szCs w:val="18"/>
              </w:rPr>
            </w:pPr>
            <w:r>
              <w:rPr>
                <w:rFonts w:ascii="Arial Narrow" w:hAnsi="Arial Narrow" w:cs="Calibri"/>
                <w:b/>
                <w:bCs/>
                <w:sz w:val="18"/>
                <w:szCs w:val="18"/>
              </w:rPr>
              <w:t>1</w:t>
            </w:r>
            <w:r w:rsidR="00423D41">
              <w:rPr>
                <w:rFonts w:ascii="Arial Narrow" w:hAnsi="Arial Narrow" w:cs="Calibri"/>
                <w:b/>
                <w:bCs/>
                <w:sz w:val="18"/>
                <w:szCs w:val="18"/>
              </w:rPr>
              <w:t>2</w:t>
            </w:r>
            <w:r>
              <w:rPr>
                <w:rFonts w:ascii="Arial Narrow" w:hAnsi="Arial Narrow" w:cs="Calibri"/>
                <w:b/>
                <w:bCs/>
                <w:sz w:val="18"/>
                <w:szCs w:val="18"/>
              </w:rPr>
              <w:t>0</w:t>
            </w:r>
            <w:r w:rsidR="00423D41">
              <w:rPr>
                <w:rFonts w:ascii="Arial Narrow" w:hAnsi="Arial Narrow" w:cs="Calibri"/>
                <w:b/>
                <w:bCs/>
                <w:sz w:val="18"/>
                <w:szCs w:val="18"/>
              </w:rPr>
              <w:t>,</w:t>
            </w:r>
            <w:r>
              <w:rPr>
                <w:rFonts w:ascii="Arial Narrow" w:hAnsi="Arial Narrow" w:cs="Calibri"/>
                <w:b/>
                <w:bCs/>
                <w:sz w:val="18"/>
                <w:szCs w:val="18"/>
              </w:rPr>
              <w:t>2</w:t>
            </w:r>
          </w:p>
        </w:tc>
      </w:tr>
      <w:tr w:rsidR="00423D41" w:rsidTr="00B863E9">
        <w:trPr>
          <w:trHeight w:val="300"/>
        </w:trPr>
        <w:tc>
          <w:tcPr>
            <w:tcW w:w="182" w:type="dxa"/>
            <w:tcBorders>
              <w:top w:val="nil"/>
              <w:left w:val="nil"/>
              <w:bottom w:val="nil"/>
              <w:right w:val="nil"/>
            </w:tcBorders>
            <w:shd w:val="clear" w:color="auto" w:fill="auto"/>
            <w:noWrap/>
            <w:vAlign w:val="center"/>
            <w:hideMark/>
          </w:tcPr>
          <w:p w:rsidR="00423D41" w:rsidRDefault="00423D41" w:rsidP="00423D41">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146"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146"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3023" w:type="dxa"/>
            <w:tcBorders>
              <w:top w:val="nil"/>
              <w:left w:val="nil"/>
              <w:bottom w:val="nil"/>
              <w:right w:val="single" w:sz="4" w:space="0" w:color="FF0000"/>
            </w:tcBorders>
            <w:shd w:val="clear" w:color="auto" w:fill="auto"/>
            <w:noWrap/>
            <w:vAlign w:val="center"/>
            <w:hideMark/>
          </w:tcPr>
          <w:p w:rsidR="00423D41" w:rsidRDefault="00423D41" w:rsidP="00423D41">
            <w:pPr>
              <w:rPr>
                <w:rFonts w:ascii="Arial Narrow" w:hAnsi="Arial Narrow"/>
                <w:sz w:val="18"/>
                <w:szCs w:val="18"/>
              </w:rPr>
            </w:pPr>
            <w:r>
              <w:rPr>
                <w:rFonts w:ascii="Arial Narrow" w:hAnsi="Arial Narrow"/>
                <w:sz w:val="18"/>
                <w:szCs w:val="18"/>
              </w:rPr>
              <w:t>Nemocenská</w:t>
            </w:r>
          </w:p>
        </w:tc>
        <w:tc>
          <w:tcPr>
            <w:tcW w:w="1141"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lang w:eastAsia="sk-SK"/>
              </w:rPr>
            </w:pPr>
            <w:r>
              <w:rPr>
                <w:rFonts w:ascii="Arial Narrow" w:hAnsi="Arial Narrow" w:cs="Calibri"/>
                <w:sz w:val="18"/>
                <w:szCs w:val="18"/>
              </w:rPr>
              <w:t>604,3</w:t>
            </w:r>
          </w:p>
        </w:tc>
        <w:tc>
          <w:tcPr>
            <w:tcW w:w="850"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11,3</w:t>
            </w:r>
          </w:p>
        </w:tc>
        <w:tc>
          <w:tcPr>
            <w:tcW w:w="993"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95,6</w:t>
            </w:r>
          </w:p>
        </w:tc>
        <w:tc>
          <w:tcPr>
            <w:tcW w:w="850"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152,6</w:t>
            </w:r>
          </w:p>
        </w:tc>
        <w:tc>
          <w:tcPr>
            <w:tcW w:w="709"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0,6</w:t>
            </w:r>
          </w:p>
        </w:tc>
        <w:tc>
          <w:tcPr>
            <w:tcW w:w="850" w:type="dxa"/>
            <w:tcBorders>
              <w:top w:val="nil"/>
              <w:left w:val="nil"/>
              <w:bottom w:val="nil"/>
              <w:right w:val="single" w:sz="4" w:space="0" w:color="FF0000"/>
            </w:tcBorders>
            <w:shd w:val="clear" w:color="auto" w:fill="auto"/>
            <w:noWrap/>
            <w:vAlign w:val="bottom"/>
            <w:hideMark/>
          </w:tcPr>
          <w:p w:rsidR="00423D41" w:rsidRDefault="00D027A2" w:rsidP="00D027A2">
            <w:pPr>
              <w:jc w:val="right"/>
              <w:rPr>
                <w:rFonts w:ascii="Arial Narrow" w:hAnsi="Arial Narrow" w:cs="Calibri"/>
                <w:sz w:val="18"/>
                <w:szCs w:val="18"/>
              </w:rPr>
            </w:pPr>
            <w:r>
              <w:rPr>
                <w:rFonts w:ascii="Arial Narrow" w:hAnsi="Arial Narrow" w:cs="Calibri"/>
                <w:sz w:val="18"/>
                <w:szCs w:val="18"/>
              </w:rPr>
              <w:t>1</w:t>
            </w:r>
            <w:r w:rsidR="00423D41">
              <w:rPr>
                <w:rFonts w:ascii="Arial Narrow" w:hAnsi="Arial Narrow" w:cs="Calibri"/>
                <w:sz w:val="18"/>
                <w:szCs w:val="18"/>
              </w:rPr>
              <w:t>2</w:t>
            </w:r>
            <w:r>
              <w:rPr>
                <w:rFonts w:ascii="Arial Narrow" w:hAnsi="Arial Narrow" w:cs="Calibri"/>
                <w:sz w:val="18"/>
                <w:szCs w:val="18"/>
              </w:rPr>
              <w:t>0</w:t>
            </w:r>
            <w:r w:rsidR="00423D41">
              <w:rPr>
                <w:rFonts w:ascii="Arial Narrow" w:hAnsi="Arial Narrow" w:cs="Calibri"/>
                <w:sz w:val="18"/>
                <w:szCs w:val="18"/>
              </w:rPr>
              <w:t>,</w:t>
            </w:r>
            <w:r>
              <w:rPr>
                <w:rFonts w:ascii="Arial Narrow" w:hAnsi="Arial Narrow" w:cs="Calibri"/>
                <w:sz w:val="18"/>
                <w:szCs w:val="18"/>
              </w:rPr>
              <w:t>2</w:t>
            </w:r>
          </w:p>
        </w:tc>
      </w:tr>
      <w:tr w:rsidR="00423D41" w:rsidTr="00B863E9">
        <w:trPr>
          <w:trHeight w:val="270"/>
        </w:trPr>
        <w:tc>
          <w:tcPr>
            <w:tcW w:w="182" w:type="dxa"/>
            <w:tcBorders>
              <w:top w:val="nil"/>
              <w:left w:val="nil"/>
              <w:bottom w:val="nil"/>
              <w:right w:val="nil"/>
            </w:tcBorders>
            <w:shd w:val="clear" w:color="auto" w:fill="auto"/>
            <w:noWrap/>
            <w:vAlign w:val="center"/>
            <w:hideMark/>
          </w:tcPr>
          <w:p w:rsidR="00423D41" w:rsidRDefault="00423D41" w:rsidP="00423D41">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146"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146"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3023" w:type="dxa"/>
            <w:tcBorders>
              <w:top w:val="nil"/>
              <w:left w:val="nil"/>
              <w:bottom w:val="nil"/>
              <w:right w:val="single" w:sz="4" w:space="0" w:color="FF0000"/>
            </w:tcBorders>
            <w:shd w:val="clear" w:color="auto" w:fill="auto"/>
            <w:noWrap/>
            <w:vAlign w:val="center"/>
            <w:hideMark/>
          </w:tcPr>
          <w:p w:rsidR="00423D41" w:rsidRDefault="00423D41" w:rsidP="00423D41">
            <w:pPr>
              <w:rPr>
                <w:rFonts w:ascii="Arial Narrow" w:hAnsi="Arial Narrow"/>
                <w:sz w:val="18"/>
                <w:szCs w:val="18"/>
              </w:rPr>
            </w:pPr>
            <w:r>
              <w:rPr>
                <w:rFonts w:ascii="Arial Narrow" w:hAnsi="Arial Narrow"/>
                <w:sz w:val="18"/>
                <w:szCs w:val="18"/>
              </w:rPr>
              <w:t>Iné peňažné dávky</w:t>
            </w:r>
          </w:p>
        </w:tc>
        <w:tc>
          <w:tcPr>
            <w:tcW w:w="1141"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lang w:eastAsia="sk-SK"/>
              </w:rPr>
            </w:pPr>
            <w:r>
              <w:rPr>
                <w:rFonts w:ascii="Arial Narrow" w:hAnsi="Arial Narrow" w:cs="Calibri"/>
                <w:sz w:val="18"/>
                <w:szCs w:val="18"/>
              </w:rPr>
              <w:t>0,8</w:t>
            </w:r>
          </w:p>
        </w:tc>
        <w:tc>
          <w:tcPr>
            <w:tcW w:w="850"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0,0</w:t>
            </w:r>
          </w:p>
        </w:tc>
        <w:tc>
          <w:tcPr>
            <w:tcW w:w="993"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0,1</w:t>
            </w:r>
          </w:p>
        </w:tc>
        <w:tc>
          <w:tcPr>
            <w:tcW w:w="850"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0,2</w:t>
            </w:r>
          </w:p>
        </w:tc>
        <w:tc>
          <w:tcPr>
            <w:tcW w:w="709"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single" w:sz="4" w:space="0" w:color="FF0000"/>
            </w:tcBorders>
            <w:shd w:val="clear" w:color="auto" w:fill="auto"/>
            <w:noWrap/>
            <w:vAlign w:val="bottom"/>
            <w:hideMark/>
          </w:tcPr>
          <w:p w:rsidR="00423D41" w:rsidRPr="00D027A2" w:rsidRDefault="005E1723" w:rsidP="00423D41">
            <w:pPr>
              <w:jc w:val="right"/>
              <w:rPr>
                <w:rFonts w:ascii="Arial Narrow" w:hAnsi="Arial Narrow" w:cs="Calibri"/>
                <w:bCs/>
                <w:sz w:val="18"/>
                <w:szCs w:val="18"/>
              </w:rPr>
            </w:pPr>
            <w:r>
              <w:rPr>
                <w:rFonts w:ascii="Arial Narrow" w:hAnsi="Arial Narrow" w:cs="Calibri"/>
                <w:bCs/>
                <w:sz w:val="18"/>
                <w:szCs w:val="18"/>
              </w:rPr>
              <w:t>88,9</w:t>
            </w:r>
          </w:p>
        </w:tc>
      </w:tr>
      <w:tr w:rsidR="00423D41" w:rsidTr="00B863E9">
        <w:trPr>
          <w:trHeight w:val="270"/>
        </w:trPr>
        <w:tc>
          <w:tcPr>
            <w:tcW w:w="182" w:type="dxa"/>
            <w:tcBorders>
              <w:top w:val="nil"/>
              <w:left w:val="nil"/>
              <w:bottom w:val="nil"/>
              <w:right w:val="nil"/>
            </w:tcBorders>
            <w:shd w:val="clear" w:color="auto" w:fill="auto"/>
            <w:noWrap/>
            <w:vAlign w:val="center"/>
            <w:hideMark/>
          </w:tcPr>
          <w:p w:rsidR="00423D41" w:rsidRDefault="00423D41" w:rsidP="00423D41">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146"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3169" w:type="dxa"/>
            <w:gridSpan w:val="2"/>
            <w:tcBorders>
              <w:top w:val="nil"/>
              <w:left w:val="nil"/>
              <w:bottom w:val="nil"/>
              <w:right w:val="single" w:sz="4" w:space="0" w:color="FF0000"/>
            </w:tcBorders>
            <w:shd w:val="clear" w:color="auto" w:fill="auto"/>
            <w:noWrap/>
            <w:vAlign w:val="center"/>
            <w:hideMark/>
          </w:tcPr>
          <w:p w:rsidR="00423D41" w:rsidRDefault="00423D41" w:rsidP="00423D41">
            <w:pPr>
              <w:rPr>
                <w:rFonts w:ascii="Arial Narrow" w:hAnsi="Arial Narrow"/>
                <w:b/>
                <w:bCs/>
                <w:sz w:val="18"/>
                <w:szCs w:val="18"/>
              </w:rPr>
            </w:pPr>
            <w:r>
              <w:rPr>
                <w:rFonts w:ascii="Arial Narrow" w:hAnsi="Arial Narrow"/>
                <w:b/>
                <w:bCs/>
                <w:sz w:val="18"/>
                <w:szCs w:val="18"/>
              </w:rPr>
              <w:t>Jednorazové</w:t>
            </w:r>
          </w:p>
        </w:tc>
        <w:tc>
          <w:tcPr>
            <w:tcW w:w="1141"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b/>
                <w:bCs/>
                <w:sz w:val="18"/>
                <w:szCs w:val="18"/>
                <w:lang w:eastAsia="sk-SK"/>
              </w:rPr>
            </w:pPr>
            <w:r>
              <w:rPr>
                <w:rFonts w:ascii="Arial Narrow" w:hAnsi="Arial Narrow" w:cs="Calibri"/>
                <w:b/>
                <w:bCs/>
                <w:sz w:val="18"/>
                <w:szCs w:val="18"/>
              </w:rPr>
              <w:t>4,0</w:t>
            </w:r>
          </w:p>
        </w:tc>
        <w:tc>
          <w:tcPr>
            <w:tcW w:w="850" w:type="dxa"/>
            <w:tcBorders>
              <w:top w:val="nil"/>
              <w:left w:val="nil"/>
              <w:bottom w:val="nil"/>
              <w:right w:val="single" w:sz="4" w:space="0" w:color="FF0000"/>
            </w:tcBorders>
            <w:shd w:val="clear" w:color="auto" w:fill="auto"/>
            <w:noWrap/>
            <w:vAlign w:val="bottom"/>
            <w:hideMark/>
          </w:tcPr>
          <w:p w:rsidR="00423D41" w:rsidRPr="00423D41" w:rsidRDefault="00423D41" w:rsidP="00423D41">
            <w:pPr>
              <w:jc w:val="right"/>
              <w:rPr>
                <w:rFonts w:ascii="Arial Narrow" w:hAnsi="Arial Narrow" w:cs="Calibri"/>
                <w:b/>
                <w:sz w:val="18"/>
                <w:szCs w:val="18"/>
              </w:rPr>
            </w:pPr>
            <w:r w:rsidRPr="00423D41">
              <w:rPr>
                <w:rFonts w:ascii="Arial Narrow" w:hAnsi="Arial Narrow" w:cs="Calibri"/>
                <w:b/>
                <w:sz w:val="18"/>
                <w:szCs w:val="18"/>
              </w:rPr>
              <w:t>0,1</w:t>
            </w:r>
          </w:p>
        </w:tc>
        <w:tc>
          <w:tcPr>
            <w:tcW w:w="993"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0,6</w:t>
            </w:r>
          </w:p>
        </w:tc>
        <w:tc>
          <w:tcPr>
            <w:tcW w:w="850"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1,0</w:t>
            </w:r>
          </w:p>
        </w:tc>
        <w:tc>
          <w:tcPr>
            <w:tcW w:w="709"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b/>
                <w:bCs/>
                <w:sz w:val="18"/>
                <w:szCs w:val="18"/>
              </w:rPr>
            </w:pPr>
            <w:r>
              <w:rPr>
                <w:rFonts w:ascii="Arial Narrow" w:hAnsi="Arial Narrow" w:cs="Calibri"/>
                <w:b/>
                <w:bCs/>
                <w:sz w:val="18"/>
                <w:szCs w:val="18"/>
              </w:rPr>
              <w:t>0,0</w:t>
            </w:r>
          </w:p>
        </w:tc>
        <w:tc>
          <w:tcPr>
            <w:tcW w:w="850" w:type="dxa"/>
            <w:tcBorders>
              <w:top w:val="nil"/>
              <w:left w:val="nil"/>
              <w:bottom w:val="nil"/>
              <w:right w:val="single" w:sz="4" w:space="0" w:color="FF0000"/>
            </w:tcBorders>
            <w:shd w:val="clear" w:color="auto" w:fill="auto"/>
            <w:noWrap/>
            <w:vAlign w:val="bottom"/>
            <w:hideMark/>
          </w:tcPr>
          <w:p w:rsidR="00423D41" w:rsidRDefault="00D027A2" w:rsidP="00D027A2">
            <w:pPr>
              <w:jc w:val="right"/>
              <w:rPr>
                <w:rFonts w:ascii="Arial Narrow" w:hAnsi="Arial Narrow" w:cs="Calibri"/>
                <w:b/>
                <w:bCs/>
                <w:sz w:val="18"/>
                <w:szCs w:val="18"/>
              </w:rPr>
            </w:pPr>
            <w:r>
              <w:rPr>
                <w:rFonts w:ascii="Arial Narrow" w:hAnsi="Arial Narrow" w:cs="Calibri"/>
                <w:b/>
                <w:bCs/>
                <w:sz w:val="18"/>
                <w:szCs w:val="18"/>
              </w:rPr>
              <w:t>8</w:t>
            </w:r>
            <w:r w:rsidR="005E1723">
              <w:rPr>
                <w:rFonts w:ascii="Arial Narrow" w:hAnsi="Arial Narrow" w:cs="Calibri"/>
                <w:b/>
                <w:bCs/>
                <w:sz w:val="18"/>
                <w:szCs w:val="18"/>
              </w:rPr>
              <w:t>5,1</w:t>
            </w:r>
          </w:p>
        </w:tc>
      </w:tr>
      <w:tr w:rsidR="00423D41" w:rsidTr="00B863E9">
        <w:trPr>
          <w:trHeight w:val="270"/>
        </w:trPr>
        <w:tc>
          <w:tcPr>
            <w:tcW w:w="182" w:type="dxa"/>
            <w:tcBorders>
              <w:top w:val="nil"/>
              <w:left w:val="nil"/>
              <w:bottom w:val="nil"/>
              <w:right w:val="nil"/>
            </w:tcBorders>
            <w:shd w:val="clear" w:color="auto" w:fill="auto"/>
            <w:noWrap/>
            <w:vAlign w:val="center"/>
            <w:hideMark/>
          </w:tcPr>
          <w:p w:rsidR="00423D41" w:rsidRDefault="00423D41" w:rsidP="00423D41">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146"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146" w:type="dxa"/>
            <w:tcBorders>
              <w:top w:val="nil"/>
              <w:left w:val="nil"/>
              <w:bottom w:val="nil"/>
              <w:right w:val="nil"/>
            </w:tcBorders>
            <w:shd w:val="clear" w:color="auto" w:fill="auto"/>
            <w:noWrap/>
            <w:vAlign w:val="center"/>
            <w:hideMark/>
          </w:tcPr>
          <w:p w:rsidR="00423D41" w:rsidRDefault="00423D41" w:rsidP="00423D41">
            <w:pPr>
              <w:rPr>
                <w:sz w:val="20"/>
                <w:szCs w:val="20"/>
              </w:rPr>
            </w:pPr>
          </w:p>
        </w:tc>
        <w:tc>
          <w:tcPr>
            <w:tcW w:w="3023" w:type="dxa"/>
            <w:tcBorders>
              <w:top w:val="nil"/>
              <w:left w:val="nil"/>
              <w:bottom w:val="nil"/>
              <w:right w:val="single" w:sz="4" w:space="0" w:color="FF0000"/>
            </w:tcBorders>
            <w:shd w:val="clear" w:color="auto" w:fill="auto"/>
            <w:noWrap/>
            <w:vAlign w:val="center"/>
            <w:hideMark/>
          </w:tcPr>
          <w:p w:rsidR="00423D41" w:rsidRDefault="00423D41" w:rsidP="00423D41">
            <w:pPr>
              <w:rPr>
                <w:rFonts w:ascii="Arial Narrow" w:hAnsi="Arial Narrow"/>
                <w:sz w:val="18"/>
                <w:szCs w:val="18"/>
              </w:rPr>
            </w:pPr>
            <w:r>
              <w:rPr>
                <w:rFonts w:ascii="Arial Narrow" w:hAnsi="Arial Narrow"/>
                <w:sz w:val="18"/>
                <w:szCs w:val="18"/>
              </w:rPr>
              <w:t>Iné jednorazové dávky</w:t>
            </w:r>
          </w:p>
        </w:tc>
        <w:tc>
          <w:tcPr>
            <w:tcW w:w="1141"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lang w:eastAsia="sk-SK"/>
              </w:rPr>
            </w:pPr>
            <w:r>
              <w:rPr>
                <w:rFonts w:ascii="Arial Narrow" w:hAnsi="Arial Narrow" w:cs="Calibri"/>
                <w:sz w:val="18"/>
                <w:szCs w:val="18"/>
              </w:rPr>
              <w:t>4,0</w:t>
            </w:r>
          </w:p>
        </w:tc>
        <w:tc>
          <w:tcPr>
            <w:tcW w:w="850"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0,1</w:t>
            </w:r>
          </w:p>
        </w:tc>
        <w:tc>
          <w:tcPr>
            <w:tcW w:w="993"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0,6</w:t>
            </w:r>
          </w:p>
        </w:tc>
        <w:tc>
          <w:tcPr>
            <w:tcW w:w="850"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1,0</w:t>
            </w:r>
          </w:p>
        </w:tc>
        <w:tc>
          <w:tcPr>
            <w:tcW w:w="709" w:type="dxa"/>
            <w:tcBorders>
              <w:top w:val="nil"/>
              <w:left w:val="nil"/>
              <w:bottom w:val="nil"/>
              <w:right w:val="single" w:sz="4" w:space="0" w:color="FF0000"/>
            </w:tcBorders>
            <w:shd w:val="clear" w:color="auto" w:fill="auto"/>
            <w:noWrap/>
            <w:vAlign w:val="bottom"/>
            <w:hideMark/>
          </w:tcPr>
          <w:p w:rsidR="00423D41" w:rsidRDefault="00423D41" w:rsidP="00423D41">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single" w:sz="4" w:space="0" w:color="FF0000"/>
            </w:tcBorders>
            <w:shd w:val="clear" w:color="auto" w:fill="auto"/>
            <w:noWrap/>
            <w:vAlign w:val="bottom"/>
            <w:hideMark/>
          </w:tcPr>
          <w:p w:rsidR="00423D41" w:rsidRPr="00A7469F" w:rsidRDefault="00D027A2" w:rsidP="005E1723">
            <w:pPr>
              <w:jc w:val="right"/>
              <w:rPr>
                <w:rFonts w:ascii="Arial Narrow" w:hAnsi="Arial Narrow" w:cs="Calibri"/>
                <w:bCs/>
                <w:sz w:val="18"/>
                <w:szCs w:val="18"/>
              </w:rPr>
            </w:pPr>
            <w:r w:rsidRPr="00A7469F">
              <w:rPr>
                <w:rFonts w:ascii="Arial Narrow" w:hAnsi="Arial Narrow" w:cs="Calibri"/>
                <w:bCs/>
                <w:sz w:val="18"/>
                <w:szCs w:val="18"/>
              </w:rPr>
              <w:t>8</w:t>
            </w:r>
            <w:r w:rsidR="005E1723">
              <w:rPr>
                <w:rFonts w:ascii="Arial Narrow" w:hAnsi="Arial Narrow" w:cs="Calibri"/>
                <w:bCs/>
                <w:sz w:val="18"/>
                <w:szCs w:val="18"/>
              </w:rPr>
              <w:t>5,1</w:t>
            </w:r>
          </w:p>
        </w:tc>
      </w:tr>
      <w:tr w:rsidR="00B863E9" w:rsidTr="00B863E9">
        <w:trPr>
          <w:trHeight w:val="270"/>
        </w:trPr>
        <w:tc>
          <w:tcPr>
            <w:tcW w:w="182" w:type="dxa"/>
            <w:tcBorders>
              <w:top w:val="nil"/>
              <w:left w:val="nil"/>
              <w:bottom w:val="nil"/>
              <w:right w:val="nil"/>
            </w:tcBorders>
            <w:shd w:val="clear" w:color="000000" w:fill="E2EFDA"/>
            <w:noWrap/>
            <w:vAlign w:val="center"/>
            <w:hideMark/>
          </w:tcPr>
          <w:p w:rsidR="00B863E9" w:rsidRDefault="00B863E9">
            <w:pPr>
              <w:rPr>
                <w:rFonts w:ascii="Arial Narrow" w:hAnsi="Arial Narrow"/>
                <w:b/>
                <w:bCs/>
                <w:sz w:val="18"/>
                <w:szCs w:val="18"/>
              </w:rPr>
            </w:pPr>
            <w:r>
              <w:rPr>
                <w:rFonts w:ascii="Arial Narrow" w:hAnsi="Arial Narrow"/>
                <w:b/>
                <w:bCs/>
                <w:sz w:val="18"/>
                <w:szCs w:val="18"/>
              </w:rPr>
              <w:t> </w:t>
            </w:r>
          </w:p>
        </w:tc>
        <w:tc>
          <w:tcPr>
            <w:tcW w:w="182" w:type="dxa"/>
            <w:tcBorders>
              <w:top w:val="nil"/>
              <w:left w:val="nil"/>
              <w:bottom w:val="nil"/>
              <w:right w:val="nil"/>
            </w:tcBorders>
            <w:shd w:val="clear" w:color="000000" w:fill="E2EFDA"/>
            <w:noWrap/>
            <w:vAlign w:val="center"/>
            <w:hideMark/>
          </w:tcPr>
          <w:p w:rsidR="00B863E9" w:rsidRDefault="00B863E9">
            <w:pPr>
              <w:rPr>
                <w:rFonts w:ascii="Arial Narrow" w:hAnsi="Arial Narrow"/>
                <w:b/>
                <w:bCs/>
                <w:sz w:val="18"/>
                <w:szCs w:val="18"/>
              </w:rPr>
            </w:pPr>
            <w:r>
              <w:rPr>
                <w:rFonts w:ascii="Arial Narrow" w:hAnsi="Arial Narrow"/>
                <w:b/>
                <w:bCs/>
                <w:sz w:val="18"/>
                <w:szCs w:val="18"/>
              </w:rPr>
              <w:t> </w:t>
            </w:r>
          </w:p>
        </w:tc>
        <w:tc>
          <w:tcPr>
            <w:tcW w:w="3315" w:type="dxa"/>
            <w:gridSpan w:val="3"/>
            <w:tcBorders>
              <w:top w:val="nil"/>
              <w:left w:val="nil"/>
              <w:bottom w:val="nil"/>
              <w:right w:val="single" w:sz="4" w:space="0" w:color="FF0000"/>
            </w:tcBorders>
            <w:shd w:val="clear" w:color="000000" w:fill="E2EFDA"/>
            <w:noWrap/>
            <w:vAlign w:val="center"/>
            <w:hideMark/>
          </w:tcPr>
          <w:p w:rsidR="00B863E9" w:rsidRDefault="00B863E9">
            <w:pPr>
              <w:rPr>
                <w:rFonts w:ascii="Arial Narrow" w:hAnsi="Arial Narrow"/>
                <w:b/>
                <w:bCs/>
                <w:sz w:val="18"/>
                <w:szCs w:val="18"/>
              </w:rPr>
            </w:pPr>
            <w:r>
              <w:rPr>
                <w:rFonts w:ascii="Arial Narrow" w:hAnsi="Arial Narrow"/>
                <w:b/>
                <w:bCs/>
                <w:sz w:val="18"/>
                <w:szCs w:val="18"/>
              </w:rPr>
              <w:t>Vecné dávky</w:t>
            </w:r>
          </w:p>
        </w:tc>
        <w:tc>
          <w:tcPr>
            <w:tcW w:w="1141" w:type="dxa"/>
            <w:tcBorders>
              <w:top w:val="nil"/>
              <w:left w:val="nil"/>
              <w:bottom w:val="nil"/>
              <w:right w:val="single" w:sz="4" w:space="0" w:color="FF0000"/>
            </w:tcBorders>
            <w:shd w:val="clear" w:color="000000" w:fill="E2EFDA"/>
            <w:noWrap/>
            <w:vAlign w:val="bottom"/>
            <w:hideMark/>
          </w:tcPr>
          <w:p w:rsidR="00B863E9" w:rsidRPr="005E1723" w:rsidRDefault="005E1723">
            <w:pPr>
              <w:jc w:val="right"/>
              <w:rPr>
                <w:rFonts w:ascii="Arial Narrow" w:hAnsi="Arial Narrow" w:cs="Calibri"/>
                <w:b/>
                <w:bCs/>
                <w:sz w:val="18"/>
                <w:szCs w:val="18"/>
              </w:rPr>
            </w:pPr>
            <w:r w:rsidRPr="005E1723">
              <w:rPr>
                <w:rFonts w:ascii="Arial Narrow" w:hAnsi="Arial Narrow" w:cs="Calibri"/>
                <w:b/>
                <w:bCs/>
                <w:sz w:val="18"/>
                <w:szCs w:val="18"/>
              </w:rPr>
              <w:t>4723,3</w:t>
            </w:r>
          </w:p>
        </w:tc>
        <w:tc>
          <w:tcPr>
            <w:tcW w:w="850" w:type="dxa"/>
            <w:tcBorders>
              <w:top w:val="nil"/>
              <w:left w:val="nil"/>
              <w:bottom w:val="nil"/>
              <w:right w:val="single" w:sz="4" w:space="0" w:color="FF0000"/>
            </w:tcBorders>
            <w:shd w:val="clear" w:color="000000" w:fill="E2EFDA"/>
            <w:noWrap/>
            <w:vAlign w:val="bottom"/>
            <w:hideMark/>
          </w:tcPr>
          <w:p w:rsidR="00B863E9" w:rsidRDefault="005E1723">
            <w:pPr>
              <w:jc w:val="right"/>
              <w:rPr>
                <w:rFonts w:ascii="Arial Narrow" w:hAnsi="Arial Narrow"/>
                <w:b/>
                <w:bCs/>
                <w:sz w:val="18"/>
                <w:szCs w:val="18"/>
              </w:rPr>
            </w:pPr>
            <w:r>
              <w:rPr>
                <w:rFonts w:ascii="Arial Narrow" w:hAnsi="Arial Narrow"/>
                <w:b/>
                <w:bCs/>
                <w:sz w:val="18"/>
                <w:szCs w:val="18"/>
              </w:rPr>
              <w:t>88,6</w:t>
            </w:r>
          </w:p>
        </w:tc>
        <w:tc>
          <w:tcPr>
            <w:tcW w:w="993" w:type="dxa"/>
            <w:tcBorders>
              <w:top w:val="nil"/>
              <w:left w:val="nil"/>
              <w:bottom w:val="nil"/>
              <w:right w:val="single" w:sz="4" w:space="0" w:color="FF0000"/>
            </w:tcBorders>
            <w:shd w:val="clear" w:color="000000" w:fill="E2EFDA"/>
            <w:noWrap/>
            <w:vAlign w:val="bottom"/>
            <w:hideMark/>
          </w:tcPr>
          <w:p w:rsidR="00B863E9" w:rsidRDefault="005E1723">
            <w:pPr>
              <w:jc w:val="right"/>
              <w:rPr>
                <w:rFonts w:ascii="Arial Narrow" w:hAnsi="Arial Narrow"/>
                <w:b/>
                <w:bCs/>
                <w:sz w:val="18"/>
                <w:szCs w:val="18"/>
              </w:rPr>
            </w:pPr>
            <w:r>
              <w:rPr>
                <w:rFonts w:ascii="Arial Narrow" w:hAnsi="Arial Narrow"/>
                <w:b/>
                <w:bCs/>
                <w:sz w:val="18"/>
                <w:szCs w:val="18"/>
              </w:rPr>
              <w:t>747,5</w:t>
            </w:r>
          </w:p>
        </w:tc>
        <w:tc>
          <w:tcPr>
            <w:tcW w:w="850" w:type="dxa"/>
            <w:tcBorders>
              <w:top w:val="nil"/>
              <w:left w:val="nil"/>
              <w:bottom w:val="nil"/>
              <w:right w:val="single" w:sz="4" w:space="0" w:color="FF0000"/>
            </w:tcBorders>
            <w:shd w:val="clear" w:color="000000" w:fill="E2EFDA"/>
            <w:noWrap/>
            <w:vAlign w:val="bottom"/>
            <w:hideMark/>
          </w:tcPr>
          <w:p w:rsidR="00B863E9" w:rsidRDefault="005E1723">
            <w:pPr>
              <w:jc w:val="right"/>
              <w:rPr>
                <w:rFonts w:ascii="Arial Narrow" w:hAnsi="Arial Narrow"/>
                <w:b/>
                <w:bCs/>
                <w:sz w:val="18"/>
                <w:szCs w:val="18"/>
              </w:rPr>
            </w:pPr>
            <w:r>
              <w:rPr>
                <w:rFonts w:ascii="Arial Narrow" w:hAnsi="Arial Narrow"/>
                <w:b/>
                <w:bCs/>
                <w:sz w:val="18"/>
                <w:szCs w:val="18"/>
              </w:rPr>
              <w:t>1192,5</w:t>
            </w:r>
          </w:p>
        </w:tc>
        <w:tc>
          <w:tcPr>
            <w:tcW w:w="709" w:type="dxa"/>
            <w:tcBorders>
              <w:top w:val="nil"/>
              <w:left w:val="nil"/>
              <w:bottom w:val="nil"/>
              <w:right w:val="single" w:sz="4" w:space="0" w:color="FF0000"/>
            </w:tcBorders>
            <w:shd w:val="clear" w:color="000000" w:fill="E2EFDA"/>
            <w:noWrap/>
            <w:vAlign w:val="bottom"/>
            <w:hideMark/>
          </w:tcPr>
          <w:p w:rsidR="00B863E9" w:rsidRDefault="00B863E9">
            <w:pPr>
              <w:jc w:val="right"/>
              <w:rPr>
                <w:rFonts w:ascii="Arial Narrow" w:hAnsi="Arial Narrow"/>
                <w:b/>
                <w:bCs/>
                <w:sz w:val="18"/>
                <w:szCs w:val="18"/>
              </w:rPr>
            </w:pPr>
            <w:r>
              <w:rPr>
                <w:rFonts w:ascii="Arial Narrow" w:hAnsi="Arial Narrow"/>
                <w:b/>
                <w:bCs/>
                <w:sz w:val="18"/>
                <w:szCs w:val="18"/>
              </w:rPr>
              <w:t>5</w:t>
            </w:r>
            <w:r w:rsidR="005E1723">
              <w:rPr>
                <w:rFonts w:ascii="Arial Narrow" w:hAnsi="Arial Narrow"/>
                <w:b/>
                <w:bCs/>
                <w:sz w:val="18"/>
                <w:szCs w:val="18"/>
              </w:rPr>
              <w:t>,0</w:t>
            </w:r>
          </w:p>
        </w:tc>
        <w:tc>
          <w:tcPr>
            <w:tcW w:w="850" w:type="dxa"/>
            <w:tcBorders>
              <w:top w:val="nil"/>
              <w:left w:val="nil"/>
              <w:bottom w:val="nil"/>
              <w:right w:val="single" w:sz="4" w:space="0" w:color="FF0000"/>
            </w:tcBorders>
            <w:shd w:val="clear" w:color="000000" w:fill="E2EFDA"/>
            <w:noWrap/>
            <w:vAlign w:val="bottom"/>
            <w:hideMark/>
          </w:tcPr>
          <w:p w:rsidR="00B863E9" w:rsidRDefault="00D027A2">
            <w:pPr>
              <w:jc w:val="right"/>
              <w:rPr>
                <w:rFonts w:ascii="Arial Narrow" w:hAnsi="Arial Narrow"/>
                <w:b/>
                <w:bCs/>
                <w:sz w:val="18"/>
                <w:szCs w:val="18"/>
              </w:rPr>
            </w:pPr>
            <w:r>
              <w:rPr>
                <w:rFonts w:ascii="Arial Narrow" w:hAnsi="Arial Narrow"/>
                <w:b/>
                <w:bCs/>
                <w:sz w:val="18"/>
                <w:szCs w:val="18"/>
              </w:rPr>
              <w:t>102</w:t>
            </w:r>
            <w:r w:rsidR="00B863E9">
              <w:rPr>
                <w:rFonts w:ascii="Arial Narrow" w:hAnsi="Arial Narrow"/>
                <w:b/>
                <w:bCs/>
                <w:sz w:val="18"/>
                <w:szCs w:val="18"/>
              </w:rPr>
              <w:t>,0</w:t>
            </w:r>
          </w:p>
        </w:tc>
      </w:tr>
      <w:tr w:rsidR="00B863E9" w:rsidTr="00B863E9">
        <w:trPr>
          <w:trHeight w:val="270"/>
        </w:trPr>
        <w:tc>
          <w:tcPr>
            <w:tcW w:w="182" w:type="dxa"/>
            <w:tcBorders>
              <w:top w:val="nil"/>
              <w:left w:val="nil"/>
              <w:bottom w:val="nil"/>
              <w:right w:val="nil"/>
            </w:tcBorders>
            <w:shd w:val="clear" w:color="auto" w:fill="auto"/>
            <w:noWrap/>
            <w:vAlign w:val="center"/>
            <w:hideMark/>
          </w:tcPr>
          <w:p w:rsidR="00B863E9" w:rsidRDefault="00B863E9">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center"/>
            <w:hideMark/>
          </w:tcPr>
          <w:p w:rsidR="00B863E9" w:rsidRDefault="00B863E9">
            <w:pPr>
              <w:rPr>
                <w:sz w:val="20"/>
                <w:szCs w:val="20"/>
              </w:rPr>
            </w:pPr>
          </w:p>
        </w:tc>
        <w:tc>
          <w:tcPr>
            <w:tcW w:w="3169" w:type="dxa"/>
            <w:gridSpan w:val="2"/>
            <w:tcBorders>
              <w:top w:val="nil"/>
              <w:left w:val="nil"/>
              <w:bottom w:val="nil"/>
              <w:right w:val="single" w:sz="4" w:space="0" w:color="FF0000"/>
            </w:tcBorders>
            <w:shd w:val="clear" w:color="auto" w:fill="auto"/>
            <w:noWrap/>
            <w:vAlign w:val="center"/>
            <w:hideMark/>
          </w:tcPr>
          <w:p w:rsidR="00B863E9" w:rsidRDefault="00B863E9">
            <w:pPr>
              <w:rPr>
                <w:rFonts w:ascii="Arial Narrow" w:hAnsi="Arial Narrow"/>
                <w:b/>
                <w:bCs/>
                <w:sz w:val="18"/>
                <w:szCs w:val="18"/>
              </w:rPr>
            </w:pPr>
            <w:r>
              <w:rPr>
                <w:rFonts w:ascii="Arial Narrow" w:hAnsi="Arial Narrow"/>
                <w:b/>
                <w:bCs/>
                <w:sz w:val="18"/>
                <w:szCs w:val="18"/>
              </w:rPr>
              <w:t>Ústavná zdrav. starostlivosť</w:t>
            </w:r>
          </w:p>
        </w:tc>
        <w:tc>
          <w:tcPr>
            <w:tcW w:w="1141" w:type="dxa"/>
            <w:tcBorders>
              <w:top w:val="nil"/>
              <w:left w:val="nil"/>
              <w:bottom w:val="nil"/>
              <w:right w:val="single" w:sz="4" w:space="0" w:color="FF0000"/>
            </w:tcBorders>
            <w:shd w:val="clear" w:color="auto" w:fill="auto"/>
            <w:noWrap/>
            <w:vAlign w:val="bottom"/>
            <w:hideMark/>
          </w:tcPr>
          <w:p w:rsidR="00B863E9" w:rsidRPr="005E1723" w:rsidRDefault="005E1723">
            <w:pPr>
              <w:jc w:val="right"/>
              <w:rPr>
                <w:rFonts w:ascii="Arial Narrow" w:hAnsi="Arial Narrow" w:cs="Calibri"/>
                <w:b/>
                <w:bCs/>
                <w:sz w:val="18"/>
                <w:szCs w:val="18"/>
              </w:rPr>
            </w:pPr>
            <w:r w:rsidRPr="005E1723">
              <w:rPr>
                <w:rFonts w:ascii="Arial Narrow" w:hAnsi="Arial Narrow" w:cs="Calibri"/>
                <w:b/>
                <w:bCs/>
                <w:sz w:val="18"/>
                <w:szCs w:val="18"/>
              </w:rPr>
              <w:t>1674,9</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b/>
                <w:bCs/>
                <w:sz w:val="18"/>
                <w:szCs w:val="18"/>
              </w:rPr>
            </w:pPr>
            <w:r>
              <w:rPr>
                <w:rFonts w:ascii="Arial Narrow" w:hAnsi="Arial Narrow"/>
                <w:b/>
                <w:bCs/>
                <w:sz w:val="18"/>
                <w:szCs w:val="18"/>
              </w:rPr>
              <w:t>31,4</w:t>
            </w:r>
          </w:p>
        </w:tc>
        <w:tc>
          <w:tcPr>
            <w:tcW w:w="993"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b/>
                <w:bCs/>
                <w:sz w:val="18"/>
                <w:szCs w:val="18"/>
              </w:rPr>
            </w:pPr>
            <w:r>
              <w:rPr>
                <w:rFonts w:ascii="Arial Narrow" w:hAnsi="Arial Narrow"/>
                <w:b/>
                <w:bCs/>
                <w:sz w:val="18"/>
                <w:szCs w:val="18"/>
              </w:rPr>
              <w:t>265,1</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b/>
                <w:bCs/>
                <w:sz w:val="18"/>
                <w:szCs w:val="18"/>
              </w:rPr>
            </w:pPr>
            <w:r>
              <w:rPr>
                <w:rFonts w:ascii="Arial Narrow" w:hAnsi="Arial Narrow"/>
                <w:b/>
                <w:bCs/>
                <w:sz w:val="18"/>
                <w:szCs w:val="18"/>
              </w:rPr>
              <w:t>354,6</w:t>
            </w:r>
          </w:p>
        </w:tc>
        <w:tc>
          <w:tcPr>
            <w:tcW w:w="709"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b/>
                <w:bCs/>
                <w:sz w:val="18"/>
                <w:szCs w:val="18"/>
              </w:rPr>
            </w:pPr>
            <w:r>
              <w:rPr>
                <w:rFonts w:ascii="Arial Narrow" w:hAnsi="Arial Narrow"/>
                <w:b/>
                <w:bCs/>
                <w:sz w:val="18"/>
                <w:szCs w:val="18"/>
              </w:rPr>
              <w:t>1,5</w:t>
            </w:r>
          </w:p>
        </w:tc>
        <w:tc>
          <w:tcPr>
            <w:tcW w:w="850" w:type="dxa"/>
            <w:tcBorders>
              <w:top w:val="nil"/>
              <w:left w:val="nil"/>
              <w:bottom w:val="nil"/>
              <w:right w:val="single" w:sz="4" w:space="0" w:color="FF0000"/>
            </w:tcBorders>
            <w:shd w:val="clear" w:color="auto" w:fill="auto"/>
            <w:noWrap/>
            <w:vAlign w:val="bottom"/>
            <w:hideMark/>
          </w:tcPr>
          <w:p w:rsidR="00B863E9" w:rsidRDefault="00D027A2">
            <w:pPr>
              <w:jc w:val="right"/>
              <w:rPr>
                <w:rFonts w:ascii="Arial Narrow" w:hAnsi="Arial Narrow"/>
                <w:b/>
                <w:bCs/>
                <w:sz w:val="18"/>
                <w:szCs w:val="18"/>
              </w:rPr>
            </w:pPr>
            <w:r>
              <w:rPr>
                <w:rFonts w:ascii="Arial Narrow" w:hAnsi="Arial Narrow"/>
                <w:b/>
                <w:bCs/>
                <w:sz w:val="18"/>
                <w:szCs w:val="18"/>
              </w:rPr>
              <w:t>12</w:t>
            </w:r>
            <w:r w:rsidR="00B863E9">
              <w:rPr>
                <w:rFonts w:ascii="Arial Narrow" w:hAnsi="Arial Narrow"/>
                <w:b/>
                <w:bCs/>
                <w:sz w:val="18"/>
                <w:szCs w:val="18"/>
              </w:rPr>
              <w:t>1,3</w:t>
            </w:r>
          </w:p>
        </w:tc>
      </w:tr>
      <w:tr w:rsidR="00B863E9" w:rsidTr="00B863E9">
        <w:trPr>
          <w:trHeight w:val="270"/>
        </w:trPr>
        <w:tc>
          <w:tcPr>
            <w:tcW w:w="182" w:type="dxa"/>
            <w:tcBorders>
              <w:top w:val="nil"/>
              <w:left w:val="nil"/>
              <w:bottom w:val="nil"/>
              <w:right w:val="nil"/>
            </w:tcBorders>
            <w:shd w:val="clear" w:color="auto" w:fill="auto"/>
            <w:noWrap/>
            <w:vAlign w:val="center"/>
            <w:hideMark/>
          </w:tcPr>
          <w:p w:rsidR="00B863E9" w:rsidRDefault="00B863E9">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center"/>
            <w:hideMark/>
          </w:tcPr>
          <w:p w:rsidR="00B863E9" w:rsidRDefault="00B863E9">
            <w:pPr>
              <w:rPr>
                <w:sz w:val="20"/>
                <w:szCs w:val="20"/>
              </w:rPr>
            </w:pPr>
          </w:p>
        </w:tc>
        <w:tc>
          <w:tcPr>
            <w:tcW w:w="3023" w:type="dxa"/>
            <w:tcBorders>
              <w:top w:val="nil"/>
              <w:left w:val="nil"/>
              <w:bottom w:val="nil"/>
              <w:right w:val="single" w:sz="4" w:space="0" w:color="FF0000"/>
            </w:tcBorders>
            <w:shd w:val="clear" w:color="auto" w:fill="auto"/>
            <w:noWrap/>
            <w:vAlign w:val="center"/>
            <w:hideMark/>
          </w:tcPr>
          <w:p w:rsidR="00B863E9" w:rsidRDefault="00B863E9">
            <w:pPr>
              <w:rPr>
                <w:rFonts w:ascii="Arial Narrow" w:hAnsi="Arial Narrow"/>
                <w:sz w:val="18"/>
                <w:szCs w:val="18"/>
              </w:rPr>
            </w:pPr>
            <w:r>
              <w:rPr>
                <w:rFonts w:ascii="Arial Narrow" w:hAnsi="Arial Narrow"/>
                <w:sz w:val="18"/>
                <w:szCs w:val="18"/>
              </w:rPr>
              <w:t>Priamo poskytnutá</w:t>
            </w:r>
          </w:p>
        </w:tc>
        <w:tc>
          <w:tcPr>
            <w:tcW w:w="1141" w:type="dxa"/>
            <w:tcBorders>
              <w:top w:val="nil"/>
              <w:left w:val="nil"/>
              <w:bottom w:val="nil"/>
              <w:right w:val="single" w:sz="4" w:space="0" w:color="FF0000"/>
            </w:tcBorders>
            <w:shd w:val="clear" w:color="auto" w:fill="auto"/>
            <w:noWrap/>
            <w:vAlign w:val="bottom"/>
            <w:hideMark/>
          </w:tcPr>
          <w:p w:rsidR="00B863E9" w:rsidRPr="005E1723" w:rsidRDefault="005E1723">
            <w:pPr>
              <w:jc w:val="right"/>
              <w:rPr>
                <w:rFonts w:ascii="Arial Narrow" w:hAnsi="Arial Narrow" w:cs="Calibri"/>
                <w:bCs/>
                <w:sz w:val="18"/>
                <w:szCs w:val="18"/>
              </w:rPr>
            </w:pPr>
            <w:r w:rsidRPr="005E1723">
              <w:rPr>
                <w:rFonts w:ascii="Arial Narrow" w:hAnsi="Arial Narrow" w:cs="Calibri"/>
                <w:bCs/>
                <w:sz w:val="18"/>
                <w:szCs w:val="18"/>
              </w:rPr>
              <w:t>1674,9</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31,4</w:t>
            </w:r>
          </w:p>
        </w:tc>
        <w:tc>
          <w:tcPr>
            <w:tcW w:w="993"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265,1</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354,6</w:t>
            </w:r>
          </w:p>
        </w:tc>
        <w:tc>
          <w:tcPr>
            <w:tcW w:w="709"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1,5</w:t>
            </w:r>
          </w:p>
        </w:tc>
        <w:tc>
          <w:tcPr>
            <w:tcW w:w="850" w:type="dxa"/>
            <w:tcBorders>
              <w:top w:val="nil"/>
              <w:left w:val="nil"/>
              <w:bottom w:val="nil"/>
              <w:right w:val="single" w:sz="4" w:space="0" w:color="FF0000"/>
            </w:tcBorders>
            <w:shd w:val="clear" w:color="auto" w:fill="auto"/>
            <w:noWrap/>
            <w:vAlign w:val="bottom"/>
            <w:hideMark/>
          </w:tcPr>
          <w:p w:rsidR="00B863E9" w:rsidRDefault="00D027A2">
            <w:pPr>
              <w:jc w:val="right"/>
              <w:rPr>
                <w:rFonts w:ascii="Arial Narrow" w:hAnsi="Arial Narrow"/>
                <w:sz w:val="18"/>
                <w:szCs w:val="18"/>
              </w:rPr>
            </w:pPr>
            <w:r>
              <w:rPr>
                <w:rFonts w:ascii="Arial Narrow" w:hAnsi="Arial Narrow"/>
                <w:sz w:val="18"/>
                <w:szCs w:val="18"/>
              </w:rPr>
              <w:t>12</w:t>
            </w:r>
            <w:r w:rsidR="00B863E9">
              <w:rPr>
                <w:rFonts w:ascii="Arial Narrow" w:hAnsi="Arial Narrow"/>
                <w:sz w:val="18"/>
                <w:szCs w:val="18"/>
              </w:rPr>
              <w:t>1,3</w:t>
            </w:r>
          </w:p>
        </w:tc>
      </w:tr>
      <w:tr w:rsidR="00B863E9" w:rsidTr="00B863E9">
        <w:trPr>
          <w:trHeight w:val="270"/>
        </w:trPr>
        <w:tc>
          <w:tcPr>
            <w:tcW w:w="182" w:type="dxa"/>
            <w:tcBorders>
              <w:top w:val="nil"/>
              <w:left w:val="nil"/>
              <w:bottom w:val="nil"/>
              <w:right w:val="nil"/>
            </w:tcBorders>
            <w:shd w:val="clear" w:color="auto" w:fill="auto"/>
            <w:noWrap/>
            <w:vAlign w:val="center"/>
            <w:hideMark/>
          </w:tcPr>
          <w:p w:rsidR="00B863E9" w:rsidRDefault="00B863E9">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center"/>
            <w:hideMark/>
          </w:tcPr>
          <w:p w:rsidR="00B863E9" w:rsidRDefault="00B863E9">
            <w:pPr>
              <w:rPr>
                <w:sz w:val="20"/>
                <w:szCs w:val="20"/>
              </w:rPr>
            </w:pPr>
          </w:p>
        </w:tc>
        <w:tc>
          <w:tcPr>
            <w:tcW w:w="3023" w:type="dxa"/>
            <w:tcBorders>
              <w:top w:val="nil"/>
              <w:left w:val="nil"/>
              <w:bottom w:val="nil"/>
              <w:right w:val="single" w:sz="4" w:space="0" w:color="FF0000"/>
            </w:tcBorders>
            <w:shd w:val="clear" w:color="auto" w:fill="auto"/>
            <w:noWrap/>
            <w:vAlign w:val="center"/>
            <w:hideMark/>
          </w:tcPr>
          <w:p w:rsidR="00B863E9" w:rsidRDefault="00B863E9">
            <w:pPr>
              <w:rPr>
                <w:rFonts w:ascii="Arial Narrow" w:hAnsi="Arial Narrow"/>
                <w:sz w:val="18"/>
                <w:szCs w:val="18"/>
              </w:rPr>
            </w:pPr>
            <w:r>
              <w:rPr>
                <w:rFonts w:ascii="Arial Narrow" w:hAnsi="Arial Narrow"/>
                <w:sz w:val="18"/>
                <w:szCs w:val="18"/>
              </w:rPr>
              <w:t xml:space="preserve">Refundácia nákladov </w:t>
            </w:r>
          </w:p>
        </w:tc>
        <w:tc>
          <w:tcPr>
            <w:tcW w:w="1141" w:type="dxa"/>
            <w:tcBorders>
              <w:top w:val="nil"/>
              <w:left w:val="nil"/>
              <w:bottom w:val="nil"/>
              <w:right w:val="single" w:sz="4" w:space="0" w:color="FF0000"/>
            </w:tcBorders>
            <w:shd w:val="clear" w:color="auto" w:fill="auto"/>
            <w:noWrap/>
            <w:vAlign w:val="bottom"/>
            <w:hideMark/>
          </w:tcPr>
          <w:p w:rsidR="00B863E9" w:rsidRPr="005E1723" w:rsidRDefault="00B863E9">
            <w:pPr>
              <w:jc w:val="right"/>
              <w:rPr>
                <w:rFonts w:ascii="Arial Narrow" w:hAnsi="Arial Narrow" w:cs="Calibri"/>
                <w:bCs/>
                <w:sz w:val="18"/>
                <w:szCs w:val="18"/>
              </w:rPr>
            </w:pPr>
            <w:r w:rsidRPr="005E1723">
              <w:rPr>
                <w:rFonts w:ascii="Arial Narrow" w:hAnsi="Arial Narrow" w:cs="Calibri"/>
                <w:bCs/>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993"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x</w:t>
            </w:r>
          </w:p>
        </w:tc>
      </w:tr>
      <w:tr w:rsidR="00B863E9" w:rsidTr="00B863E9">
        <w:trPr>
          <w:trHeight w:val="270"/>
        </w:trPr>
        <w:tc>
          <w:tcPr>
            <w:tcW w:w="182" w:type="dxa"/>
            <w:tcBorders>
              <w:top w:val="nil"/>
              <w:left w:val="nil"/>
              <w:bottom w:val="nil"/>
              <w:right w:val="nil"/>
            </w:tcBorders>
            <w:shd w:val="clear" w:color="auto" w:fill="auto"/>
            <w:noWrap/>
            <w:vAlign w:val="center"/>
            <w:hideMark/>
          </w:tcPr>
          <w:p w:rsidR="00B863E9" w:rsidRDefault="00B863E9">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center"/>
            <w:hideMark/>
          </w:tcPr>
          <w:p w:rsidR="00B863E9" w:rsidRDefault="00B863E9">
            <w:pPr>
              <w:rPr>
                <w:sz w:val="20"/>
                <w:szCs w:val="20"/>
              </w:rPr>
            </w:pPr>
          </w:p>
        </w:tc>
        <w:tc>
          <w:tcPr>
            <w:tcW w:w="3169" w:type="dxa"/>
            <w:gridSpan w:val="2"/>
            <w:tcBorders>
              <w:top w:val="nil"/>
              <w:left w:val="nil"/>
              <w:bottom w:val="nil"/>
              <w:right w:val="single" w:sz="4" w:space="0" w:color="FF0000"/>
            </w:tcBorders>
            <w:shd w:val="clear" w:color="auto" w:fill="auto"/>
            <w:noWrap/>
            <w:vAlign w:val="center"/>
            <w:hideMark/>
          </w:tcPr>
          <w:p w:rsidR="00B863E9" w:rsidRDefault="00B863E9">
            <w:pPr>
              <w:rPr>
                <w:rFonts w:ascii="Arial Narrow" w:hAnsi="Arial Narrow"/>
                <w:b/>
                <w:bCs/>
                <w:sz w:val="18"/>
                <w:szCs w:val="18"/>
              </w:rPr>
            </w:pPr>
            <w:r>
              <w:rPr>
                <w:rFonts w:ascii="Arial Narrow" w:hAnsi="Arial Narrow"/>
                <w:b/>
                <w:bCs/>
                <w:sz w:val="18"/>
                <w:szCs w:val="18"/>
              </w:rPr>
              <w:t>Ambulantná zdrav. starostlivosť</w:t>
            </w:r>
          </w:p>
        </w:tc>
        <w:tc>
          <w:tcPr>
            <w:tcW w:w="1141" w:type="dxa"/>
            <w:tcBorders>
              <w:top w:val="nil"/>
              <w:left w:val="nil"/>
              <w:bottom w:val="nil"/>
              <w:right w:val="single" w:sz="4" w:space="0" w:color="FF0000"/>
            </w:tcBorders>
            <w:shd w:val="clear" w:color="auto" w:fill="auto"/>
            <w:noWrap/>
            <w:vAlign w:val="bottom"/>
            <w:hideMark/>
          </w:tcPr>
          <w:p w:rsidR="00B863E9" w:rsidRPr="005E1723" w:rsidRDefault="005E1723">
            <w:pPr>
              <w:jc w:val="right"/>
              <w:rPr>
                <w:rFonts w:ascii="Arial Narrow" w:hAnsi="Arial Narrow" w:cs="Calibri"/>
                <w:b/>
                <w:bCs/>
                <w:sz w:val="18"/>
                <w:szCs w:val="18"/>
              </w:rPr>
            </w:pPr>
            <w:r w:rsidRPr="005E1723">
              <w:rPr>
                <w:rFonts w:ascii="Arial Narrow" w:hAnsi="Arial Narrow" w:cs="Calibri"/>
                <w:b/>
                <w:bCs/>
                <w:sz w:val="18"/>
                <w:szCs w:val="18"/>
              </w:rPr>
              <w:t>2987,1</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b/>
                <w:bCs/>
                <w:sz w:val="18"/>
                <w:szCs w:val="18"/>
              </w:rPr>
            </w:pPr>
            <w:r>
              <w:rPr>
                <w:rFonts w:ascii="Arial Narrow" w:hAnsi="Arial Narrow"/>
                <w:b/>
                <w:bCs/>
                <w:sz w:val="18"/>
                <w:szCs w:val="18"/>
              </w:rPr>
              <w:t>56,0</w:t>
            </w:r>
          </w:p>
        </w:tc>
        <w:tc>
          <w:tcPr>
            <w:tcW w:w="993"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b/>
                <w:bCs/>
                <w:sz w:val="18"/>
                <w:szCs w:val="18"/>
              </w:rPr>
            </w:pPr>
            <w:r>
              <w:rPr>
                <w:rFonts w:ascii="Arial Narrow" w:hAnsi="Arial Narrow"/>
                <w:b/>
                <w:bCs/>
                <w:sz w:val="18"/>
                <w:szCs w:val="18"/>
              </w:rPr>
              <w:t>472,8</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b/>
                <w:bCs/>
                <w:sz w:val="18"/>
                <w:szCs w:val="18"/>
              </w:rPr>
            </w:pPr>
            <w:r>
              <w:rPr>
                <w:rFonts w:ascii="Arial Narrow" w:hAnsi="Arial Narrow"/>
                <w:b/>
                <w:bCs/>
                <w:sz w:val="18"/>
                <w:szCs w:val="18"/>
              </w:rPr>
              <w:t>754,1</w:t>
            </w:r>
          </w:p>
        </w:tc>
        <w:tc>
          <w:tcPr>
            <w:tcW w:w="709"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b/>
                <w:bCs/>
                <w:sz w:val="18"/>
                <w:szCs w:val="18"/>
              </w:rPr>
            </w:pPr>
            <w:r>
              <w:rPr>
                <w:rFonts w:ascii="Arial Narrow" w:hAnsi="Arial Narrow"/>
                <w:b/>
                <w:bCs/>
                <w:sz w:val="18"/>
                <w:szCs w:val="18"/>
              </w:rPr>
              <w:t>3,2</w:t>
            </w:r>
          </w:p>
        </w:tc>
        <w:tc>
          <w:tcPr>
            <w:tcW w:w="850" w:type="dxa"/>
            <w:tcBorders>
              <w:top w:val="nil"/>
              <w:left w:val="nil"/>
              <w:bottom w:val="nil"/>
              <w:right w:val="single" w:sz="4" w:space="0" w:color="FF0000"/>
            </w:tcBorders>
            <w:shd w:val="clear" w:color="auto" w:fill="auto"/>
            <w:noWrap/>
            <w:vAlign w:val="bottom"/>
            <w:hideMark/>
          </w:tcPr>
          <w:p w:rsidR="00B863E9" w:rsidRPr="00D027A2" w:rsidRDefault="00D027A2" w:rsidP="00D027A2">
            <w:pPr>
              <w:jc w:val="right"/>
              <w:rPr>
                <w:rFonts w:ascii="Arial Narrow" w:hAnsi="Arial Narrow"/>
                <w:b/>
                <w:sz w:val="18"/>
                <w:szCs w:val="18"/>
              </w:rPr>
            </w:pPr>
            <w:r w:rsidRPr="00D027A2">
              <w:rPr>
                <w:rFonts w:ascii="Arial Narrow" w:hAnsi="Arial Narrow"/>
                <w:b/>
                <w:sz w:val="18"/>
                <w:szCs w:val="18"/>
              </w:rPr>
              <w:t>93</w:t>
            </w:r>
            <w:r w:rsidR="00B863E9" w:rsidRPr="00D027A2">
              <w:rPr>
                <w:rFonts w:ascii="Arial Narrow" w:hAnsi="Arial Narrow"/>
                <w:b/>
                <w:sz w:val="18"/>
                <w:szCs w:val="18"/>
              </w:rPr>
              <w:t>,</w:t>
            </w:r>
            <w:r w:rsidRPr="00D027A2">
              <w:rPr>
                <w:rFonts w:ascii="Arial Narrow" w:hAnsi="Arial Narrow"/>
                <w:b/>
                <w:sz w:val="18"/>
                <w:szCs w:val="18"/>
              </w:rPr>
              <w:t>6</w:t>
            </w:r>
          </w:p>
        </w:tc>
      </w:tr>
      <w:tr w:rsidR="00B863E9" w:rsidTr="00B863E9">
        <w:trPr>
          <w:trHeight w:val="270"/>
        </w:trPr>
        <w:tc>
          <w:tcPr>
            <w:tcW w:w="182" w:type="dxa"/>
            <w:tcBorders>
              <w:top w:val="nil"/>
              <w:left w:val="nil"/>
              <w:bottom w:val="nil"/>
              <w:right w:val="nil"/>
            </w:tcBorders>
            <w:shd w:val="clear" w:color="auto" w:fill="auto"/>
            <w:noWrap/>
            <w:vAlign w:val="center"/>
            <w:hideMark/>
          </w:tcPr>
          <w:p w:rsidR="00B863E9" w:rsidRDefault="00B863E9">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bottom"/>
            <w:hideMark/>
          </w:tcPr>
          <w:p w:rsidR="00B863E9" w:rsidRDefault="00B863E9">
            <w:pPr>
              <w:rPr>
                <w:sz w:val="20"/>
                <w:szCs w:val="20"/>
              </w:rPr>
            </w:pPr>
          </w:p>
        </w:tc>
        <w:tc>
          <w:tcPr>
            <w:tcW w:w="146" w:type="dxa"/>
            <w:tcBorders>
              <w:top w:val="nil"/>
              <w:left w:val="nil"/>
              <w:bottom w:val="nil"/>
              <w:right w:val="nil"/>
            </w:tcBorders>
            <w:shd w:val="clear" w:color="auto" w:fill="auto"/>
            <w:noWrap/>
            <w:vAlign w:val="center"/>
            <w:hideMark/>
          </w:tcPr>
          <w:p w:rsidR="00B863E9" w:rsidRDefault="00B863E9">
            <w:pPr>
              <w:rPr>
                <w:sz w:val="20"/>
                <w:szCs w:val="20"/>
              </w:rPr>
            </w:pPr>
          </w:p>
        </w:tc>
        <w:tc>
          <w:tcPr>
            <w:tcW w:w="3023" w:type="dxa"/>
            <w:tcBorders>
              <w:top w:val="nil"/>
              <w:left w:val="nil"/>
              <w:bottom w:val="nil"/>
              <w:right w:val="single" w:sz="4" w:space="0" w:color="FF0000"/>
            </w:tcBorders>
            <w:shd w:val="clear" w:color="auto" w:fill="auto"/>
            <w:noWrap/>
            <w:vAlign w:val="center"/>
            <w:hideMark/>
          </w:tcPr>
          <w:p w:rsidR="00B863E9" w:rsidRDefault="00B863E9">
            <w:pPr>
              <w:rPr>
                <w:rFonts w:ascii="Arial Narrow" w:hAnsi="Arial Narrow"/>
                <w:sz w:val="18"/>
                <w:szCs w:val="18"/>
              </w:rPr>
            </w:pPr>
            <w:r>
              <w:rPr>
                <w:rFonts w:ascii="Arial Narrow" w:hAnsi="Arial Narrow"/>
                <w:sz w:val="18"/>
                <w:szCs w:val="18"/>
              </w:rPr>
              <w:t>Priamo poskytnuté liečivá na recepty</w:t>
            </w:r>
          </w:p>
        </w:tc>
        <w:tc>
          <w:tcPr>
            <w:tcW w:w="1141" w:type="dxa"/>
            <w:tcBorders>
              <w:top w:val="nil"/>
              <w:left w:val="nil"/>
              <w:bottom w:val="nil"/>
              <w:right w:val="single" w:sz="4" w:space="0" w:color="FF0000"/>
            </w:tcBorders>
            <w:shd w:val="clear" w:color="auto" w:fill="auto"/>
            <w:noWrap/>
            <w:vAlign w:val="bottom"/>
            <w:hideMark/>
          </w:tcPr>
          <w:p w:rsidR="00B863E9" w:rsidRPr="005E1723" w:rsidRDefault="005E1723">
            <w:pPr>
              <w:jc w:val="right"/>
              <w:rPr>
                <w:rFonts w:ascii="Arial Narrow" w:hAnsi="Arial Narrow" w:cs="Calibri"/>
                <w:bCs/>
                <w:sz w:val="18"/>
                <w:szCs w:val="18"/>
              </w:rPr>
            </w:pPr>
            <w:r w:rsidRPr="005E1723">
              <w:rPr>
                <w:rFonts w:ascii="Arial Narrow" w:hAnsi="Arial Narrow" w:cs="Calibri"/>
                <w:bCs/>
                <w:sz w:val="18"/>
                <w:szCs w:val="18"/>
              </w:rPr>
              <w:t>1093,8</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20,5</w:t>
            </w:r>
          </w:p>
        </w:tc>
        <w:tc>
          <w:tcPr>
            <w:tcW w:w="993"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173,1</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276,1</w:t>
            </w:r>
          </w:p>
        </w:tc>
        <w:tc>
          <w:tcPr>
            <w:tcW w:w="709"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1,2</w:t>
            </w:r>
          </w:p>
        </w:tc>
        <w:tc>
          <w:tcPr>
            <w:tcW w:w="850" w:type="dxa"/>
            <w:tcBorders>
              <w:top w:val="nil"/>
              <w:left w:val="nil"/>
              <w:bottom w:val="nil"/>
              <w:right w:val="single" w:sz="4" w:space="0" w:color="FF0000"/>
            </w:tcBorders>
            <w:shd w:val="clear" w:color="auto" w:fill="auto"/>
            <w:noWrap/>
            <w:vAlign w:val="bottom"/>
            <w:hideMark/>
          </w:tcPr>
          <w:p w:rsidR="00B863E9" w:rsidRDefault="00D027A2" w:rsidP="00D027A2">
            <w:pPr>
              <w:jc w:val="right"/>
              <w:rPr>
                <w:rFonts w:ascii="Arial Narrow" w:hAnsi="Arial Narrow"/>
                <w:sz w:val="18"/>
                <w:szCs w:val="18"/>
              </w:rPr>
            </w:pPr>
            <w:r>
              <w:rPr>
                <w:rFonts w:ascii="Arial Narrow" w:hAnsi="Arial Narrow"/>
                <w:sz w:val="18"/>
                <w:szCs w:val="18"/>
              </w:rPr>
              <w:t>103</w:t>
            </w:r>
            <w:r w:rsidR="00B863E9">
              <w:rPr>
                <w:rFonts w:ascii="Arial Narrow" w:hAnsi="Arial Narrow"/>
                <w:sz w:val="18"/>
                <w:szCs w:val="18"/>
              </w:rPr>
              <w:t>,</w:t>
            </w:r>
            <w:r>
              <w:rPr>
                <w:rFonts w:ascii="Arial Narrow" w:hAnsi="Arial Narrow"/>
                <w:sz w:val="18"/>
                <w:szCs w:val="18"/>
              </w:rPr>
              <w:t>3</w:t>
            </w:r>
          </w:p>
        </w:tc>
      </w:tr>
      <w:tr w:rsidR="00B863E9" w:rsidTr="00B863E9">
        <w:trPr>
          <w:trHeight w:val="270"/>
        </w:trPr>
        <w:tc>
          <w:tcPr>
            <w:tcW w:w="182" w:type="dxa"/>
            <w:tcBorders>
              <w:top w:val="nil"/>
              <w:left w:val="nil"/>
              <w:bottom w:val="nil"/>
              <w:right w:val="nil"/>
            </w:tcBorders>
            <w:shd w:val="clear" w:color="auto" w:fill="auto"/>
            <w:noWrap/>
            <w:vAlign w:val="center"/>
            <w:hideMark/>
          </w:tcPr>
          <w:p w:rsidR="00B863E9" w:rsidRDefault="00B863E9">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bottom"/>
            <w:hideMark/>
          </w:tcPr>
          <w:p w:rsidR="00B863E9" w:rsidRDefault="00B863E9">
            <w:pPr>
              <w:rPr>
                <w:sz w:val="20"/>
                <w:szCs w:val="20"/>
              </w:rPr>
            </w:pPr>
          </w:p>
        </w:tc>
        <w:tc>
          <w:tcPr>
            <w:tcW w:w="3023" w:type="dxa"/>
            <w:tcBorders>
              <w:top w:val="nil"/>
              <w:left w:val="nil"/>
              <w:bottom w:val="nil"/>
              <w:right w:val="single" w:sz="4" w:space="0" w:color="FF0000"/>
            </w:tcBorders>
            <w:shd w:val="clear" w:color="auto" w:fill="auto"/>
            <w:noWrap/>
            <w:vAlign w:val="center"/>
            <w:hideMark/>
          </w:tcPr>
          <w:p w:rsidR="00B863E9" w:rsidRDefault="00B863E9">
            <w:pPr>
              <w:rPr>
                <w:rFonts w:ascii="Arial Narrow" w:hAnsi="Arial Narrow"/>
                <w:sz w:val="18"/>
                <w:szCs w:val="18"/>
              </w:rPr>
            </w:pPr>
            <w:r>
              <w:rPr>
                <w:rFonts w:ascii="Arial Narrow" w:hAnsi="Arial Narrow"/>
                <w:sz w:val="18"/>
                <w:szCs w:val="18"/>
              </w:rPr>
              <w:t>Iné priame poskytnutie</w:t>
            </w:r>
          </w:p>
        </w:tc>
        <w:tc>
          <w:tcPr>
            <w:tcW w:w="1141" w:type="dxa"/>
            <w:tcBorders>
              <w:top w:val="nil"/>
              <w:left w:val="nil"/>
              <w:bottom w:val="nil"/>
              <w:right w:val="single" w:sz="4" w:space="0" w:color="FF0000"/>
            </w:tcBorders>
            <w:shd w:val="clear" w:color="auto" w:fill="auto"/>
            <w:noWrap/>
            <w:vAlign w:val="bottom"/>
            <w:hideMark/>
          </w:tcPr>
          <w:p w:rsidR="00B863E9" w:rsidRPr="005E1723" w:rsidRDefault="005E1723">
            <w:pPr>
              <w:jc w:val="right"/>
              <w:rPr>
                <w:rFonts w:ascii="Arial Narrow" w:hAnsi="Arial Narrow" w:cs="Calibri"/>
                <w:bCs/>
                <w:sz w:val="18"/>
                <w:szCs w:val="18"/>
              </w:rPr>
            </w:pPr>
            <w:r w:rsidRPr="005E1723">
              <w:rPr>
                <w:rFonts w:ascii="Arial Narrow" w:hAnsi="Arial Narrow" w:cs="Calibri"/>
                <w:bCs/>
                <w:sz w:val="18"/>
                <w:szCs w:val="18"/>
              </w:rPr>
              <w:t>1864,5</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35,0</w:t>
            </w:r>
          </w:p>
        </w:tc>
        <w:tc>
          <w:tcPr>
            <w:tcW w:w="993"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295,1</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470,7</w:t>
            </w:r>
          </w:p>
        </w:tc>
        <w:tc>
          <w:tcPr>
            <w:tcW w:w="709"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2,0</w:t>
            </w:r>
          </w:p>
        </w:tc>
        <w:tc>
          <w:tcPr>
            <w:tcW w:w="850" w:type="dxa"/>
            <w:tcBorders>
              <w:top w:val="nil"/>
              <w:left w:val="nil"/>
              <w:bottom w:val="nil"/>
              <w:right w:val="single" w:sz="4" w:space="0" w:color="FF0000"/>
            </w:tcBorders>
            <w:shd w:val="clear" w:color="auto" w:fill="auto"/>
            <w:noWrap/>
            <w:vAlign w:val="bottom"/>
            <w:hideMark/>
          </w:tcPr>
          <w:p w:rsidR="00B863E9" w:rsidRDefault="00D027A2" w:rsidP="00D027A2">
            <w:pPr>
              <w:jc w:val="right"/>
              <w:rPr>
                <w:rFonts w:ascii="Arial Narrow" w:hAnsi="Arial Narrow"/>
                <w:sz w:val="18"/>
                <w:szCs w:val="18"/>
              </w:rPr>
            </w:pPr>
            <w:r>
              <w:rPr>
                <w:rFonts w:ascii="Arial Narrow" w:hAnsi="Arial Narrow"/>
                <w:sz w:val="18"/>
                <w:szCs w:val="18"/>
              </w:rPr>
              <w:t>87</w:t>
            </w:r>
            <w:r w:rsidR="00B863E9">
              <w:rPr>
                <w:rFonts w:ascii="Arial Narrow" w:hAnsi="Arial Narrow"/>
                <w:sz w:val="18"/>
                <w:szCs w:val="18"/>
              </w:rPr>
              <w:t>,</w:t>
            </w:r>
            <w:r>
              <w:rPr>
                <w:rFonts w:ascii="Arial Narrow" w:hAnsi="Arial Narrow"/>
                <w:sz w:val="18"/>
                <w:szCs w:val="18"/>
              </w:rPr>
              <w:t>9</w:t>
            </w:r>
          </w:p>
        </w:tc>
      </w:tr>
      <w:tr w:rsidR="00B863E9" w:rsidTr="00B863E9">
        <w:trPr>
          <w:trHeight w:val="270"/>
        </w:trPr>
        <w:tc>
          <w:tcPr>
            <w:tcW w:w="182" w:type="dxa"/>
            <w:tcBorders>
              <w:top w:val="nil"/>
              <w:left w:val="nil"/>
              <w:bottom w:val="nil"/>
              <w:right w:val="nil"/>
            </w:tcBorders>
            <w:shd w:val="clear" w:color="auto" w:fill="auto"/>
            <w:noWrap/>
            <w:vAlign w:val="center"/>
            <w:hideMark/>
          </w:tcPr>
          <w:p w:rsidR="00B863E9" w:rsidRDefault="00B863E9">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bottom"/>
            <w:hideMark/>
          </w:tcPr>
          <w:p w:rsidR="00B863E9" w:rsidRDefault="00B863E9">
            <w:pPr>
              <w:rPr>
                <w:sz w:val="20"/>
                <w:szCs w:val="20"/>
              </w:rPr>
            </w:pPr>
          </w:p>
        </w:tc>
        <w:tc>
          <w:tcPr>
            <w:tcW w:w="3023" w:type="dxa"/>
            <w:tcBorders>
              <w:top w:val="nil"/>
              <w:left w:val="nil"/>
              <w:bottom w:val="nil"/>
              <w:right w:val="single" w:sz="4" w:space="0" w:color="FF0000"/>
            </w:tcBorders>
            <w:shd w:val="clear" w:color="auto" w:fill="auto"/>
            <w:noWrap/>
            <w:vAlign w:val="center"/>
            <w:hideMark/>
          </w:tcPr>
          <w:p w:rsidR="00B863E9" w:rsidRDefault="00B863E9">
            <w:pPr>
              <w:rPr>
                <w:rFonts w:ascii="Arial Narrow" w:hAnsi="Arial Narrow"/>
                <w:sz w:val="18"/>
                <w:szCs w:val="18"/>
              </w:rPr>
            </w:pPr>
            <w:r>
              <w:rPr>
                <w:rFonts w:ascii="Arial Narrow" w:hAnsi="Arial Narrow"/>
                <w:sz w:val="18"/>
                <w:szCs w:val="18"/>
              </w:rPr>
              <w:t>Refundácia nákladov na liečivá</w:t>
            </w:r>
          </w:p>
        </w:tc>
        <w:tc>
          <w:tcPr>
            <w:tcW w:w="1141" w:type="dxa"/>
            <w:tcBorders>
              <w:top w:val="nil"/>
              <w:left w:val="nil"/>
              <w:bottom w:val="nil"/>
              <w:right w:val="single" w:sz="4" w:space="0" w:color="FF0000"/>
            </w:tcBorders>
            <w:shd w:val="clear" w:color="auto" w:fill="auto"/>
            <w:noWrap/>
            <w:vAlign w:val="bottom"/>
            <w:hideMark/>
          </w:tcPr>
          <w:p w:rsidR="00B863E9" w:rsidRPr="005E1723" w:rsidRDefault="005E1723">
            <w:pPr>
              <w:jc w:val="right"/>
              <w:rPr>
                <w:rFonts w:ascii="Arial Narrow" w:hAnsi="Arial Narrow" w:cs="Calibri"/>
                <w:bCs/>
                <w:sz w:val="18"/>
                <w:szCs w:val="18"/>
              </w:rPr>
            </w:pPr>
            <w:r w:rsidRPr="005E1723">
              <w:rPr>
                <w:rFonts w:ascii="Arial Narrow" w:hAnsi="Arial Narrow" w:cs="Calibri"/>
                <w:bCs/>
                <w:sz w:val="18"/>
                <w:szCs w:val="18"/>
              </w:rPr>
              <w:t>28,7</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0,5</w:t>
            </w:r>
          </w:p>
        </w:tc>
        <w:tc>
          <w:tcPr>
            <w:tcW w:w="993"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4,6</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7,3</w:t>
            </w:r>
          </w:p>
        </w:tc>
        <w:tc>
          <w:tcPr>
            <w:tcW w:w="709"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Default="00D027A2" w:rsidP="00D027A2">
            <w:pPr>
              <w:jc w:val="right"/>
              <w:rPr>
                <w:rFonts w:ascii="Arial Narrow" w:hAnsi="Arial Narrow"/>
                <w:sz w:val="18"/>
                <w:szCs w:val="18"/>
              </w:rPr>
            </w:pPr>
            <w:r>
              <w:rPr>
                <w:rFonts w:ascii="Arial Narrow" w:hAnsi="Arial Narrow"/>
                <w:sz w:val="18"/>
                <w:szCs w:val="18"/>
              </w:rPr>
              <w:t>2</w:t>
            </w:r>
            <w:r w:rsidR="00B863E9">
              <w:rPr>
                <w:rFonts w:ascii="Arial Narrow" w:hAnsi="Arial Narrow"/>
                <w:sz w:val="18"/>
                <w:szCs w:val="18"/>
              </w:rPr>
              <w:t>3</w:t>
            </w:r>
            <w:r>
              <w:rPr>
                <w:rFonts w:ascii="Arial Narrow" w:hAnsi="Arial Narrow"/>
                <w:sz w:val="18"/>
                <w:szCs w:val="18"/>
              </w:rPr>
              <w:t>1</w:t>
            </w:r>
            <w:r w:rsidR="00B863E9">
              <w:rPr>
                <w:rFonts w:ascii="Arial Narrow" w:hAnsi="Arial Narrow"/>
                <w:sz w:val="18"/>
                <w:szCs w:val="18"/>
              </w:rPr>
              <w:t>,</w:t>
            </w:r>
            <w:r>
              <w:rPr>
                <w:rFonts w:ascii="Arial Narrow" w:hAnsi="Arial Narrow"/>
                <w:sz w:val="18"/>
                <w:szCs w:val="18"/>
              </w:rPr>
              <w:t>1</w:t>
            </w:r>
          </w:p>
        </w:tc>
      </w:tr>
      <w:tr w:rsidR="00B863E9" w:rsidTr="00B863E9">
        <w:trPr>
          <w:trHeight w:val="270"/>
        </w:trPr>
        <w:tc>
          <w:tcPr>
            <w:tcW w:w="182" w:type="dxa"/>
            <w:tcBorders>
              <w:top w:val="nil"/>
              <w:left w:val="nil"/>
              <w:bottom w:val="nil"/>
              <w:right w:val="nil"/>
            </w:tcBorders>
            <w:shd w:val="clear" w:color="auto" w:fill="auto"/>
            <w:noWrap/>
            <w:vAlign w:val="center"/>
            <w:hideMark/>
          </w:tcPr>
          <w:p w:rsidR="00B863E9" w:rsidRDefault="00B863E9">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bottom"/>
            <w:hideMark/>
          </w:tcPr>
          <w:p w:rsidR="00B863E9" w:rsidRDefault="00B863E9">
            <w:pPr>
              <w:rPr>
                <w:sz w:val="20"/>
                <w:szCs w:val="20"/>
              </w:rPr>
            </w:pPr>
          </w:p>
        </w:tc>
        <w:tc>
          <w:tcPr>
            <w:tcW w:w="3023" w:type="dxa"/>
            <w:tcBorders>
              <w:top w:val="nil"/>
              <w:left w:val="nil"/>
              <w:bottom w:val="nil"/>
              <w:right w:val="single" w:sz="4" w:space="0" w:color="FF0000"/>
            </w:tcBorders>
            <w:shd w:val="clear" w:color="auto" w:fill="auto"/>
            <w:noWrap/>
            <w:vAlign w:val="center"/>
            <w:hideMark/>
          </w:tcPr>
          <w:p w:rsidR="00B863E9" w:rsidRDefault="00B863E9">
            <w:pPr>
              <w:rPr>
                <w:rFonts w:ascii="Arial Narrow" w:hAnsi="Arial Narrow"/>
                <w:sz w:val="18"/>
                <w:szCs w:val="18"/>
              </w:rPr>
            </w:pPr>
            <w:r>
              <w:rPr>
                <w:rFonts w:ascii="Arial Narrow" w:hAnsi="Arial Narrow"/>
                <w:sz w:val="18"/>
                <w:szCs w:val="18"/>
              </w:rPr>
              <w:t>Iná refundácia nákladov</w:t>
            </w:r>
          </w:p>
        </w:tc>
        <w:tc>
          <w:tcPr>
            <w:tcW w:w="1141" w:type="dxa"/>
            <w:tcBorders>
              <w:top w:val="nil"/>
              <w:left w:val="nil"/>
              <w:bottom w:val="nil"/>
              <w:right w:val="single" w:sz="4" w:space="0" w:color="FF0000"/>
            </w:tcBorders>
            <w:shd w:val="clear" w:color="auto" w:fill="auto"/>
            <w:noWrap/>
            <w:vAlign w:val="bottom"/>
            <w:hideMark/>
          </w:tcPr>
          <w:p w:rsidR="00B863E9" w:rsidRPr="005E1723" w:rsidRDefault="005E1723">
            <w:pPr>
              <w:jc w:val="right"/>
              <w:rPr>
                <w:rFonts w:ascii="Arial Narrow" w:hAnsi="Arial Narrow" w:cs="Calibri"/>
                <w:bCs/>
                <w:sz w:val="18"/>
                <w:szCs w:val="18"/>
              </w:rPr>
            </w:pPr>
            <w:r w:rsidRPr="005E1723">
              <w:rPr>
                <w:rFonts w:ascii="Arial Narrow" w:hAnsi="Arial Narrow" w:cs="Calibri"/>
                <w:bCs/>
                <w:sz w:val="18"/>
                <w:szCs w:val="18"/>
              </w:rPr>
              <w:t>0,2</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993"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2</w:t>
            </w:r>
            <w:r w:rsidR="00B863E9">
              <w:rPr>
                <w:rFonts w:ascii="Arial Narrow" w:hAnsi="Arial Narrow"/>
                <w:sz w:val="18"/>
                <w:szCs w:val="18"/>
              </w:rPr>
              <w:t>00,0</w:t>
            </w:r>
          </w:p>
        </w:tc>
      </w:tr>
      <w:tr w:rsidR="00B863E9" w:rsidTr="00B863E9">
        <w:trPr>
          <w:trHeight w:val="270"/>
        </w:trPr>
        <w:tc>
          <w:tcPr>
            <w:tcW w:w="182" w:type="dxa"/>
            <w:tcBorders>
              <w:top w:val="nil"/>
              <w:left w:val="nil"/>
              <w:bottom w:val="nil"/>
              <w:right w:val="nil"/>
            </w:tcBorders>
            <w:shd w:val="clear" w:color="auto" w:fill="auto"/>
            <w:noWrap/>
            <w:vAlign w:val="center"/>
            <w:hideMark/>
          </w:tcPr>
          <w:p w:rsidR="00B863E9" w:rsidRDefault="00B863E9">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B863E9" w:rsidRDefault="00B863E9">
            <w:pPr>
              <w:rPr>
                <w:sz w:val="20"/>
                <w:szCs w:val="20"/>
              </w:rPr>
            </w:pPr>
          </w:p>
        </w:tc>
        <w:tc>
          <w:tcPr>
            <w:tcW w:w="146" w:type="dxa"/>
            <w:tcBorders>
              <w:top w:val="nil"/>
              <w:left w:val="nil"/>
              <w:bottom w:val="nil"/>
              <w:right w:val="nil"/>
            </w:tcBorders>
            <w:shd w:val="clear" w:color="auto" w:fill="auto"/>
            <w:noWrap/>
            <w:vAlign w:val="center"/>
            <w:hideMark/>
          </w:tcPr>
          <w:p w:rsidR="00B863E9" w:rsidRDefault="00B863E9">
            <w:pPr>
              <w:rPr>
                <w:sz w:val="20"/>
                <w:szCs w:val="20"/>
              </w:rPr>
            </w:pPr>
          </w:p>
        </w:tc>
        <w:tc>
          <w:tcPr>
            <w:tcW w:w="3169" w:type="dxa"/>
            <w:gridSpan w:val="2"/>
            <w:tcBorders>
              <w:top w:val="nil"/>
              <w:left w:val="nil"/>
              <w:bottom w:val="nil"/>
              <w:right w:val="single" w:sz="4" w:space="0" w:color="FF0000"/>
            </w:tcBorders>
            <w:shd w:val="clear" w:color="auto" w:fill="auto"/>
            <w:noWrap/>
            <w:vAlign w:val="center"/>
            <w:hideMark/>
          </w:tcPr>
          <w:p w:rsidR="00B863E9" w:rsidRDefault="00B863E9">
            <w:pPr>
              <w:rPr>
                <w:rFonts w:ascii="Arial Narrow" w:hAnsi="Arial Narrow"/>
                <w:b/>
                <w:bCs/>
                <w:sz w:val="18"/>
                <w:szCs w:val="18"/>
              </w:rPr>
            </w:pPr>
            <w:r>
              <w:rPr>
                <w:rFonts w:ascii="Arial Narrow" w:hAnsi="Arial Narrow"/>
                <w:b/>
                <w:bCs/>
                <w:sz w:val="18"/>
                <w:szCs w:val="18"/>
              </w:rPr>
              <w:t>Iné vecné dávky</w:t>
            </w:r>
          </w:p>
        </w:tc>
        <w:tc>
          <w:tcPr>
            <w:tcW w:w="1141" w:type="dxa"/>
            <w:tcBorders>
              <w:top w:val="nil"/>
              <w:left w:val="nil"/>
              <w:bottom w:val="nil"/>
              <w:right w:val="single" w:sz="4" w:space="0" w:color="FF0000"/>
            </w:tcBorders>
            <w:shd w:val="clear" w:color="auto" w:fill="auto"/>
            <w:noWrap/>
            <w:vAlign w:val="bottom"/>
            <w:hideMark/>
          </w:tcPr>
          <w:p w:rsidR="00B863E9" w:rsidRPr="005E1723" w:rsidRDefault="005E1723">
            <w:pPr>
              <w:jc w:val="right"/>
              <w:rPr>
                <w:rFonts w:ascii="Arial Narrow" w:hAnsi="Arial Narrow" w:cs="Calibri"/>
                <w:b/>
                <w:bCs/>
                <w:sz w:val="18"/>
                <w:szCs w:val="18"/>
              </w:rPr>
            </w:pPr>
            <w:r w:rsidRPr="005E1723">
              <w:rPr>
                <w:rFonts w:ascii="Arial Narrow" w:hAnsi="Arial Narrow" w:cs="Calibri"/>
                <w:b/>
                <w:bCs/>
                <w:sz w:val="18"/>
                <w:szCs w:val="18"/>
              </w:rPr>
              <w:t>31,3</w:t>
            </w:r>
          </w:p>
        </w:tc>
        <w:tc>
          <w:tcPr>
            <w:tcW w:w="850" w:type="dxa"/>
            <w:tcBorders>
              <w:top w:val="nil"/>
              <w:left w:val="nil"/>
              <w:bottom w:val="nil"/>
              <w:right w:val="single" w:sz="4" w:space="0" w:color="FF0000"/>
            </w:tcBorders>
            <w:shd w:val="clear" w:color="auto" w:fill="auto"/>
            <w:noWrap/>
            <w:vAlign w:val="bottom"/>
            <w:hideMark/>
          </w:tcPr>
          <w:p w:rsidR="00B863E9" w:rsidRDefault="005E1723">
            <w:pPr>
              <w:jc w:val="right"/>
              <w:rPr>
                <w:rFonts w:ascii="Arial Narrow" w:hAnsi="Arial Narrow"/>
                <w:sz w:val="18"/>
                <w:szCs w:val="18"/>
              </w:rPr>
            </w:pPr>
            <w:r>
              <w:rPr>
                <w:rFonts w:ascii="Arial Narrow" w:hAnsi="Arial Narrow"/>
                <w:sz w:val="18"/>
                <w:szCs w:val="18"/>
              </w:rPr>
              <w:t>1,1</w:t>
            </w:r>
          </w:p>
        </w:tc>
        <w:tc>
          <w:tcPr>
            <w:tcW w:w="993" w:type="dxa"/>
            <w:tcBorders>
              <w:top w:val="nil"/>
              <w:left w:val="nil"/>
              <w:bottom w:val="nil"/>
              <w:right w:val="single" w:sz="4" w:space="0" w:color="FF0000"/>
            </w:tcBorders>
            <w:shd w:val="clear" w:color="auto" w:fill="auto"/>
            <w:noWrap/>
            <w:vAlign w:val="bottom"/>
            <w:hideMark/>
          </w:tcPr>
          <w:p w:rsidR="00B863E9" w:rsidRDefault="00B863E9" w:rsidP="005E1723">
            <w:pPr>
              <w:jc w:val="right"/>
              <w:rPr>
                <w:rFonts w:ascii="Arial Narrow" w:hAnsi="Arial Narrow"/>
                <w:b/>
                <w:bCs/>
                <w:sz w:val="18"/>
                <w:szCs w:val="18"/>
              </w:rPr>
            </w:pPr>
            <w:r>
              <w:rPr>
                <w:rFonts w:ascii="Arial Narrow" w:hAnsi="Arial Narrow"/>
                <w:b/>
                <w:bCs/>
                <w:sz w:val="18"/>
                <w:szCs w:val="18"/>
              </w:rPr>
              <w:t>9,</w:t>
            </w:r>
            <w:r w:rsidR="005E1723">
              <w:rPr>
                <w:rFonts w:ascii="Arial Narrow" w:hAnsi="Arial Narrow"/>
                <w:b/>
                <w:bCs/>
                <w:sz w:val="18"/>
                <w:szCs w:val="18"/>
              </w:rPr>
              <w:t>7</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b/>
                <w:bCs/>
                <w:sz w:val="18"/>
                <w:szCs w:val="18"/>
              </w:rPr>
            </w:pPr>
            <w:r>
              <w:rPr>
                <w:rFonts w:ascii="Arial Narrow" w:hAnsi="Arial Narrow"/>
                <w:b/>
                <w:bCs/>
                <w:sz w:val="18"/>
                <w:szCs w:val="18"/>
              </w:rPr>
              <w:t>1</w:t>
            </w:r>
            <w:r w:rsidR="005E1723">
              <w:rPr>
                <w:rFonts w:ascii="Arial Narrow" w:hAnsi="Arial Narrow"/>
                <w:b/>
                <w:bCs/>
                <w:sz w:val="18"/>
                <w:szCs w:val="18"/>
              </w:rPr>
              <w:t>5,5</w:t>
            </w:r>
          </w:p>
        </w:tc>
        <w:tc>
          <w:tcPr>
            <w:tcW w:w="709"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b/>
                <w:bCs/>
                <w:sz w:val="18"/>
                <w:szCs w:val="18"/>
              </w:rPr>
            </w:pPr>
            <w:r>
              <w:rPr>
                <w:rFonts w:ascii="Arial Narrow" w:hAnsi="Arial Narrow"/>
                <w:b/>
                <w:bCs/>
                <w:sz w:val="18"/>
                <w:szCs w:val="18"/>
              </w:rPr>
              <w:t>0,1</w:t>
            </w:r>
          </w:p>
        </w:tc>
        <w:tc>
          <w:tcPr>
            <w:tcW w:w="850" w:type="dxa"/>
            <w:tcBorders>
              <w:top w:val="nil"/>
              <w:left w:val="nil"/>
              <w:bottom w:val="nil"/>
              <w:right w:val="single" w:sz="4" w:space="0" w:color="FF0000"/>
            </w:tcBorders>
            <w:shd w:val="clear" w:color="auto" w:fill="auto"/>
            <w:noWrap/>
            <w:vAlign w:val="bottom"/>
            <w:hideMark/>
          </w:tcPr>
          <w:p w:rsidR="00B863E9" w:rsidRPr="00A7469F" w:rsidRDefault="00D027A2" w:rsidP="005E1723">
            <w:pPr>
              <w:jc w:val="right"/>
              <w:rPr>
                <w:rFonts w:ascii="Arial Narrow" w:hAnsi="Arial Narrow"/>
                <w:b/>
                <w:sz w:val="18"/>
                <w:szCs w:val="18"/>
              </w:rPr>
            </w:pPr>
            <w:r w:rsidRPr="00A7469F">
              <w:rPr>
                <w:rFonts w:ascii="Arial Narrow" w:hAnsi="Arial Narrow"/>
                <w:b/>
                <w:sz w:val="18"/>
                <w:szCs w:val="18"/>
              </w:rPr>
              <w:t>103</w:t>
            </w:r>
            <w:r w:rsidR="00B863E9" w:rsidRPr="00A7469F">
              <w:rPr>
                <w:rFonts w:ascii="Arial Narrow" w:hAnsi="Arial Narrow"/>
                <w:b/>
                <w:sz w:val="18"/>
                <w:szCs w:val="18"/>
              </w:rPr>
              <w:t>,</w:t>
            </w:r>
            <w:r w:rsidR="005E1723">
              <w:rPr>
                <w:rFonts w:ascii="Arial Narrow" w:hAnsi="Arial Narrow"/>
                <w:b/>
                <w:sz w:val="18"/>
                <w:szCs w:val="18"/>
              </w:rPr>
              <w:t>5</w:t>
            </w:r>
          </w:p>
        </w:tc>
      </w:tr>
      <w:tr w:rsidR="00B863E9" w:rsidTr="00B863E9">
        <w:trPr>
          <w:trHeight w:val="270"/>
        </w:trPr>
        <w:tc>
          <w:tcPr>
            <w:tcW w:w="182" w:type="dxa"/>
            <w:tcBorders>
              <w:top w:val="nil"/>
              <w:left w:val="nil"/>
              <w:bottom w:val="nil"/>
              <w:right w:val="nil"/>
            </w:tcBorders>
            <w:shd w:val="clear" w:color="000000" w:fill="E2EFDA"/>
            <w:noWrap/>
            <w:vAlign w:val="bottom"/>
            <w:hideMark/>
          </w:tcPr>
          <w:p w:rsidR="00B863E9" w:rsidRDefault="00B863E9">
            <w:pPr>
              <w:rPr>
                <w:rFonts w:ascii="Arial Narrow" w:hAnsi="Arial Narrow"/>
                <w:b/>
                <w:bCs/>
                <w:color w:val="FFFFFF"/>
                <w:sz w:val="18"/>
                <w:szCs w:val="18"/>
              </w:rPr>
            </w:pPr>
            <w:r>
              <w:rPr>
                <w:rFonts w:ascii="Arial Narrow" w:hAnsi="Arial Narrow"/>
                <w:b/>
                <w:bCs/>
                <w:color w:val="FFFFFF"/>
                <w:sz w:val="18"/>
                <w:szCs w:val="18"/>
              </w:rPr>
              <w:t> </w:t>
            </w:r>
          </w:p>
        </w:tc>
        <w:tc>
          <w:tcPr>
            <w:tcW w:w="3497" w:type="dxa"/>
            <w:gridSpan w:val="4"/>
            <w:tcBorders>
              <w:top w:val="nil"/>
              <w:left w:val="nil"/>
              <w:bottom w:val="nil"/>
              <w:right w:val="single" w:sz="4" w:space="0" w:color="FF0000"/>
            </w:tcBorders>
            <w:shd w:val="clear" w:color="000000" w:fill="E2EFDA"/>
            <w:noWrap/>
            <w:vAlign w:val="center"/>
            <w:hideMark/>
          </w:tcPr>
          <w:p w:rsidR="00B863E9" w:rsidRDefault="00B863E9">
            <w:pPr>
              <w:rPr>
                <w:rFonts w:ascii="Arial Narrow" w:hAnsi="Arial Narrow"/>
                <w:b/>
                <w:bCs/>
                <w:sz w:val="18"/>
                <w:szCs w:val="18"/>
              </w:rPr>
            </w:pPr>
            <w:r>
              <w:rPr>
                <w:rFonts w:ascii="Arial Narrow" w:hAnsi="Arial Narrow"/>
                <w:b/>
                <w:bCs/>
                <w:sz w:val="18"/>
                <w:szCs w:val="18"/>
              </w:rPr>
              <w:t>Testované dávky na príjem</w:t>
            </w:r>
          </w:p>
        </w:tc>
        <w:tc>
          <w:tcPr>
            <w:tcW w:w="1141" w:type="dxa"/>
            <w:tcBorders>
              <w:top w:val="nil"/>
              <w:left w:val="nil"/>
              <w:bottom w:val="nil"/>
              <w:right w:val="single" w:sz="4" w:space="0" w:color="FF0000"/>
            </w:tcBorders>
            <w:shd w:val="clear" w:color="000000" w:fill="E2EFDA"/>
            <w:noWrap/>
            <w:vAlign w:val="bottom"/>
            <w:hideMark/>
          </w:tcPr>
          <w:p w:rsidR="00B863E9" w:rsidRDefault="00B863E9">
            <w:pPr>
              <w:jc w:val="right"/>
              <w:rPr>
                <w:rFonts w:ascii="Arial Narrow" w:hAnsi="Arial Narrow"/>
                <w:b/>
                <w:bCs/>
                <w:sz w:val="18"/>
                <w:szCs w:val="18"/>
              </w:rPr>
            </w:pPr>
            <w:r>
              <w:rPr>
                <w:rFonts w:ascii="Arial Narrow" w:hAnsi="Arial Narrow"/>
                <w:b/>
                <w:bCs/>
                <w:sz w:val="18"/>
                <w:szCs w:val="18"/>
              </w:rPr>
              <w:t>0,0</w:t>
            </w:r>
          </w:p>
        </w:tc>
        <w:tc>
          <w:tcPr>
            <w:tcW w:w="850" w:type="dxa"/>
            <w:tcBorders>
              <w:top w:val="nil"/>
              <w:left w:val="nil"/>
              <w:bottom w:val="nil"/>
              <w:right w:val="single" w:sz="4" w:space="0" w:color="FF0000"/>
            </w:tcBorders>
            <w:shd w:val="clear" w:color="000000" w:fill="E2EFDA"/>
            <w:noWrap/>
            <w:vAlign w:val="bottom"/>
            <w:hideMark/>
          </w:tcPr>
          <w:p w:rsidR="00B863E9" w:rsidRDefault="00B863E9">
            <w:pPr>
              <w:jc w:val="right"/>
              <w:rPr>
                <w:rFonts w:ascii="Arial Narrow" w:hAnsi="Arial Narrow"/>
                <w:b/>
                <w:bCs/>
                <w:sz w:val="18"/>
                <w:szCs w:val="18"/>
              </w:rPr>
            </w:pPr>
            <w:r>
              <w:rPr>
                <w:rFonts w:ascii="Arial Narrow" w:hAnsi="Arial Narrow"/>
                <w:b/>
                <w:bCs/>
                <w:sz w:val="18"/>
                <w:szCs w:val="18"/>
              </w:rPr>
              <w:t>0,0</w:t>
            </w:r>
          </w:p>
        </w:tc>
        <w:tc>
          <w:tcPr>
            <w:tcW w:w="993" w:type="dxa"/>
            <w:tcBorders>
              <w:top w:val="nil"/>
              <w:left w:val="nil"/>
              <w:bottom w:val="nil"/>
              <w:right w:val="single" w:sz="4" w:space="0" w:color="FF0000"/>
            </w:tcBorders>
            <w:shd w:val="clear" w:color="000000" w:fill="E2EFDA"/>
            <w:noWrap/>
            <w:vAlign w:val="bottom"/>
            <w:hideMark/>
          </w:tcPr>
          <w:p w:rsidR="00B863E9" w:rsidRDefault="00B863E9">
            <w:pPr>
              <w:jc w:val="right"/>
              <w:rPr>
                <w:rFonts w:ascii="Arial Narrow" w:hAnsi="Arial Narrow"/>
                <w:b/>
                <w:bCs/>
                <w:sz w:val="18"/>
                <w:szCs w:val="18"/>
              </w:rPr>
            </w:pPr>
            <w:r>
              <w:rPr>
                <w:rFonts w:ascii="Arial Narrow" w:hAnsi="Arial Narrow"/>
                <w:b/>
                <w:bCs/>
                <w:sz w:val="18"/>
                <w:szCs w:val="18"/>
              </w:rPr>
              <w:t>0,0</w:t>
            </w:r>
          </w:p>
        </w:tc>
        <w:tc>
          <w:tcPr>
            <w:tcW w:w="850" w:type="dxa"/>
            <w:tcBorders>
              <w:top w:val="nil"/>
              <w:left w:val="nil"/>
              <w:bottom w:val="nil"/>
              <w:right w:val="single" w:sz="4" w:space="0" w:color="FF0000"/>
            </w:tcBorders>
            <w:shd w:val="clear" w:color="000000" w:fill="E2EFDA"/>
            <w:noWrap/>
            <w:vAlign w:val="bottom"/>
            <w:hideMark/>
          </w:tcPr>
          <w:p w:rsidR="00B863E9" w:rsidRDefault="00B863E9">
            <w:pPr>
              <w:jc w:val="right"/>
              <w:rPr>
                <w:rFonts w:ascii="Arial Narrow" w:hAnsi="Arial Narrow"/>
                <w:b/>
                <w:bCs/>
                <w:sz w:val="18"/>
                <w:szCs w:val="18"/>
              </w:rPr>
            </w:pPr>
            <w:r>
              <w:rPr>
                <w:rFonts w:ascii="Arial Narrow" w:hAnsi="Arial Narrow"/>
                <w:b/>
                <w:bCs/>
                <w:sz w:val="18"/>
                <w:szCs w:val="18"/>
              </w:rPr>
              <w:t>0,0</w:t>
            </w:r>
          </w:p>
        </w:tc>
        <w:tc>
          <w:tcPr>
            <w:tcW w:w="709" w:type="dxa"/>
            <w:tcBorders>
              <w:top w:val="nil"/>
              <w:left w:val="nil"/>
              <w:bottom w:val="nil"/>
              <w:right w:val="single" w:sz="4" w:space="0" w:color="FF0000"/>
            </w:tcBorders>
            <w:shd w:val="clear" w:color="000000" w:fill="E2EFDA"/>
            <w:noWrap/>
            <w:vAlign w:val="bottom"/>
            <w:hideMark/>
          </w:tcPr>
          <w:p w:rsidR="00B863E9" w:rsidRDefault="00B863E9">
            <w:pPr>
              <w:jc w:val="right"/>
              <w:rPr>
                <w:rFonts w:ascii="Arial Narrow" w:hAnsi="Arial Narrow"/>
                <w:b/>
                <w:bCs/>
                <w:sz w:val="18"/>
                <w:szCs w:val="18"/>
              </w:rPr>
            </w:pPr>
            <w:r>
              <w:rPr>
                <w:rFonts w:ascii="Arial Narrow" w:hAnsi="Arial Narrow"/>
                <w:b/>
                <w:bCs/>
                <w:sz w:val="18"/>
                <w:szCs w:val="18"/>
              </w:rPr>
              <w:t>0,0</w:t>
            </w:r>
          </w:p>
        </w:tc>
        <w:tc>
          <w:tcPr>
            <w:tcW w:w="850" w:type="dxa"/>
            <w:tcBorders>
              <w:top w:val="nil"/>
              <w:left w:val="nil"/>
              <w:bottom w:val="nil"/>
              <w:right w:val="single" w:sz="4" w:space="0" w:color="FF0000"/>
            </w:tcBorders>
            <w:shd w:val="clear" w:color="000000" w:fill="E2EFDA"/>
            <w:noWrap/>
            <w:vAlign w:val="bottom"/>
            <w:hideMark/>
          </w:tcPr>
          <w:p w:rsidR="00B863E9" w:rsidRDefault="00B863E9">
            <w:pPr>
              <w:jc w:val="right"/>
              <w:rPr>
                <w:rFonts w:ascii="Arial Narrow" w:hAnsi="Arial Narrow"/>
                <w:b/>
                <w:bCs/>
                <w:sz w:val="18"/>
                <w:szCs w:val="18"/>
              </w:rPr>
            </w:pPr>
            <w:r>
              <w:rPr>
                <w:rFonts w:ascii="Arial Narrow" w:hAnsi="Arial Narrow"/>
                <w:b/>
                <w:bCs/>
                <w:sz w:val="18"/>
                <w:szCs w:val="18"/>
              </w:rPr>
              <w:t>x</w:t>
            </w:r>
          </w:p>
        </w:tc>
      </w:tr>
      <w:tr w:rsidR="00B863E9" w:rsidTr="00B863E9">
        <w:trPr>
          <w:trHeight w:val="270"/>
        </w:trPr>
        <w:tc>
          <w:tcPr>
            <w:tcW w:w="182" w:type="dxa"/>
            <w:tcBorders>
              <w:top w:val="nil"/>
              <w:left w:val="nil"/>
              <w:bottom w:val="nil"/>
              <w:right w:val="nil"/>
            </w:tcBorders>
            <w:shd w:val="clear" w:color="auto" w:fill="auto"/>
            <w:noWrap/>
            <w:vAlign w:val="bottom"/>
            <w:hideMark/>
          </w:tcPr>
          <w:p w:rsidR="00B863E9" w:rsidRDefault="00B863E9">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B863E9" w:rsidRDefault="00B863E9">
            <w:pPr>
              <w:rPr>
                <w:sz w:val="20"/>
                <w:szCs w:val="20"/>
              </w:rPr>
            </w:pPr>
          </w:p>
        </w:tc>
        <w:tc>
          <w:tcPr>
            <w:tcW w:w="3315" w:type="dxa"/>
            <w:gridSpan w:val="3"/>
            <w:tcBorders>
              <w:top w:val="nil"/>
              <w:left w:val="nil"/>
              <w:bottom w:val="nil"/>
              <w:right w:val="single" w:sz="4" w:space="0" w:color="FF0000"/>
            </w:tcBorders>
            <w:shd w:val="clear" w:color="auto" w:fill="auto"/>
            <w:noWrap/>
            <w:vAlign w:val="center"/>
            <w:hideMark/>
          </w:tcPr>
          <w:p w:rsidR="00B863E9" w:rsidRDefault="00B863E9">
            <w:pPr>
              <w:rPr>
                <w:rFonts w:ascii="Arial Narrow" w:hAnsi="Arial Narrow"/>
                <w:sz w:val="18"/>
                <w:szCs w:val="18"/>
              </w:rPr>
            </w:pPr>
            <w:r>
              <w:rPr>
                <w:rFonts w:ascii="Arial Narrow" w:hAnsi="Arial Narrow"/>
                <w:sz w:val="18"/>
                <w:szCs w:val="18"/>
              </w:rPr>
              <w:t>Peňažné dávky</w:t>
            </w:r>
          </w:p>
        </w:tc>
        <w:tc>
          <w:tcPr>
            <w:tcW w:w="1141"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993"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Pr="00D027A2" w:rsidRDefault="00B863E9">
            <w:pPr>
              <w:jc w:val="right"/>
              <w:rPr>
                <w:rFonts w:ascii="Arial Narrow" w:hAnsi="Arial Narrow"/>
                <w:bCs/>
                <w:sz w:val="18"/>
                <w:szCs w:val="18"/>
              </w:rPr>
            </w:pPr>
            <w:r w:rsidRPr="00D027A2">
              <w:rPr>
                <w:rFonts w:ascii="Arial Narrow" w:hAnsi="Arial Narrow"/>
                <w:bCs/>
                <w:sz w:val="18"/>
                <w:szCs w:val="18"/>
              </w:rPr>
              <w:t>x</w:t>
            </w:r>
          </w:p>
        </w:tc>
      </w:tr>
      <w:tr w:rsidR="00B863E9" w:rsidTr="00B863E9">
        <w:trPr>
          <w:trHeight w:val="270"/>
        </w:trPr>
        <w:tc>
          <w:tcPr>
            <w:tcW w:w="182" w:type="dxa"/>
            <w:tcBorders>
              <w:top w:val="nil"/>
              <w:left w:val="nil"/>
              <w:bottom w:val="nil"/>
              <w:right w:val="nil"/>
            </w:tcBorders>
            <w:shd w:val="clear" w:color="auto" w:fill="auto"/>
            <w:noWrap/>
            <w:vAlign w:val="bottom"/>
            <w:hideMark/>
          </w:tcPr>
          <w:p w:rsidR="00B863E9" w:rsidRDefault="00B863E9">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B863E9" w:rsidRDefault="00B863E9">
            <w:pPr>
              <w:rPr>
                <w:sz w:val="20"/>
                <w:szCs w:val="20"/>
              </w:rPr>
            </w:pPr>
          </w:p>
        </w:tc>
        <w:tc>
          <w:tcPr>
            <w:tcW w:w="3315" w:type="dxa"/>
            <w:gridSpan w:val="3"/>
            <w:tcBorders>
              <w:top w:val="nil"/>
              <w:left w:val="nil"/>
              <w:bottom w:val="nil"/>
              <w:right w:val="single" w:sz="4" w:space="0" w:color="FF0000"/>
            </w:tcBorders>
            <w:shd w:val="clear" w:color="auto" w:fill="auto"/>
            <w:noWrap/>
            <w:vAlign w:val="center"/>
            <w:hideMark/>
          </w:tcPr>
          <w:p w:rsidR="00B863E9" w:rsidRDefault="00B863E9">
            <w:pPr>
              <w:rPr>
                <w:rFonts w:ascii="Arial Narrow" w:hAnsi="Arial Narrow"/>
                <w:sz w:val="18"/>
                <w:szCs w:val="18"/>
              </w:rPr>
            </w:pPr>
            <w:r>
              <w:rPr>
                <w:rFonts w:ascii="Arial Narrow" w:hAnsi="Arial Narrow"/>
                <w:sz w:val="18"/>
                <w:szCs w:val="18"/>
              </w:rPr>
              <w:t>Vecné dávky</w:t>
            </w:r>
          </w:p>
        </w:tc>
        <w:tc>
          <w:tcPr>
            <w:tcW w:w="1141"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993"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B863E9" w:rsidRDefault="00B863E9">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B863E9" w:rsidRPr="00D027A2" w:rsidRDefault="00B863E9">
            <w:pPr>
              <w:jc w:val="right"/>
              <w:rPr>
                <w:rFonts w:ascii="Arial Narrow" w:hAnsi="Arial Narrow"/>
                <w:bCs/>
                <w:sz w:val="18"/>
                <w:szCs w:val="18"/>
              </w:rPr>
            </w:pPr>
            <w:r w:rsidRPr="00D027A2">
              <w:rPr>
                <w:rFonts w:ascii="Arial Narrow" w:hAnsi="Arial Narrow"/>
                <w:bCs/>
                <w:sz w:val="18"/>
                <w:szCs w:val="18"/>
              </w:rPr>
              <w:t>x</w:t>
            </w:r>
          </w:p>
        </w:tc>
      </w:tr>
    </w:tbl>
    <w:p w:rsidR="0042276E" w:rsidRPr="0042276E" w:rsidRDefault="0042276E" w:rsidP="0042276E">
      <w:pPr>
        <w:rPr>
          <w:rFonts w:ascii="Arial" w:hAnsi="Arial" w:cs="Arial"/>
          <w:i/>
          <w:sz w:val="10"/>
          <w:szCs w:val="10"/>
        </w:rPr>
      </w:pPr>
    </w:p>
    <w:p w:rsidR="00B863E9" w:rsidRPr="0042276E" w:rsidRDefault="00B863E9" w:rsidP="0042276E">
      <w:pPr>
        <w:rPr>
          <w:rFonts w:ascii="Arial Narrow" w:hAnsi="Arial Narrow" w:cs="Arial"/>
          <w:i/>
          <w:sz w:val="15"/>
          <w:szCs w:val="15"/>
        </w:rPr>
      </w:pPr>
      <w:r w:rsidRPr="0042276E">
        <w:rPr>
          <w:rFonts w:ascii="Arial Narrow" w:hAnsi="Arial Narrow" w:cs="Arial"/>
          <w:i/>
          <w:sz w:val="15"/>
          <w:szCs w:val="15"/>
        </w:rPr>
        <w:t>Zdroj: ŠÚ SR – ESSPROS</w:t>
      </w:r>
    </w:p>
    <w:p w:rsidR="00240206" w:rsidRPr="004F41AD" w:rsidRDefault="00793B66" w:rsidP="00370FAE">
      <w:pPr>
        <w:pStyle w:val="Nadpis6"/>
        <w:jc w:val="left"/>
        <w:rPr>
          <w:rFonts w:ascii="Arial Narrow" w:hAnsi="Arial Narrow"/>
          <w:b w:val="0"/>
          <w:i/>
          <w:sz w:val="2"/>
          <w:szCs w:val="2"/>
        </w:rPr>
      </w:pPr>
      <w:r w:rsidRPr="004F41AD">
        <w:rPr>
          <w:rFonts w:ascii="Arial Narrow" w:hAnsi="Arial Narrow"/>
          <w:b w:val="0"/>
          <w:i/>
          <w:sz w:val="2"/>
          <w:szCs w:val="2"/>
        </w:rPr>
        <w:tab/>
      </w:r>
    </w:p>
    <w:p w:rsidR="0042276E" w:rsidRDefault="0042276E" w:rsidP="00E44DDA">
      <w:pPr>
        <w:ind w:firstLine="708"/>
        <w:jc w:val="both"/>
        <w:rPr>
          <w:rFonts w:ascii="Arial Narrow" w:hAnsi="Arial Narrow"/>
          <w:sz w:val="20"/>
          <w:szCs w:val="20"/>
        </w:rPr>
      </w:pPr>
    </w:p>
    <w:p w:rsidR="00100B2E" w:rsidRDefault="00BC5A7B" w:rsidP="00E44DDA">
      <w:pPr>
        <w:ind w:firstLine="708"/>
        <w:jc w:val="both"/>
        <w:rPr>
          <w:rFonts w:ascii="Arial Narrow" w:hAnsi="Arial Narrow"/>
          <w:sz w:val="22"/>
          <w:szCs w:val="20"/>
        </w:rPr>
      </w:pPr>
      <w:r w:rsidRPr="0042276E">
        <w:rPr>
          <w:rFonts w:ascii="Arial Narrow" w:hAnsi="Arial Narrow"/>
          <w:sz w:val="22"/>
          <w:szCs w:val="20"/>
        </w:rPr>
        <w:t xml:space="preserve">Výdavky </w:t>
      </w:r>
      <w:r w:rsidR="003D225F" w:rsidRPr="0042276E">
        <w:rPr>
          <w:rFonts w:ascii="Arial Narrow" w:hAnsi="Arial Narrow"/>
          <w:sz w:val="22"/>
          <w:szCs w:val="20"/>
        </w:rPr>
        <w:t xml:space="preserve"> </w:t>
      </w:r>
      <w:r w:rsidRPr="0042276E">
        <w:rPr>
          <w:rFonts w:ascii="Arial Narrow" w:hAnsi="Arial Narrow"/>
          <w:sz w:val="22"/>
          <w:szCs w:val="20"/>
        </w:rPr>
        <w:t>v roku 201</w:t>
      </w:r>
      <w:r w:rsidR="00BD5006" w:rsidRPr="0042276E">
        <w:rPr>
          <w:rFonts w:ascii="Arial Narrow" w:hAnsi="Arial Narrow"/>
          <w:sz w:val="22"/>
          <w:szCs w:val="20"/>
        </w:rPr>
        <w:t>9</w:t>
      </w:r>
      <w:r w:rsidRPr="0042276E">
        <w:rPr>
          <w:rFonts w:ascii="Arial Narrow" w:hAnsi="Arial Narrow"/>
          <w:sz w:val="22"/>
          <w:szCs w:val="20"/>
        </w:rPr>
        <w:t xml:space="preserve"> na účel choroba/zdravotná starostlivosť dosiahli </w:t>
      </w:r>
      <w:r w:rsidR="00BD5006" w:rsidRPr="0042276E">
        <w:rPr>
          <w:rFonts w:ascii="Arial Narrow" w:hAnsi="Arial Narrow"/>
          <w:sz w:val="22"/>
          <w:szCs w:val="20"/>
        </w:rPr>
        <w:t>5</w:t>
      </w:r>
      <w:r w:rsidRPr="0042276E">
        <w:rPr>
          <w:rFonts w:ascii="Arial Narrow" w:hAnsi="Arial Narrow"/>
          <w:sz w:val="22"/>
          <w:szCs w:val="20"/>
        </w:rPr>
        <w:t xml:space="preserve"> </w:t>
      </w:r>
      <w:r w:rsidR="00BD5006" w:rsidRPr="0042276E">
        <w:rPr>
          <w:rFonts w:ascii="Arial Narrow" w:hAnsi="Arial Narrow"/>
          <w:sz w:val="22"/>
          <w:szCs w:val="20"/>
        </w:rPr>
        <w:t>332</w:t>
      </w:r>
      <w:r w:rsidRPr="0042276E">
        <w:rPr>
          <w:rFonts w:ascii="Arial Narrow" w:hAnsi="Arial Narrow"/>
          <w:sz w:val="22"/>
          <w:szCs w:val="20"/>
        </w:rPr>
        <w:t>,</w:t>
      </w:r>
      <w:r w:rsidR="00BD5006" w:rsidRPr="0042276E">
        <w:rPr>
          <w:rFonts w:ascii="Arial Narrow" w:hAnsi="Arial Narrow"/>
          <w:sz w:val="22"/>
          <w:szCs w:val="20"/>
        </w:rPr>
        <w:t>4</w:t>
      </w:r>
      <w:r w:rsidRPr="0042276E">
        <w:rPr>
          <w:rFonts w:ascii="Arial Narrow" w:hAnsi="Arial Narrow"/>
          <w:sz w:val="22"/>
          <w:szCs w:val="20"/>
        </w:rPr>
        <w:t xml:space="preserve"> mil. eur a</w:t>
      </w:r>
      <w:r w:rsidR="00FE1F01" w:rsidRPr="0042276E">
        <w:rPr>
          <w:rFonts w:ascii="Arial Narrow" w:hAnsi="Arial Narrow"/>
          <w:sz w:val="22"/>
          <w:szCs w:val="20"/>
        </w:rPr>
        <w:t> medziročne sa zvýšili o </w:t>
      </w:r>
      <w:r w:rsidR="00BD5006" w:rsidRPr="0042276E">
        <w:rPr>
          <w:rFonts w:ascii="Arial Narrow" w:hAnsi="Arial Narrow"/>
          <w:sz w:val="22"/>
          <w:szCs w:val="20"/>
        </w:rPr>
        <w:t>3</w:t>
      </w:r>
      <w:r w:rsidR="00FE1F01" w:rsidRPr="0042276E">
        <w:rPr>
          <w:rFonts w:ascii="Arial Narrow" w:hAnsi="Arial Narrow"/>
          <w:sz w:val="22"/>
          <w:szCs w:val="20"/>
        </w:rPr>
        <w:t>,</w:t>
      </w:r>
      <w:r w:rsidR="00BD5006" w:rsidRPr="0042276E">
        <w:rPr>
          <w:rFonts w:ascii="Arial Narrow" w:hAnsi="Arial Narrow"/>
          <w:sz w:val="22"/>
          <w:szCs w:val="20"/>
        </w:rPr>
        <w:t>7</w:t>
      </w:r>
      <w:r w:rsidR="00FE1F01" w:rsidRPr="0042276E">
        <w:rPr>
          <w:rFonts w:ascii="Arial Narrow" w:hAnsi="Arial Narrow"/>
          <w:sz w:val="22"/>
          <w:szCs w:val="20"/>
        </w:rPr>
        <w:t xml:space="preserve"> %.</w:t>
      </w:r>
      <w:r w:rsidR="00E40E29" w:rsidRPr="0042276E">
        <w:rPr>
          <w:rFonts w:ascii="Arial Narrow" w:hAnsi="Arial Narrow"/>
          <w:sz w:val="22"/>
          <w:szCs w:val="20"/>
        </w:rPr>
        <w:t xml:space="preserve"> </w:t>
      </w:r>
      <w:r w:rsidRPr="0042276E">
        <w:rPr>
          <w:rFonts w:ascii="Arial Narrow" w:hAnsi="Arial Narrow"/>
          <w:sz w:val="22"/>
          <w:szCs w:val="20"/>
        </w:rPr>
        <w:t>V roku 201</w:t>
      </w:r>
      <w:r w:rsidR="00BD5006" w:rsidRPr="0042276E">
        <w:rPr>
          <w:rFonts w:ascii="Arial Narrow" w:hAnsi="Arial Narrow"/>
          <w:sz w:val="22"/>
          <w:szCs w:val="20"/>
        </w:rPr>
        <w:t>9</w:t>
      </w:r>
      <w:r w:rsidRPr="0042276E">
        <w:rPr>
          <w:rFonts w:ascii="Arial Narrow" w:hAnsi="Arial Narrow"/>
          <w:sz w:val="22"/>
          <w:szCs w:val="20"/>
        </w:rPr>
        <w:t xml:space="preserve"> sa medziročne z</w:t>
      </w:r>
      <w:r w:rsidR="00CC410A" w:rsidRPr="0042276E">
        <w:rPr>
          <w:rFonts w:ascii="Arial Narrow" w:hAnsi="Arial Narrow"/>
          <w:sz w:val="22"/>
          <w:szCs w:val="20"/>
        </w:rPr>
        <w:t>výšili</w:t>
      </w:r>
      <w:r w:rsidRPr="0042276E">
        <w:rPr>
          <w:rFonts w:ascii="Arial Narrow" w:hAnsi="Arial Narrow"/>
          <w:sz w:val="22"/>
          <w:szCs w:val="20"/>
        </w:rPr>
        <w:t xml:space="preserve"> výdavky na nemocenské dávky o</w:t>
      </w:r>
      <w:r w:rsidR="002676AA" w:rsidRPr="0042276E">
        <w:rPr>
          <w:rFonts w:ascii="Arial Narrow" w:hAnsi="Arial Narrow"/>
          <w:sz w:val="22"/>
          <w:szCs w:val="20"/>
        </w:rPr>
        <w:t> </w:t>
      </w:r>
      <w:r w:rsidR="00BD5006" w:rsidRPr="0042276E">
        <w:rPr>
          <w:rFonts w:ascii="Arial Narrow" w:hAnsi="Arial Narrow"/>
          <w:sz w:val="22"/>
          <w:szCs w:val="20"/>
        </w:rPr>
        <w:t>20</w:t>
      </w:r>
      <w:r w:rsidR="002676AA" w:rsidRPr="0042276E">
        <w:rPr>
          <w:rFonts w:ascii="Arial Narrow" w:hAnsi="Arial Narrow"/>
          <w:sz w:val="22"/>
          <w:szCs w:val="20"/>
        </w:rPr>
        <w:t>,</w:t>
      </w:r>
      <w:r w:rsidR="00BD5006" w:rsidRPr="0042276E">
        <w:rPr>
          <w:rFonts w:ascii="Arial Narrow" w:hAnsi="Arial Narrow"/>
          <w:sz w:val="22"/>
          <w:szCs w:val="20"/>
        </w:rPr>
        <w:t>2</w:t>
      </w:r>
      <w:r w:rsidRPr="0042276E">
        <w:rPr>
          <w:rFonts w:ascii="Arial Narrow" w:hAnsi="Arial Narrow"/>
          <w:sz w:val="22"/>
          <w:szCs w:val="20"/>
        </w:rPr>
        <w:t xml:space="preserve"> % a výdavky na </w:t>
      </w:r>
      <w:r w:rsidR="00C121C5" w:rsidRPr="0042276E">
        <w:rPr>
          <w:rFonts w:ascii="Arial Narrow" w:hAnsi="Arial Narrow"/>
          <w:sz w:val="22"/>
          <w:szCs w:val="20"/>
        </w:rPr>
        <w:t xml:space="preserve">ústavnú zdravotnú starostlivosť </w:t>
      </w:r>
      <w:r w:rsidR="002676AA" w:rsidRPr="0042276E">
        <w:rPr>
          <w:rFonts w:ascii="Arial Narrow" w:hAnsi="Arial Narrow"/>
          <w:sz w:val="22"/>
          <w:szCs w:val="20"/>
        </w:rPr>
        <w:t xml:space="preserve">sa zvýšili </w:t>
      </w:r>
      <w:r w:rsidR="00C121C5" w:rsidRPr="0042276E">
        <w:rPr>
          <w:rFonts w:ascii="Arial Narrow" w:hAnsi="Arial Narrow"/>
          <w:sz w:val="22"/>
          <w:szCs w:val="20"/>
        </w:rPr>
        <w:t>o </w:t>
      </w:r>
      <w:r w:rsidR="00BD5006" w:rsidRPr="0042276E">
        <w:rPr>
          <w:rFonts w:ascii="Arial Narrow" w:hAnsi="Arial Narrow"/>
          <w:sz w:val="22"/>
          <w:szCs w:val="20"/>
        </w:rPr>
        <w:t>2</w:t>
      </w:r>
      <w:r w:rsidR="005C69D7" w:rsidRPr="0042276E">
        <w:rPr>
          <w:rFonts w:ascii="Arial Narrow" w:hAnsi="Arial Narrow"/>
          <w:sz w:val="22"/>
          <w:szCs w:val="20"/>
        </w:rPr>
        <w:t>1</w:t>
      </w:r>
      <w:r w:rsidR="00C121C5" w:rsidRPr="0042276E">
        <w:rPr>
          <w:rFonts w:ascii="Arial Narrow" w:hAnsi="Arial Narrow"/>
          <w:sz w:val="22"/>
          <w:szCs w:val="20"/>
        </w:rPr>
        <w:t>,</w:t>
      </w:r>
      <w:r w:rsidR="00BD5006" w:rsidRPr="0042276E">
        <w:rPr>
          <w:rFonts w:ascii="Arial Narrow" w:hAnsi="Arial Narrow"/>
          <w:sz w:val="22"/>
          <w:szCs w:val="20"/>
        </w:rPr>
        <w:t>3</w:t>
      </w:r>
      <w:r w:rsidR="00C121C5" w:rsidRPr="0042276E">
        <w:rPr>
          <w:rFonts w:ascii="Arial Narrow" w:hAnsi="Arial Narrow"/>
          <w:sz w:val="22"/>
          <w:szCs w:val="20"/>
        </w:rPr>
        <w:t xml:space="preserve"> %</w:t>
      </w:r>
      <w:r w:rsidR="00100B2E" w:rsidRPr="0042276E">
        <w:rPr>
          <w:rFonts w:ascii="Arial Narrow" w:hAnsi="Arial Narrow"/>
          <w:sz w:val="22"/>
          <w:szCs w:val="20"/>
        </w:rPr>
        <w:t>.</w:t>
      </w:r>
    </w:p>
    <w:p w:rsidR="00D2265B" w:rsidRDefault="00D2265B" w:rsidP="00E44DDA">
      <w:pPr>
        <w:ind w:firstLine="708"/>
        <w:jc w:val="both"/>
        <w:rPr>
          <w:rFonts w:ascii="Arial Narrow" w:hAnsi="Arial Narrow"/>
          <w:sz w:val="22"/>
          <w:szCs w:val="20"/>
        </w:rPr>
      </w:pPr>
    </w:p>
    <w:p w:rsidR="00D2265B" w:rsidRDefault="00E938B2" w:rsidP="00E938B2">
      <w:pPr>
        <w:ind w:firstLine="708"/>
        <w:jc w:val="both"/>
        <w:rPr>
          <w:rFonts w:ascii="Arial Narrow" w:hAnsi="Arial Narrow"/>
          <w:sz w:val="22"/>
          <w:szCs w:val="20"/>
        </w:rPr>
      </w:pPr>
      <w:r>
        <w:rPr>
          <w:rFonts w:ascii="Arial Narrow" w:hAnsi="Arial Narrow"/>
          <w:sz w:val="22"/>
          <w:szCs w:val="20"/>
        </w:rPr>
        <w:t xml:space="preserve">Do roku 2005 boli výdavky na ústavnú starostlivosť (33,9 %) vyššie ako výdavky na ambulantnú starostlivosť (21,8%). Od roku 2006 sa tento pomer zmenil a výdavky na ambulantnú starostlivosť (34,5 %) prevýšili výdavky na ústavnú starostlivosť (24,5 %). V roku 2019 boli tieto výdavky na podobnej úrovni ( 31,4 % ústavná resp. 35,0 % ambulantná starostlivosť).  </w:t>
      </w:r>
    </w:p>
    <w:p w:rsidR="00D2265B" w:rsidRDefault="00D2265B" w:rsidP="00E44DDA">
      <w:pPr>
        <w:ind w:firstLine="708"/>
        <w:jc w:val="both"/>
        <w:rPr>
          <w:rFonts w:ascii="Arial Narrow" w:hAnsi="Arial Narrow"/>
          <w:sz w:val="22"/>
          <w:szCs w:val="20"/>
        </w:rPr>
      </w:pPr>
    </w:p>
    <w:p w:rsidR="00D2265B" w:rsidRDefault="00D2265B" w:rsidP="009C31FA">
      <w:pPr>
        <w:jc w:val="both"/>
        <w:rPr>
          <w:rFonts w:ascii="Arial Narrow" w:hAnsi="Arial Narrow"/>
          <w:sz w:val="22"/>
          <w:szCs w:val="20"/>
        </w:rPr>
      </w:pPr>
    </w:p>
    <w:p w:rsidR="00D2265B" w:rsidRPr="0042276E" w:rsidRDefault="00D2265B" w:rsidP="00E44DDA">
      <w:pPr>
        <w:ind w:firstLine="708"/>
        <w:jc w:val="both"/>
        <w:rPr>
          <w:rFonts w:ascii="Arial Narrow" w:hAnsi="Arial Narrow"/>
          <w:sz w:val="22"/>
          <w:szCs w:val="20"/>
        </w:rPr>
      </w:pPr>
    </w:p>
    <w:p w:rsidR="0020351B" w:rsidRPr="00A7469F" w:rsidRDefault="0020351B" w:rsidP="007B6329">
      <w:pPr>
        <w:ind w:firstLine="708"/>
        <w:jc w:val="both"/>
        <w:rPr>
          <w:rFonts w:ascii="Arial Narrow" w:hAnsi="Arial Narrow"/>
          <w:sz w:val="20"/>
          <w:szCs w:val="20"/>
          <w:highlight w:val="cyan"/>
        </w:rPr>
      </w:pPr>
    </w:p>
    <w:p w:rsidR="00A72187" w:rsidRDefault="00A72187" w:rsidP="00100B2E">
      <w:pPr>
        <w:jc w:val="both"/>
        <w:rPr>
          <w:rFonts w:ascii="Arial Narrow" w:hAnsi="Arial Narrow"/>
          <w:sz w:val="20"/>
          <w:szCs w:val="20"/>
        </w:rPr>
      </w:pPr>
    </w:p>
    <w:p w:rsidR="00A72187" w:rsidRDefault="00A72187" w:rsidP="00A72187">
      <w:pPr>
        <w:jc w:val="both"/>
        <w:rPr>
          <w:rFonts w:ascii="Arial Narrow" w:hAnsi="Arial Narrow"/>
          <w:b/>
          <w:bCs/>
          <w:color w:val="000000"/>
          <w:sz w:val="20"/>
          <w:szCs w:val="20"/>
        </w:rPr>
      </w:pPr>
      <w:r w:rsidRPr="00A72187">
        <w:rPr>
          <w:rFonts w:ascii="Arial Narrow" w:hAnsi="Arial Narrow"/>
          <w:b/>
          <w:bCs/>
          <w:color w:val="000000"/>
          <w:sz w:val="20"/>
          <w:szCs w:val="20"/>
        </w:rPr>
        <w:lastRenderedPageBreak/>
        <w:t>Graf 1.</w:t>
      </w:r>
      <w:r w:rsidR="00E61CA6">
        <w:rPr>
          <w:rFonts w:ascii="Arial Narrow" w:hAnsi="Arial Narrow"/>
          <w:b/>
          <w:bCs/>
          <w:color w:val="000000"/>
          <w:sz w:val="20"/>
          <w:szCs w:val="20"/>
        </w:rPr>
        <w:t>9</w:t>
      </w:r>
      <w:r w:rsidRPr="00A72187">
        <w:rPr>
          <w:rFonts w:ascii="Arial Narrow" w:hAnsi="Arial Narrow"/>
          <w:b/>
          <w:bCs/>
          <w:color w:val="000000"/>
          <w:sz w:val="20"/>
          <w:szCs w:val="20"/>
        </w:rPr>
        <w:t xml:space="preserve">  Výdavky na sociálne dávky na účel choroba/zdravotná starostlivosť v SR, </w:t>
      </w:r>
      <w:r w:rsidR="00686A9B">
        <w:rPr>
          <w:rFonts w:ascii="Arial Narrow" w:hAnsi="Arial Narrow"/>
          <w:b/>
          <w:bCs/>
          <w:color w:val="000000"/>
          <w:sz w:val="20"/>
          <w:szCs w:val="20"/>
        </w:rPr>
        <w:t>1998</w:t>
      </w:r>
      <w:r w:rsidRPr="00A72187">
        <w:rPr>
          <w:rFonts w:ascii="Arial Narrow" w:hAnsi="Arial Narrow"/>
          <w:b/>
          <w:bCs/>
          <w:color w:val="000000"/>
          <w:sz w:val="20"/>
          <w:szCs w:val="20"/>
        </w:rPr>
        <w:t xml:space="preserve"> </w:t>
      </w:r>
      <w:r w:rsidR="0042276E">
        <w:rPr>
          <w:rFonts w:ascii="Arial Narrow" w:hAnsi="Arial Narrow"/>
          <w:b/>
          <w:bCs/>
          <w:color w:val="000000"/>
          <w:sz w:val="20"/>
          <w:szCs w:val="20"/>
        </w:rPr>
        <w:t>–</w:t>
      </w:r>
      <w:r w:rsidRPr="00A72187">
        <w:rPr>
          <w:rFonts w:ascii="Arial Narrow" w:hAnsi="Arial Narrow"/>
          <w:b/>
          <w:bCs/>
          <w:color w:val="000000"/>
          <w:sz w:val="20"/>
          <w:szCs w:val="20"/>
        </w:rPr>
        <w:t xml:space="preserve"> </w:t>
      </w:r>
      <w:r w:rsidR="00CE6F2A">
        <w:rPr>
          <w:rFonts w:ascii="Arial Narrow" w:hAnsi="Arial Narrow"/>
          <w:b/>
          <w:bCs/>
          <w:color w:val="000000"/>
          <w:sz w:val="20"/>
          <w:szCs w:val="20"/>
        </w:rPr>
        <w:t>201</w:t>
      </w:r>
      <w:r w:rsidR="00686A9B">
        <w:rPr>
          <w:rFonts w:ascii="Arial Narrow" w:hAnsi="Arial Narrow"/>
          <w:b/>
          <w:bCs/>
          <w:color w:val="000000"/>
          <w:sz w:val="20"/>
          <w:szCs w:val="20"/>
        </w:rPr>
        <w:t>9</w:t>
      </w:r>
    </w:p>
    <w:p w:rsidR="0042276E" w:rsidRPr="0042276E" w:rsidRDefault="0042276E" w:rsidP="00A72187">
      <w:pPr>
        <w:jc w:val="both"/>
        <w:rPr>
          <w:rFonts w:ascii="Arial Narrow" w:hAnsi="Arial Narrow"/>
          <w:b/>
          <w:bCs/>
          <w:color w:val="000000"/>
          <w:sz w:val="10"/>
          <w:szCs w:val="10"/>
          <w:lang w:eastAsia="sk-SK"/>
        </w:rPr>
      </w:pPr>
    </w:p>
    <w:p w:rsidR="00A72187" w:rsidRPr="00100B2E" w:rsidRDefault="00D74A81" w:rsidP="00100B2E">
      <w:pPr>
        <w:jc w:val="both"/>
        <w:rPr>
          <w:rFonts w:ascii="Arial Narrow" w:hAnsi="Arial Narrow"/>
          <w:sz w:val="20"/>
          <w:szCs w:val="20"/>
        </w:rPr>
      </w:pPr>
      <w:r>
        <w:rPr>
          <w:noProof/>
          <w:lang w:eastAsia="sk-SK"/>
        </w:rPr>
        <w:drawing>
          <wp:inline distT="0" distB="0" distL="0" distR="0" wp14:anchorId="6F9F961E" wp14:editId="577BA487">
            <wp:extent cx="5759450" cy="2639060"/>
            <wp:effectExtent l="0" t="0" r="12700" b="8890"/>
            <wp:docPr id="22" name="Graf 22">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2276E" w:rsidRPr="0042276E" w:rsidRDefault="0042276E" w:rsidP="00A14BA2">
      <w:pPr>
        <w:rPr>
          <w:sz w:val="10"/>
          <w:szCs w:val="10"/>
        </w:rPr>
      </w:pPr>
    </w:p>
    <w:p w:rsidR="00A14BA2" w:rsidRDefault="00FB585B" w:rsidP="00A14BA2">
      <w:pPr>
        <w:rPr>
          <w:rFonts w:ascii="Arial Narrow" w:hAnsi="Arial Narrow"/>
          <w:i/>
          <w:sz w:val="16"/>
          <w:szCs w:val="16"/>
        </w:rPr>
      </w:pPr>
      <w:r w:rsidRPr="00FB585B">
        <w:rPr>
          <w:rFonts w:ascii="Arial Narrow" w:hAnsi="Arial Narrow"/>
          <w:i/>
          <w:sz w:val="16"/>
          <w:szCs w:val="16"/>
        </w:rPr>
        <w:t xml:space="preserve">Zdroj: ŠÚ SR </w:t>
      </w:r>
      <w:r w:rsidR="00470650">
        <w:rPr>
          <w:rFonts w:ascii="Arial Narrow" w:hAnsi="Arial Narrow"/>
          <w:i/>
          <w:sz w:val="16"/>
          <w:szCs w:val="16"/>
        </w:rPr>
        <w:t>-</w:t>
      </w:r>
      <w:r w:rsidRPr="00FB585B">
        <w:rPr>
          <w:rFonts w:ascii="Arial Narrow" w:hAnsi="Arial Narrow"/>
          <w:i/>
          <w:sz w:val="16"/>
          <w:szCs w:val="16"/>
        </w:rPr>
        <w:t xml:space="preserve"> ESSPROS</w:t>
      </w:r>
    </w:p>
    <w:p w:rsidR="00A86D53" w:rsidRPr="006E302E" w:rsidRDefault="00A86D53" w:rsidP="00A14BA2">
      <w:pPr>
        <w:rPr>
          <w:rFonts w:ascii="Arial Narrow" w:hAnsi="Arial Narrow"/>
          <w:sz w:val="20"/>
          <w:szCs w:val="20"/>
        </w:rPr>
      </w:pPr>
    </w:p>
    <w:p w:rsidR="00D3445D" w:rsidRPr="0042276E" w:rsidRDefault="002A5885" w:rsidP="00FB585B">
      <w:pPr>
        <w:rPr>
          <w:rFonts w:ascii="Arial Narrow" w:hAnsi="Arial Narrow" w:cs="Arial"/>
        </w:rPr>
      </w:pPr>
      <w:r w:rsidRPr="0042276E">
        <w:rPr>
          <w:rFonts w:ascii="Arial Narrow" w:hAnsi="Arial Narrow"/>
          <w:b/>
        </w:rPr>
        <w:t>1.</w:t>
      </w:r>
      <w:r w:rsidR="005E2A89" w:rsidRPr="0042276E">
        <w:rPr>
          <w:rFonts w:ascii="Arial Narrow" w:hAnsi="Arial Narrow"/>
          <w:b/>
        </w:rPr>
        <w:t>2.2</w:t>
      </w:r>
      <w:r w:rsidR="00F96D82" w:rsidRPr="0042276E">
        <w:rPr>
          <w:rFonts w:ascii="Arial Narrow" w:hAnsi="Arial Narrow"/>
          <w:b/>
        </w:rPr>
        <w:t xml:space="preserve"> </w:t>
      </w:r>
      <w:r w:rsidR="00FB585B" w:rsidRPr="0042276E">
        <w:rPr>
          <w:rFonts w:ascii="Arial Narrow" w:hAnsi="Arial Narrow"/>
          <w:b/>
        </w:rPr>
        <w:t xml:space="preserve"> </w:t>
      </w:r>
      <w:r w:rsidR="00AE7B4B" w:rsidRPr="0042276E">
        <w:rPr>
          <w:rFonts w:ascii="Arial Narrow" w:hAnsi="Arial Narrow"/>
          <w:b/>
        </w:rPr>
        <w:t>Výdavky na účel zd</w:t>
      </w:r>
      <w:r w:rsidR="00240206" w:rsidRPr="0042276E">
        <w:rPr>
          <w:rFonts w:ascii="Arial Narrow" w:hAnsi="Arial Narrow"/>
          <w:b/>
        </w:rPr>
        <w:t xml:space="preserve">ravotné postihnutie </w:t>
      </w:r>
      <w:r w:rsidR="00FF691E" w:rsidRPr="0042276E">
        <w:rPr>
          <w:rFonts w:ascii="Arial Narrow" w:hAnsi="Arial Narrow"/>
          <w:b/>
        </w:rPr>
        <w:t>(invalidita)</w:t>
      </w:r>
      <w:r w:rsidR="00C121C5" w:rsidRPr="0042276E">
        <w:rPr>
          <w:rFonts w:ascii="Arial Narrow" w:hAnsi="Arial Narrow"/>
          <w:b/>
        </w:rPr>
        <w:t xml:space="preserve"> v SR</w:t>
      </w:r>
      <w:r w:rsidR="00D3445D" w:rsidRPr="0042276E">
        <w:rPr>
          <w:rFonts w:ascii="Arial Narrow" w:hAnsi="Arial Narrow"/>
          <w:b/>
        </w:rPr>
        <w:t xml:space="preserve"> </w:t>
      </w:r>
      <w:r w:rsidR="00C121C5" w:rsidRPr="0042276E">
        <w:rPr>
          <w:rFonts w:ascii="Arial Narrow" w:hAnsi="Arial Narrow"/>
        </w:rPr>
        <w:t>(</w:t>
      </w:r>
      <w:r w:rsidR="00D3445D" w:rsidRPr="0042276E">
        <w:rPr>
          <w:rFonts w:ascii="Arial Narrow" w:hAnsi="Arial Narrow"/>
        </w:rPr>
        <w:t xml:space="preserve">Programy sociálnej ochrany č.: </w:t>
      </w:r>
      <w:r w:rsidR="008811BF" w:rsidRPr="0042276E">
        <w:rPr>
          <w:rFonts w:ascii="Arial Narrow" w:hAnsi="Arial Narrow"/>
        </w:rPr>
        <w:t xml:space="preserve">5, </w:t>
      </w:r>
      <w:r w:rsidR="00D3445D" w:rsidRPr="0042276E">
        <w:rPr>
          <w:rFonts w:ascii="Arial Narrow" w:hAnsi="Arial Narrow"/>
        </w:rPr>
        <w:t>6, 9,</w:t>
      </w:r>
      <w:r w:rsidR="00FB585B" w:rsidRPr="0042276E">
        <w:rPr>
          <w:rFonts w:ascii="Arial Narrow" w:hAnsi="Arial Narrow"/>
        </w:rPr>
        <w:t xml:space="preserve"> </w:t>
      </w:r>
      <w:r w:rsidR="00D3445D" w:rsidRPr="0042276E">
        <w:rPr>
          <w:rFonts w:ascii="Arial Narrow" w:hAnsi="Arial Narrow"/>
        </w:rPr>
        <w:t>10,</w:t>
      </w:r>
      <w:r w:rsidR="00FB585B" w:rsidRPr="0042276E">
        <w:rPr>
          <w:rFonts w:ascii="Arial Narrow" w:hAnsi="Arial Narrow"/>
        </w:rPr>
        <w:t xml:space="preserve"> </w:t>
      </w:r>
      <w:r w:rsidR="00D3445D" w:rsidRPr="0042276E">
        <w:rPr>
          <w:rFonts w:ascii="Arial Narrow" w:hAnsi="Arial Narrow"/>
        </w:rPr>
        <w:t xml:space="preserve">11, 12, 13, 14, 15, </w:t>
      </w:r>
      <w:r w:rsidR="008811BF" w:rsidRPr="0042276E">
        <w:rPr>
          <w:rFonts w:ascii="Arial Narrow" w:hAnsi="Arial Narrow"/>
        </w:rPr>
        <w:t>19</w:t>
      </w:r>
      <w:r w:rsidR="00C121C5" w:rsidRPr="0042276E">
        <w:rPr>
          <w:rFonts w:ascii="Arial Narrow" w:hAnsi="Arial Narrow"/>
        </w:rPr>
        <w:t>)</w:t>
      </w:r>
    </w:p>
    <w:p w:rsidR="004952A2" w:rsidRPr="009501F9" w:rsidRDefault="004952A2" w:rsidP="00B751DE">
      <w:pPr>
        <w:jc w:val="both"/>
        <w:rPr>
          <w:rFonts w:ascii="Arial Narrow" w:hAnsi="Arial Narrow"/>
          <w:sz w:val="20"/>
          <w:szCs w:val="20"/>
        </w:rPr>
      </w:pPr>
    </w:p>
    <w:p w:rsidR="00FF691E" w:rsidRPr="0042276E" w:rsidRDefault="00FF691E" w:rsidP="00232FC2">
      <w:pPr>
        <w:jc w:val="both"/>
        <w:rPr>
          <w:rFonts w:ascii="Arial Narrow" w:hAnsi="Arial Narrow"/>
          <w:sz w:val="22"/>
          <w:szCs w:val="22"/>
        </w:rPr>
      </w:pPr>
      <w:r w:rsidRPr="0042276E">
        <w:rPr>
          <w:rFonts w:ascii="Arial Narrow" w:hAnsi="Arial Narrow"/>
          <w:b/>
          <w:sz w:val="22"/>
          <w:szCs w:val="22"/>
        </w:rPr>
        <w:t>Zdravotné postihnutie</w:t>
      </w:r>
      <w:r w:rsidRPr="0042276E">
        <w:rPr>
          <w:rFonts w:ascii="Arial Narrow" w:hAnsi="Arial Narrow"/>
          <w:sz w:val="22"/>
          <w:szCs w:val="22"/>
        </w:rPr>
        <w:t xml:space="preserve"> je plná alebo čiastočná neschopnosť zapojiť sa do ekonomickej činnosti  alebo viesť normálny život vzhľadom k fyzickému alebo mentálnemu poškodeniu, ktoré má s najväčšou pravdepodobnosťou buď trvalý charakter alebo pretrváva po dobu dlhšiu ako je minimálne stanovené. </w:t>
      </w:r>
    </w:p>
    <w:p w:rsidR="0020351B" w:rsidRPr="0042276E" w:rsidRDefault="0020351B" w:rsidP="00A75629">
      <w:pPr>
        <w:ind w:firstLine="708"/>
        <w:jc w:val="both"/>
        <w:rPr>
          <w:rFonts w:ascii="Arial Narrow" w:hAnsi="Arial Narrow"/>
          <w:sz w:val="22"/>
          <w:szCs w:val="22"/>
        </w:rPr>
      </w:pPr>
    </w:p>
    <w:p w:rsidR="00FF691E" w:rsidRPr="0042276E" w:rsidRDefault="00FF691E" w:rsidP="00232FC2">
      <w:pPr>
        <w:jc w:val="both"/>
        <w:rPr>
          <w:rFonts w:ascii="Arial Narrow" w:hAnsi="Arial Narrow"/>
          <w:sz w:val="22"/>
          <w:szCs w:val="22"/>
        </w:rPr>
      </w:pPr>
      <w:r w:rsidRPr="0042276E">
        <w:rPr>
          <w:rFonts w:ascii="Arial Narrow" w:hAnsi="Arial Narrow"/>
          <w:sz w:val="22"/>
          <w:szCs w:val="22"/>
        </w:rPr>
        <w:t>Účel invalidita pokrýva dávky, ktoré:</w:t>
      </w:r>
    </w:p>
    <w:p w:rsidR="00FF691E" w:rsidRPr="0042276E" w:rsidRDefault="00FF691E" w:rsidP="0020351B">
      <w:pPr>
        <w:pStyle w:val="Odsekzoznamu"/>
        <w:numPr>
          <w:ilvl w:val="0"/>
          <w:numId w:val="6"/>
        </w:numPr>
        <w:jc w:val="both"/>
        <w:rPr>
          <w:rFonts w:ascii="Arial Narrow" w:hAnsi="Arial Narrow"/>
          <w:sz w:val="22"/>
          <w:szCs w:val="22"/>
        </w:rPr>
      </w:pPr>
      <w:r w:rsidRPr="0042276E">
        <w:rPr>
          <w:rFonts w:ascii="Arial Narrow" w:hAnsi="Arial Narrow"/>
          <w:sz w:val="22"/>
          <w:szCs w:val="22"/>
          <w:u w:val="single"/>
        </w:rPr>
        <w:t>zabezpečujú príjem osobám, ktoré</w:t>
      </w:r>
      <w:r w:rsidRPr="0042276E">
        <w:rPr>
          <w:rFonts w:ascii="Arial Narrow" w:hAnsi="Arial Narrow"/>
          <w:sz w:val="22"/>
          <w:szCs w:val="22"/>
        </w:rPr>
        <w:t xml:space="preserve"> </w:t>
      </w:r>
      <w:r w:rsidRPr="0042276E">
        <w:rPr>
          <w:rFonts w:ascii="Arial Narrow" w:hAnsi="Arial Narrow"/>
          <w:sz w:val="22"/>
          <w:szCs w:val="22"/>
          <w:u w:val="single"/>
        </w:rPr>
        <w:t>nedosiahli štandardný dôchodkový vek</w:t>
      </w:r>
      <w:r w:rsidRPr="0042276E">
        <w:rPr>
          <w:rFonts w:ascii="Arial Narrow" w:hAnsi="Arial Narrow"/>
          <w:sz w:val="22"/>
          <w:szCs w:val="22"/>
        </w:rPr>
        <w:t xml:space="preserve"> ako je stanovený v referenčnom programe, ktorých schopnosť pracovať a zarábať peniaze je oslabená pod minimálnu úroveň stanovenú ako fyzická a mentálna invalidita</w:t>
      </w:r>
      <w:r w:rsidR="00935E05" w:rsidRPr="0042276E">
        <w:rPr>
          <w:rFonts w:ascii="Arial Narrow" w:hAnsi="Arial Narrow"/>
          <w:sz w:val="22"/>
          <w:szCs w:val="22"/>
          <w:lang w:val="en-US"/>
        </w:rPr>
        <w:t>,</w:t>
      </w:r>
    </w:p>
    <w:p w:rsidR="00FF691E" w:rsidRPr="0042276E" w:rsidRDefault="00FF691E" w:rsidP="0020351B">
      <w:pPr>
        <w:pStyle w:val="Odsekzoznamu"/>
        <w:numPr>
          <w:ilvl w:val="0"/>
          <w:numId w:val="6"/>
        </w:numPr>
        <w:jc w:val="both"/>
        <w:rPr>
          <w:rFonts w:ascii="Arial Narrow" w:hAnsi="Arial Narrow"/>
          <w:sz w:val="22"/>
          <w:szCs w:val="22"/>
        </w:rPr>
      </w:pPr>
      <w:r w:rsidRPr="0042276E">
        <w:rPr>
          <w:rFonts w:ascii="Arial Narrow" w:hAnsi="Arial Narrow"/>
          <w:sz w:val="22"/>
          <w:szCs w:val="22"/>
        </w:rPr>
        <w:t>zabezpečujú rehabilitačné služby, ktoré sa špeciálne požadujú pre invalidov</w:t>
      </w:r>
      <w:r w:rsidR="00935E05" w:rsidRPr="0042276E">
        <w:rPr>
          <w:rFonts w:ascii="Arial Narrow" w:hAnsi="Arial Narrow"/>
          <w:sz w:val="22"/>
          <w:szCs w:val="22"/>
          <w:lang w:val="en-US"/>
        </w:rPr>
        <w:t>,</w:t>
      </w:r>
    </w:p>
    <w:p w:rsidR="00FF691E" w:rsidRPr="0042276E" w:rsidRDefault="00FF691E" w:rsidP="0020351B">
      <w:pPr>
        <w:pStyle w:val="Odsekzoznamu"/>
        <w:numPr>
          <w:ilvl w:val="0"/>
          <w:numId w:val="6"/>
        </w:numPr>
        <w:jc w:val="both"/>
        <w:rPr>
          <w:rFonts w:ascii="Arial Narrow" w:hAnsi="Arial Narrow"/>
          <w:sz w:val="22"/>
          <w:szCs w:val="22"/>
        </w:rPr>
      </w:pPr>
      <w:r w:rsidRPr="0042276E">
        <w:rPr>
          <w:rFonts w:ascii="Arial Narrow" w:hAnsi="Arial Narrow"/>
          <w:sz w:val="22"/>
          <w:szCs w:val="22"/>
        </w:rPr>
        <w:t>zabezpečujú invalidom tovary a služby inej než lekárskej starostlivosti.</w:t>
      </w:r>
    </w:p>
    <w:p w:rsidR="00FF691E" w:rsidRPr="0042276E" w:rsidRDefault="00FF691E" w:rsidP="00FF691E">
      <w:pPr>
        <w:jc w:val="both"/>
        <w:rPr>
          <w:rFonts w:ascii="Arial Narrow" w:hAnsi="Arial Narrow"/>
          <w:sz w:val="22"/>
          <w:szCs w:val="22"/>
        </w:rPr>
      </w:pPr>
    </w:p>
    <w:p w:rsidR="00FF691E" w:rsidRPr="0042276E" w:rsidRDefault="00FF691E" w:rsidP="00232FC2">
      <w:pPr>
        <w:jc w:val="both"/>
        <w:rPr>
          <w:rFonts w:ascii="Arial Narrow" w:hAnsi="Arial Narrow"/>
          <w:sz w:val="22"/>
          <w:szCs w:val="22"/>
        </w:rPr>
      </w:pPr>
      <w:r w:rsidRPr="0042276E">
        <w:rPr>
          <w:rFonts w:ascii="Arial Narrow" w:hAnsi="Arial Narrow"/>
          <w:b/>
          <w:sz w:val="22"/>
          <w:szCs w:val="22"/>
        </w:rPr>
        <w:t>Invalidný dôchodok</w:t>
      </w:r>
      <w:r w:rsidRPr="0042276E">
        <w:rPr>
          <w:rFonts w:ascii="Arial Narrow" w:hAnsi="Arial Narrow"/>
          <w:sz w:val="22"/>
          <w:szCs w:val="22"/>
        </w:rPr>
        <w:t>: pravidelné platby určené na udržanie alebo podporu príjmov človeka</w:t>
      </w:r>
      <w:r w:rsidR="006859A4" w:rsidRPr="0042276E">
        <w:rPr>
          <w:rFonts w:ascii="Arial Narrow" w:hAnsi="Arial Narrow"/>
          <w:sz w:val="22"/>
          <w:szCs w:val="22"/>
        </w:rPr>
        <w:t xml:space="preserve"> v prípade poklesu schopnosti vykonávať zárobkovú činnosť v dôsledku dlhodobo nepriaznivého zdravotného stavu.</w:t>
      </w:r>
      <w:r w:rsidRPr="0042276E">
        <w:rPr>
          <w:rFonts w:ascii="Arial Narrow" w:hAnsi="Arial Narrow"/>
          <w:sz w:val="22"/>
          <w:szCs w:val="22"/>
        </w:rPr>
        <w:t xml:space="preserve"> </w:t>
      </w:r>
      <w:r w:rsidR="006859A4" w:rsidRPr="0042276E">
        <w:rPr>
          <w:rFonts w:ascii="Arial Narrow" w:hAnsi="Arial Narrow"/>
          <w:sz w:val="22"/>
          <w:szCs w:val="22"/>
        </w:rPr>
        <w:t>Poberateľ invalidného dôchodku</w:t>
      </w:r>
      <w:r w:rsidRPr="0042276E">
        <w:rPr>
          <w:rFonts w:ascii="Arial Narrow" w:hAnsi="Arial Narrow"/>
          <w:sz w:val="22"/>
          <w:szCs w:val="22"/>
        </w:rPr>
        <w:t xml:space="preserve"> nedosiahol zákonný/štandardný dôchodkový vek</w:t>
      </w:r>
      <w:r w:rsidR="006859A4" w:rsidRPr="0042276E">
        <w:rPr>
          <w:rFonts w:ascii="Arial Narrow" w:hAnsi="Arial Narrow"/>
          <w:sz w:val="22"/>
          <w:szCs w:val="22"/>
        </w:rPr>
        <w:t>.  </w:t>
      </w:r>
    </w:p>
    <w:p w:rsidR="006859A4" w:rsidRPr="0042276E" w:rsidRDefault="006859A4" w:rsidP="00FF691E">
      <w:pPr>
        <w:jc w:val="both"/>
        <w:rPr>
          <w:rFonts w:ascii="Arial Narrow" w:hAnsi="Arial Narrow"/>
          <w:sz w:val="22"/>
          <w:szCs w:val="22"/>
        </w:rPr>
      </w:pPr>
    </w:p>
    <w:p w:rsidR="00FF691E" w:rsidRPr="0042276E" w:rsidRDefault="00FF691E" w:rsidP="00232FC2">
      <w:pPr>
        <w:jc w:val="both"/>
        <w:rPr>
          <w:rFonts w:ascii="Arial Narrow" w:hAnsi="Arial Narrow"/>
          <w:sz w:val="22"/>
          <w:szCs w:val="22"/>
        </w:rPr>
      </w:pPr>
      <w:r w:rsidRPr="0042276E">
        <w:rPr>
          <w:rFonts w:ascii="Arial Narrow" w:hAnsi="Arial Narrow"/>
          <w:b/>
          <w:sz w:val="22"/>
          <w:szCs w:val="22"/>
        </w:rPr>
        <w:t>Predčasný dôchodok z dôvodu obmedzenej pracovnej schopnosti:</w:t>
      </w:r>
      <w:r w:rsidRPr="0042276E">
        <w:rPr>
          <w:rFonts w:ascii="Arial Narrow" w:hAnsi="Arial Narrow"/>
          <w:sz w:val="22"/>
          <w:szCs w:val="22"/>
        </w:rPr>
        <w:t xml:space="preserve"> pravidelné platby starším pracovníkom, ktorí odchádzajú do dôchodku pred dosiahnutím zákonného/štandardného dôchodkového veku. </w:t>
      </w:r>
    </w:p>
    <w:p w:rsidR="00FF691E" w:rsidRPr="0042276E" w:rsidRDefault="00FF691E" w:rsidP="00FF691E">
      <w:pPr>
        <w:rPr>
          <w:rFonts w:ascii="Arial Narrow" w:hAnsi="Arial Narrow"/>
          <w:sz w:val="22"/>
          <w:szCs w:val="22"/>
        </w:rPr>
      </w:pPr>
    </w:p>
    <w:p w:rsidR="00FF691E" w:rsidRPr="0042276E" w:rsidRDefault="00FF691E" w:rsidP="00232FC2">
      <w:pPr>
        <w:jc w:val="both"/>
        <w:rPr>
          <w:rFonts w:ascii="Arial Narrow" w:hAnsi="Arial Narrow"/>
          <w:sz w:val="22"/>
          <w:szCs w:val="22"/>
        </w:rPr>
      </w:pPr>
      <w:r w:rsidRPr="0042276E">
        <w:rPr>
          <w:rFonts w:ascii="Arial Narrow" w:hAnsi="Arial Narrow"/>
          <w:b/>
          <w:sz w:val="22"/>
          <w:szCs w:val="22"/>
        </w:rPr>
        <w:t xml:space="preserve">Dávka na starostlivosť: </w:t>
      </w:r>
      <w:r w:rsidRPr="0042276E">
        <w:rPr>
          <w:rFonts w:ascii="Arial Narrow" w:hAnsi="Arial Narrow"/>
          <w:sz w:val="22"/>
          <w:szCs w:val="22"/>
        </w:rPr>
        <w:t xml:space="preserve">dávka platená invalidným osobám, ktoré potrebujú častú alebo trvalú pomoc, aby mohli platiť osobitné poplatky za starostlivosť (inú než lekársku starostlivosť). </w:t>
      </w:r>
    </w:p>
    <w:p w:rsidR="00FF691E" w:rsidRPr="0042276E" w:rsidRDefault="00FF691E" w:rsidP="00FF691E">
      <w:pPr>
        <w:rPr>
          <w:rFonts w:ascii="Arial Narrow" w:hAnsi="Arial Narrow"/>
          <w:sz w:val="22"/>
          <w:szCs w:val="22"/>
        </w:rPr>
      </w:pPr>
    </w:p>
    <w:p w:rsidR="00FF691E" w:rsidRPr="0042276E" w:rsidRDefault="00FF691E" w:rsidP="00232FC2">
      <w:pPr>
        <w:jc w:val="both"/>
        <w:rPr>
          <w:rFonts w:ascii="Arial Narrow" w:hAnsi="Arial Narrow"/>
          <w:sz w:val="22"/>
          <w:szCs w:val="22"/>
        </w:rPr>
      </w:pPr>
      <w:r w:rsidRPr="0042276E">
        <w:rPr>
          <w:rFonts w:ascii="Arial Narrow" w:hAnsi="Arial Narrow"/>
          <w:b/>
          <w:sz w:val="22"/>
          <w:szCs w:val="22"/>
        </w:rPr>
        <w:t>Ekonomická integrácia hendikepovaných</w:t>
      </w:r>
      <w:r w:rsidRPr="0042276E">
        <w:rPr>
          <w:rFonts w:ascii="Arial Narrow" w:hAnsi="Arial Narrow"/>
          <w:sz w:val="22"/>
          <w:szCs w:val="22"/>
        </w:rPr>
        <w:t>: dávky platené invalidným osobám, ak vykonávajú prácu prispôsobenú ich stavu zvyčajne v chránenej dielni alebo ak navštevujú kurzy odborného výcviku.</w:t>
      </w:r>
    </w:p>
    <w:p w:rsidR="00FF691E" w:rsidRPr="0042276E" w:rsidRDefault="00FF691E" w:rsidP="004A52F1">
      <w:pPr>
        <w:jc w:val="both"/>
        <w:rPr>
          <w:rFonts w:ascii="Arial Narrow" w:hAnsi="Arial Narrow"/>
          <w:sz w:val="22"/>
          <w:szCs w:val="22"/>
        </w:rPr>
      </w:pPr>
    </w:p>
    <w:p w:rsidR="00FF691E" w:rsidRPr="0042276E" w:rsidRDefault="00FF691E" w:rsidP="00EC1018">
      <w:pPr>
        <w:jc w:val="both"/>
        <w:rPr>
          <w:rFonts w:ascii="Arial Narrow" w:hAnsi="Arial Narrow"/>
          <w:sz w:val="22"/>
          <w:szCs w:val="22"/>
        </w:rPr>
      </w:pPr>
      <w:r w:rsidRPr="0042276E">
        <w:rPr>
          <w:rFonts w:ascii="Arial Narrow" w:hAnsi="Arial Narrow"/>
          <w:b/>
          <w:sz w:val="22"/>
          <w:szCs w:val="22"/>
        </w:rPr>
        <w:t>Iné peňažné dávky:</w:t>
      </w:r>
      <w:r w:rsidRPr="0042276E">
        <w:rPr>
          <w:rFonts w:ascii="Arial Narrow" w:hAnsi="Arial Narrow"/>
          <w:sz w:val="22"/>
          <w:szCs w:val="22"/>
        </w:rPr>
        <w:t xml:space="preserve"> pravidelné alebo jednorazové platby, ktoré nespadajú pod vyššie uvedené definície, akou je príležitostná podpora príjmu a podobne.</w:t>
      </w:r>
    </w:p>
    <w:p w:rsidR="00FF691E" w:rsidRPr="0042276E" w:rsidRDefault="00FF691E" w:rsidP="00FF691E">
      <w:pPr>
        <w:rPr>
          <w:rFonts w:ascii="Arial Narrow" w:hAnsi="Arial Narrow"/>
          <w:sz w:val="22"/>
          <w:szCs w:val="22"/>
        </w:rPr>
      </w:pPr>
    </w:p>
    <w:p w:rsidR="00FF691E" w:rsidRPr="0042276E" w:rsidRDefault="00FF691E" w:rsidP="00EC1018">
      <w:pPr>
        <w:jc w:val="both"/>
        <w:rPr>
          <w:rFonts w:ascii="Arial Narrow" w:hAnsi="Arial Narrow"/>
          <w:sz w:val="22"/>
          <w:szCs w:val="22"/>
        </w:rPr>
      </w:pPr>
      <w:r w:rsidRPr="0042276E">
        <w:rPr>
          <w:rFonts w:ascii="Arial Narrow" w:hAnsi="Arial Narrow"/>
          <w:b/>
          <w:sz w:val="22"/>
          <w:szCs w:val="22"/>
        </w:rPr>
        <w:t>Bývanie:</w:t>
      </w:r>
      <w:r w:rsidRPr="0042276E">
        <w:rPr>
          <w:rFonts w:ascii="Arial Narrow" w:hAnsi="Arial Narrow"/>
          <w:sz w:val="22"/>
          <w:szCs w:val="22"/>
        </w:rPr>
        <w:t xml:space="preserve"> poskytnutie bývania prípadne stravovania invalidným osobám v príslušných zariadeniach.</w:t>
      </w:r>
    </w:p>
    <w:p w:rsidR="00FF691E" w:rsidRPr="0042276E" w:rsidRDefault="00FF691E" w:rsidP="00FF691E">
      <w:pPr>
        <w:pStyle w:val="Odsekzoznamu"/>
        <w:ind w:left="1068"/>
        <w:jc w:val="both"/>
        <w:rPr>
          <w:rFonts w:ascii="Arial Narrow" w:hAnsi="Arial Narrow"/>
          <w:sz w:val="22"/>
          <w:szCs w:val="22"/>
        </w:rPr>
      </w:pPr>
    </w:p>
    <w:p w:rsidR="00FF691E" w:rsidRPr="0042276E" w:rsidRDefault="00FF691E" w:rsidP="00EC1018">
      <w:pPr>
        <w:jc w:val="both"/>
        <w:rPr>
          <w:rFonts w:ascii="Arial Narrow" w:hAnsi="Arial Narrow"/>
          <w:sz w:val="22"/>
          <w:szCs w:val="22"/>
        </w:rPr>
      </w:pPr>
      <w:r w:rsidRPr="0042276E">
        <w:rPr>
          <w:rFonts w:ascii="Arial Narrow" w:hAnsi="Arial Narrow"/>
          <w:b/>
          <w:sz w:val="22"/>
          <w:szCs w:val="22"/>
        </w:rPr>
        <w:t>Pomoc pri vykonávaní každodenných činností</w:t>
      </w:r>
      <w:r w:rsidRPr="0042276E">
        <w:rPr>
          <w:rFonts w:ascii="Arial Narrow" w:hAnsi="Arial Narrow"/>
          <w:sz w:val="22"/>
          <w:szCs w:val="22"/>
        </w:rPr>
        <w:t>: praktická pomoc poskytovaná invalidným osobám na podporu ich každodenných činností. Do tejto kategórie je zahrnutá domáca pomoc rovnako ako platenie dávky osobe, ktorá sa o invalidného človek</w:t>
      </w:r>
      <w:r w:rsidR="004A52F1" w:rsidRPr="0042276E">
        <w:rPr>
          <w:rFonts w:ascii="Arial Narrow" w:hAnsi="Arial Narrow"/>
          <w:sz w:val="22"/>
          <w:szCs w:val="22"/>
        </w:rPr>
        <w:t>a</w:t>
      </w:r>
      <w:r w:rsidR="002A5885" w:rsidRPr="0042276E">
        <w:rPr>
          <w:sz w:val="22"/>
          <w:szCs w:val="22"/>
        </w:rPr>
        <w:t xml:space="preserve"> </w:t>
      </w:r>
      <w:r w:rsidRPr="0042276E">
        <w:rPr>
          <w:rFonts w:ascii="Arial Narrow" w:hAnsi="Arial Narrow"/>
          <w:sz w:val="22"/>
          <w:szCs w:val="22"/>
        </w:rPr>
        <w:t>stará.</w:t>
      </w:r>
    </w:p>
    <w:p w:rsidR="00FF691E" w:rsidRPr="0042276E" w:rsidRDefault="00FF691E" w:rsidP="00FF691E">
      <w:pPr>
        <w:pStyle w:val="Odsekzoznamu"/>
        <w:rPr>
          <w:rFonts w:ascii="Arial Narrow" w:hAnsi="Arial Narrow"/>
          <w:sz w:val="22"/>
          <w:szCs w:val="22"/>
        </w:rPr>
      </w:pPr>
    </w:p>
    <w:p w:rsidR="00FF691E" w:rsidRPr="0042276E" w:rsidRDefault="00FF691E" w:rsidP="00EC1018">
      <w:pPr>
        <w:jc w:val="both"/>
        <w:rPr>
          <w:rFonts w:ascii="Arial Narrow" w:hAnsi="Arial Narrow"/>
          <w:sz w:val="22"/>
          <w:szCs w:val="22"/>
        </w:rPr>
      </w:pPr>
      <w:r w:rsidRPr="0042276E">
        <w:rPr>
          <w:rFonts w:ascii="Arial Narrow" w:hAnsi="Arial Narrow"/>
          <w:b/>
          <w:sz w:val="22"/>
          <w:szCs w:val="22"/>
        </w:rPr>
        <w:lastRenderedPageBreak/>
        <w:t>Rehabilitácia:</w:t>
      </w:r>
      <w:r w:rsidRPr="0042276E">
        <w:rPr>
          <w:rFonts w:ascii="Arial Narrow" w:hAnsi="Arial Narrow"/>
          <w:sz w:val="22"/>
          <w:szCs w:val="22"/>
        </w:rPr>
        <w:t xml:space="preserve"> úhrada špecifických tovarov a služieb (iná než lekárska starostlivosť) a odborný výcvik pre ďalšiu zamestnávateľskú a sociálnu rehabilitáciu invalidných osôb. Tieto služby sa môžu poskytovať v špecializovaných inštitúciách. Tovary a služby môže poskytovať zamestnávateľ, ale keď majú slúžiť hlavne výrobnému procesu v podniku, nemali by sem byť zahrnuté. Lekárska rehabilitácia </w:t>
      </w:r>
      <w:r w:rsidR="005D73AA" w:rsidRPr="0042276E">
        <w:rPr>
          <w:rFonts w:ascii="Arial Narrow" w:hAnsi="Arial Narrow"/>
          <w:sz w:val="22"/>
          <w:szCs w:val="22"/>
        </w:rPr>
        <w:t>-</w:t>
      </w:r>
      <w:r w:rsidRPr="0042276E">
        <w:rPr>
          <w:rFonts w:ascii="Arial Narrow" w:hAnsi="Arial Narrow"/>
          <w:sz w:val="22"/>
          <w:szCs w:val="22"/>
        </w:rPr>
        <w:t xml:space="preserve"> napríklad </w:t>
      </w:r>
      <w:proofErr w:type="spellStart"/>
      <w:r w:rsidRPr="0042276E">
        <w:rPr>
          <w:rFonts w:ascii="Arial Narrow" w:hAnsi="Arial Narrow"/>
          <w:sz w:val="22"/>
          <w:szCs w:val="22"/>
        </w:rPr>
        <w:t>fyzioterapia</w:t>
      </w:r>
      <w:proofErr w:type="spellEnd"/>
      <w:r w:rsidRPr="0042276E">
        <w:rPr>
          <w:rFonts w:ascii="Arial Narrow" w:hAnsi="Arial Narrow"/>
          <w:sz w:val="22"/>
          <w:szCs w:val="22"/>
        </w:rPr>
        <w:t xml:space="preserve"> </w:t>
      </w:r>
      <w:r w:rsidR="005D73AA" w:rsidRPr="0042276E">
        <w:rPr>
          <w:rFonts w:ascii="Arial Narrow" w:hAnsi="Arial Narrow"/>
          <w:sz w:val="22"/>
          <w:szCs w:val="22"/>
        </w:rPr>
        <w:t>-</w:t>
      </w:r>
      <w:r w:rsidRPr="0042276E">
        <w:rPr>
          <w:rFonts w:ascii="Arial Narrow" w:hAnsi="Arial Narrow"/>
          <w:sz w:val="22"/>
          <w:szCs w:val="22"/>
        </w:rPr>
        <w:t xml:space="preserve"> je zahrnutá do účelu choroba/zdravotná starostlivosť. </w:t>
      </w:r>
    </w:p>
    <w:p w:rsidR="00EC1018" w:rsidRPr="0042276E" w:rsidRDefault="00EC1018" w:rsidP="00EC1018">
      <w:pPr>
        <w:jc w:val="both"/>
        <w:rPr>
          <w:rFonts w:ascii="Arial Narrow" w:hAnsi="Arial Narrow"/>
          <w:sz w:val="22"/>
          <w:szCs w:val="22"/>
        </w:rPr>
      </w:pPr>
    </w:p>
    <w:p w:rsidR="00FF691E" w:rsidRPr="0042276E" w:rsidRDefault="00FF691E" w:rsidP="00EC1018">
      <w:pPr>
        <w:jc w:val="both"/>
        <w:rPr>
          <w:rFonts w:ascii="Arial Narrow" w:hAnsi="Arial Narrow"/>
          <w:sz w:val="22"/>
          <w:szCs w:val="22"/>
        </w:rPr>
      </w:pPr>
      <w:r w:rsidRPr="0042276E">
        <w:rPr>
          <w:rFonts w:ascii="Arial Narrow" w:hAnsi="Arial Narrow"/>
          <w:b/>
          <w:sz w:val="22"/>
          <w:szCs w:val="22"/>
        </w:rPr>
        <w:t xml:space="preserve">Iné vecné dávky: </w:t>
      </w:r>
      <w:r w:rsidRPr="0042276E">
        <w:rPr>
          <w:rFonts w:ascii="Arial Narrow" w:hAnsi="Arial Narrow"/>
          <w:sz w:val="22"/>
          <w:szCs w:val="22"/>
        </w:rPr>
        <w:t>rôzne služby a  tovary poskytované invalidným osobám, aby im umožnili účasť na rekreačných a</w:t>
      </w:r>
      <w:r w:rsidR="006747FA" w:rsidRPr="0042276E">
        <w:rPr>
          <w:rFonts w:ascii="Arial Narrow" w:hAnsi="Arial Narrow"/>
          <w:sz w:val="22"/>
          <w:szCs w:val="22"/>
        </w:rPr>
        <w:t> </w:t>
      </w:r>
      <w:r w:rsidRPr="0042276E">
        <w:rPr>
          <w:rFonts w:ascii="Arial Narrow" w:hAnsi="Arial Narrow"/>
          <w:sz w:val="22"/>
          <w:szCs w:val="22"/>
        </w:rPr>
        <w:t xml:space="preserve"> kultúrnych aktivitách alebo cestovať a/alebo zúčastniť sa spoločenského života, vrátane znížených cien, taríf, cestovného a podobne, ktoré sa poskytujú invalidným osobám vyslovene z dôvodov sociálnej ochrany. </w:t>
      </w:r>
    </w:p>
    <w:p w:rsidR="00524C98" w:rsidRPr="0042276E" w:rsidRDefault="00524C98" w:rsidP="00B751DE">
      <w:pPr>
        <w:jc w:val="both"/>
        <w:rPr>
          <w:rFonts w:ascii="Arial Narrow" w:hAnsi="Arial Narrow"/>
          <w:sz w:val="22"/>
          <w:szCs w:val="22"/>
        </w:rPr>
      </w:pPr>
    </w:p>
    <w:p w:rsidR="00CE6F2A" w:rsidRDefault="00524C98" w:rsidP="00BC25A4">
      <w:pPr>
        <w:ind w:firstLine="708"/>
        <w:jc w:val="both"/>
        <w:rPr>
          <w:rFonts w:ascii="Arial Narrow" w:hAnsi="Arial Narrow"/>
          <w:b/>
          <w:sz w:val="20"/>
          <w:szCs w:val="20"/>
        </w:rPr>
      </w:pPr>
      <w:r w:rsidRPr="0042276E">
        <w:rPr>
          <w:rFonts w:ascii="Arial Narrow" w:hAnsi="Arial Narrow"/>
          <w:sz w:val="22"/>
          <w:szCs w:val="22"/>
        </w:rPr>
        <w:t>Výdavky  na  účel  zd</w:t>
      </w:r>
      <w:r w:rsidR="004B7D25" w:rsidRPr="0042276E">
        <w:rPr>
          <w:rFonts w:ascii="Arial Narrow" w:hAnsi="Arial Narrow"/>
          <w:sz w:val="22"/>
          <w:szCs w:val="22"/>
        </w:rPr>
        <w:t>ravotné  postihnutie v roku 2019</w:t>
      </w:r>
      <w:r w:rsidRPr="0042276E">
        <w:rPr>
          <w:rFonts w:ascii="Arial Narrow" w:hAnsi="Arial Narrow"/>
          <w:sz w:val="22"/>
          <w:szCs w:val="22"/>
        </w:rPr>
        <w:t xml:space="preserve"> dosiahli 1 3</w:t>
      </w:r>
      <w:r w:rsidR="004B7D25" w:rsidRPr="0042276E">
        <w:rPr>
          <w:rFonts w:ascii="Arial Narrow" w:hAnsi="Arial Narrow"/>
          <w:sz w:val="22"/>
          <w:szCs w:val="22"/>
        </w:rPr>
        <w:t>70</w:t>
      </w:r>
      <w:r w:rsidRPr="0042276E">
        <w:rPr>
          <w:rFonts w:ascii="Arial Narrow" w:hAnsi="Arial Narrow"/>
          <w:sz w:val="22"/>
          <w:szCs w:val="22"/>
        </w:rPr>
        <w:t>,</w:t>
      </w:r>
      <w:r w:rsidR="004B7D25" w:rsidRPr="0042276E">
        <w:rPr>
          <w:rFonts w:ascii="Arial Narrow" w:hAnsi="Arial Narrow"/>
          <w:sz w:val="22"/>
          <w:szCs w:val="22"/>
        </w:rPr>
        <w:t>5</w:t>
      </w:r>
      <w:r w:rsidRPr="0042276E">
        <w:rPr>
          <w:rFonts w:ascii="Arial Narrow" w:hAnsi="Arial Narrow"/>
          <w:sz w:val="22"/>
          <w:szCs w:val="22"/>
        </w:rPr>
        <w:t xml:space="preserve"> mil. eur a  medziročne  sa zvýšili o </w:t>
      </w:r>
      <w:r w:rsidR="004B7D25" w:rsidRPr="0042276E">
        <w:rPr>
          <w:rFonts w:ascii="Arial Narrow" w:hAnsi="Arial Narrow"/>
          <w:sz w:val="22"/>
          <w:szCs w:val="22"/>
        </w:rPr>
        <w:t>3</w:t>
      </w:r>
      <w:r w:rsidRPr="0042276E">
        <w:rPr>
          <w:rFonts w:ascii="Arial Narrow" w:hAnsi="Arial Narrow"/>
          <w:sz w:val="22"/>
          <w:szCs w:val="22"/>
        </w:rPr>
        <w:t>,</w:t>
      </w:r>
      <w:r w:rsidR="004B7D25" w:rsidRPr="0042276E">
        <w:rPr>
          <w:rFonts w:ascii="Arial Narrow" w:hAnsi="Arial Narrow"/>
          <w:sz w:val="22"/>
          <w:szCs w:val="22"/>
        </w:rPr>
        <w:t>0</w:t>
      </w:r>
      <w:r w:rsidRPr="0042276E">
        <w:rPr>
          <w:rFonts w:ascii="Arial Narrow" w:hAnsi="Arial Narrow"/>
          <w:sz w:val="22"/>
          <w:szCs w:val="22"/>
        </w:rPr>
        <w:t xml:space="preserve"> %. V účele zdravotné postihnutie prevládali peňažné dávky financované zo sociálneho poistenia a zo </w:t>
      </w:r>
      <w:r w:rsidR="004B7D25" w:rsidRPr="0042276E">
        <w:rPr>
          <w:rFonts w:ascii="Arial Narrow" w:hAnsi="Arial Narrow"/>
          <w:sz w:val="22"/>
          <w:szCs w:val="22"/>
        </w:rPr>
        <w:t>štátneho rozpočtu. V roku 2019</w:t>
      </w:r>
      <w:r w:rsidRPr="0042276E">
        <w:rPr>
          <w:rFonts w:ascii="Arial Narrow" w:hAnsi="Arial Narrow"/>
          <w:sz w:val="22"/>
          <w:szCs w:val="22"/>
        </w:rPr>
        <w:t xml:space="preserve"> bol podiel výdavkov na invalidný dôchodok 63,</w:t>
      </w:r>
      <w:r w:rsidR="004B7D25" w:rsidRPr="0042276E">
        <w:rPr>
          <w:rFonts w:ascii="Arial Narrow" w:hAnsi="Arial Narrow"/>
          <w:sz w:val="22"/>
          <w:szCs w:val="22"/>
        </w:rPr>
        <w:t>1</w:t>
      </w:r>
      <w:r w:rsidRPr="0042276E">
        <w:rPr>
          <w:rFonts w:ascii="Arial Narrow" w:hAnsi="Arial Narrow"/>
          <w:sz w:val="22"/>
          <w:szCs w:val="22"/>
        </w:rPr>
        <w:t xml:space="preserve"> %</w:t>
      </w:r>
      <w:r w:rsidR="004B7D25" w:rsidRPr="0042276E">
        <w:rPr>
          <w:rFonts w:ascii="Arial Narrow" w:hAnsi="Arial Narrow"/>
          <w:sz w:val="22"/>
          <w:szCs w:val="22"/>
        </w:rPr>
        <w:t xml:space="preserve"> a medziročne sa zvýšil o 2,4</w:t>
      </w:r>
      <w:r w:rsidR="007B7FAB">
        <w:rPr>
          <w:rFonts w:ascii="Arial Narrow" w:hAnsi="Arial Narrow"/>
          <w:sz w:val="22"/>
          <w:szCs w:val="22"/>
        </w:rPr>
        <w:t xml:space="preserve"> </w:t>
      </w:r>
      <w:r w:rsidR="004B7D25" w:rsidRPr="0042276E">
        <w:rPr>
          <w:rFonts w:ascii="Arial Narrow" w:hAnsi="Arial Narrow"/>
          <w:sz w:val="22"/>
          <w:szCs w:val="22"/>
        </w:rPr>
        <w:t>%</w:t>
      </w:r>
      <w:r w:rsidRPr="0042276E">
        <w:rPr>
          <w:rFonts w:ascii="Arial Narrow" w:hAnsi="Arial Narrow"/>
          <w:sz w:val="22"/>
          <w:szCs w:val="22"/>
        </w:rPr>
        <w:t xml:space="preserve">. </w:t>
      </w:r>
    </w:p>
    <w:p w:rsidR="00BC25A4" w:rsidRDefault="00BC25A4" w:rsidP="00B926FB">
      <w:pPr>
        <w:spacing w:line="360" w:lineRule="auto"/>
        <w:jc w:val="both"/>
        <w:rPr>
          <w:rFonts w:ascii="Arial Narrow" w:hAnsi="Arial Narrow"/>
          <w:b/>
          <w:sz w:val="20"/>
          <w:szCs w:val="20"/>
        </w:rPr>
      </w:pPr>
    </w:p>
    <w:p w:rsidR="00BC25A4" w:rsidRPr="00D6262B" w:rsidRDefault="006D61F7" w:rsidP="00B926FB">
      <w:pPr>
        <w:spacing w:line="360" w:lineRule="auto"/>
        <w:jc w:val="both"/>
        <w:rPr>
          <w:rFonts w:ascii="Arial Narrow" w:hAnsi="Arial Narrow"/>
          <w:b/>
          <w:sz w:val="20"/>
          <w:szCs w:val="20"/>
        </w:rPr>
      </w:pPr>
      <w:r>
        <w:rPr>
          <w:rFonts w:ascii="Arial Narrow" w:hAnsi="Arial Narrow"/>
          <w:b/>
          <w:sz w:val="20"/>
          <w:szCs w:val="20"/>
        </w:rPr>
        <w:t>Tab. 1.</w:t>
      </w:r>
      <w:r w:rsidR="00331080">
        <w:rPr>
          <w:rFonts w:ascii="Arial Narrow" w:hAnsi="Arial Narrow"/>
          <w:b/>
          <w:sz w:val="20"/>
          <w:szCs w:val="20"/>
        </w:rPr>
        <w:t>6</w:t>
      </w:r>
      <w:r w:rsidR="006B1625">
        <w:rPr>
          <w:rFonts w:ascii="Arial Narrow" w:hAnsi="Arial Narrow"/>
          <w:b/>
          <w:sz w:val="20"/>
          <w:szCs w:val="20"/>
        </w:rPr>
        <w:t xml:space="preserve"> </w:t>
      </w:r>
      <w:r w:rsidR="00F937A0" w:rsidRPr="007B5246">
        <w:rPr>
          <w:rFonts w:ascii="Arial Narrow" w:hAnsi="Arial Narrow"/>
          <w:b/>
          <w:sz w:val="20"/>
          <w:szCs w:val="20"/>
        </w:rPr>
        <w:t xml:space="preserve"> Výdavky na sociálne dávky na účel zdravotné postihnutie v</w:t>
      </w:r>
      <w:r w:rsidR="00D3445D">
        <w:rPr>
          <w:rFonts w:ascii="Arial Narrow" w:hAnsi="Arial Narrow"/>
          <w:b/>
          <w:sz w:val="20"/>
          <w:szCs w:val="20"/>
        </w:rPr>
        <w:t> </w:t>
      </w:r>
      <w:r w:rsidR="00F937A0" w:rsidRPr="007B5246">
        <w:rPr>
          <w:rFonts w:ascii="Arial Narrow" w:hAnsi="Arial Narrow"/>
          <w:b/>
          <w:sz w:val="20"/>
          <w:szCs w:val="20"/>
        </w:rPr>
        <w:t>SR</w:t>
      </w:r>
      <w:r w:rsidR="00D3445D">
        <w:rPr>
          <w:rFonts w:ascii="Arial Narrow" w:hAnsi="Arial Narrow"/>
          <w:b/>
          <w:sz w:val="20"/>
          <w:szCs w:val="20"/>
        </w:rPr>
        <w:t xml:space="preserve">, </w:t>
      </w:r>
      <w:r w:rsidR="0062396C">
        <w:rPr>
          <w:rFonts w:ascii="Arial Narrow" w:hAnsi="Arial Narrow"/>
          <w:b/>
          <w:sz w:val="20"/>
          <w:szCs w:val="20"/>
        </w:rPr>
        <w:t>2019</w:t>
      </w:r>
    </w:p>
    <w:tbl>
      <w:tblPr>
        <w:tblW w:w="9072" w:type="dxa"/>
        <w:tblLayout w:type="fixed"/>
        <w:tblCellMar>
          <w:left w:w="70" w:type="dxa"/>
          <w:right w:w="70" w:type="dxa"/>
        </w:tblCellMar>
        <w:tblLook w:val="04A0" w:firstRow="1" w:lastRow="0" w:firstColumn="1" w:lastColumn="0" w:noHBand="0" w:noVBand="1"/>
      </w:tblPr>
      <w:tblGrid>
        <w:gridCol w:w="183"/>
        <w:gridCol w:w="182"/>
        <w:gridCol w:w="160"/>
        <w:gridCol w:w="160"/>
        <w:gridCol w:w="4116"/>
        <w:gridCol w:w="728"/>
        <w:gridCol w:w="708"/>
        <w:gridCol w:w="709"/>
        <w:gridCol w:w="709"/>
        <w:gridCol w:w="567"/>
        <w:gridCol w:w="850"/>
      </w:tblGrid>
      <w:tr w:rsidR="00CE6F2A" w:rsidTr="00CE6F2A">
        <w:trPr>
          <w:trHeight w:val="555"/>
        </w:trPr>
        <w:tc>
          <w:tcPr>
            <w:tcW w:w="4801" w:type="dxa"/>
            <w:gridSpan w:val="5"/>
            <w:tcBorders>
              <w:top w:val="nil"/>
              <w:left w:val="nil"/>
              <w:bottom w:val="single" w:sz="4" w:space="0" w:color="FF0000"/>
              <w:right w:val="nil"/>
            </w:tcBorders>
            <w:shd w:val="clear" w:color="000000" w:fill="A9D08E"/>
            <w:vAlign w:val="center"/>
            <w:hideMark/>
          </w:tcPr>
          <w:p w:rsidR="00CE6F2A" w:rsidRDefault="00CE6F2A">
            <w:pPr>
              <w:rPr>
                <w:rFonts w:ascii="Arial Narrow" w:hAnsi="Arial Narrow"/>
                <w:sz w:val="16"/>
                <w:szCs w:val="16"/>
                <w:lang w:eastAsia="sk-SK"/>
              </w:rPr>
            </w:pPr>
            <w:r>
              <w:rPr>
                <w:rFonts w:ascii="Arial Narrow" w:hAnsi="Arial Narrow"/>
                <w:sz w:val="16"/>
                <w:szCs w:val="16"/>
              </w:rPr>
              <w:t>Ukazovateľ</w:t>
            </w:r>
          </w:p>
        </w:tc>
        <w:tc>
          <w:tcPr>
            <w:tcW w:w="728" w:type="dxa"/>
            <w:tcBorders>
              <w:top w:val="nil"/>
              <w:left w:val="single" w:sz="4" w:space="0" w:color="FF0000"/>
              <w:bottom w:val="single" w:sz="4" w:space="0" w:color="FF0000"/>
              <w:right w:val="single" w:sz="4" w:space="0" w:color="FF0000"/>
            </w:tcBorders>
            <w:shd w:val="clear" w:color="000000" w:fill="A9D08E"/>
            <w:noWrap/>
            <w:vAlign w:val="center"/>
            <w:hideMark/>
          </w:tcPr>
          <w:p w:rsidR="00CE6F2A" w:rsidRDefault="00CE6F2A">
            <w:pPr>
              <w:jc w:val="center"/>
              <w:rPr>
                <w:rFonts w:ascii="Arial Narrow" w:hAnsi="Arial Narrow"/>
                <w:color w:val="000000"/>
                <w:sz w:val="16"/>
                <w:szCs w:val="16"/>
              </w:rPr>
            </w:pPr>
            <w:r>
              <w:rPr>
                <w:rFonts w:ascii="Arial Narrow" w:hAnsi="Arial Narrow"/>
                <w:color w:val="000000"/>
                <w:sz w:val="16"/>
                <w:szCs w:val="16"/>
              </w:rPr>
              <w:t>mil. EUR</w:t>
            </w:r>
          </w:p>
        </w:tc>
        <w:tc>
          <w:tcPr>
            <w:tcW w:w="708" w:type="dxa"/>
            <w:tcBorders>
              <w:top w:val="nil"/>
              <w:left w:val="nil"/>
              <w:bottom w:val="single" w:sz="4" w:space="0" w:color="FF0000"/>
              <w:right w:val="single" w:sz="4" w:space="0" w:color="FF0000"/>
            </w:tcBorders>
            <w:shd w:val="clear" w:color="000000" w:fill="A9D08E"/>
            <w:noWrap/>
            <w:vAlign w:val="center"/>
            <w:hideMark/>
          </w:tcPr>
          <w:p w:rsidR="00CE6F2A" w:rsidRDefault="004F1C67">
            <w:pPr>
              <w:jc w:val="center"/>
              <w:rPr>
                <w:rFonts w:ascii="Arial Narrow" w:hAnsi="Arial Narrow"/>
                <w:color w:val="000000"/>
                <w:sz w:val="16"/>
                <w:szCs w:val="16"/>
              </w:rPr>
            </w:pPr>
            <w:r w:rsidRPr="004F1C67">
              <w:rPr>
                <w:rFonts w:ascii="Arial Narrow" w:hAnsi="Arial Narrow"/>
                <w:color w:val="000000"/>
                <w:sz w:val="16"/>
                <w:szCs w:val="16"/>
              </w:rPr>
              <w:t>% z dávok spolu</w:t>
            </w:r>
          </w:p>
        </w:tc>
        <w:tc>
          <w:tcPr>
            <w:tcW w:w="709" w:type="dxa"/>
            <w:tcBorders>
              <w:top w:val="nil"/>
              <w:left w:val="nil"/>
              <w:bottom w:val="single" w:sz="4" w:space="0" w:color="FF0000"/>
              <w:right w:val="single" w:sz="4" w:space="0" w:color="FF0000"/>
            </w:tcBorders>
            <w:shd w:val="clear" w:color="000000" w:fill="A9D08E"/>
            <w:vAlign w:val="center"/>
            <w:hideMark/>
          </w:tcPr>
          <w:p w:rsidR="004F1C67" w:rsidRPr="004F1C67" w:rsidRDefault="004F1C67" w:rsidP="004F1C67">
            <w:pPr>
              <w:jc w:val="center"/>
              <w:rPr>
                <w:rFonts w:ascii="Arial Narrow" w:hAnsi="Arial Narrow"/>
                <w:color w:val="000000"/>
                <w:sz w:val="16"/>
                <w:szCs w:val="16"/>
              </w:rPr>
            </w:pPr>
            <w:r w:rsidRPr="004F1C67">
              <w:rPr>
                <w:rFonts w:ascii="Arial Narrow" w:hAnsi="Arial Narrow"/>
                <w:color w:val="000000"/>
                <w:sz w:val="16"/>
                <w:szCs w:val="16"/>
              </w:rPr>
              <w:t>mil. EUR na obyv.</w:t>
            </w:r>
          </w:p>
          <w:p w:rsidR="00CE6F2A" w:rsidRDefault="004F1C67" w:rsidP="004F1C67">
            <w:pPr>
              <w:jc w:val="center"/>
              <w:rPr>
                <w:rFonts w:ascii="Arial Narrow" w:hAnsi="Arial Narrow"/>
                <w:color w:val="000000"/>
                <w:sz w:val="16"/>
                <w:szCs w:val="16"/>
              </w:rPr>
            </w:pPr>
            <w:proofErr w:type="spellStart"/>
            <w:r w:rsidRPr="004F1C67">
              <w:rPr>
                <w:rFonts w:ascii="Arial Narrow" w:hAnsi="Arial Narrow"/>
                <w:color w:val="000000"/>
                <w:sz w:val="16"/>
                <w:szCs w:val="16"/>
              </w:rPr>
              <w:t>s.c</w:t>
            </w:r>
            <w:proofErr w:type="spellEnd"/>
            <w:r w:rsidRPr="004F1C67">
              <w:rPr>
                <w:rFonts w:ascii="Arial Narrow" w:hAnsi="Arial Narrow"/>
                <w:color w:val="000000"/>
                <w:sz w:val="16"/>
                <w:szCs w:val="16"/>
              </w:rPr>
              <w:t>. 2010</w:t>
            </w:r>
          </w:p>
        </w:tc>
        <w:tc>
          <w:tcPr>
            <w:tcW w:w="709" w:type="dxa"/>
            <w:tcBorders>
              <w:top w:val="nil"/>
              <w:left w:val="nil"/>
              <w:bottom w:val="single" w:sz="4" w:space="0" w:color="FF0000"/>
              <w:right w:val="single" w:sz="4" w:space="0" w:color="FF0000"/>
            </w:tcBorders>
            <w:shd w:val="clear" w:color="000000" w:fill="A9D08E"/>
            <w:vAlign w:val="center"/>
            <w:hideMark/>
          </w:tcPr>
          <w:p w:rsidR="00CE6F2A" w:rsidRDefault="00CE6F2A">
            <w:pPr>
              <w:jc w:val="center"/>
              <w:rPr>
                <w:rFonts w:ascii="Arial Narrow" w:hAnsi="Arial Narrow"/>
                <w:color w:val="000000"/>
                <w:sz w:val="16"/>
                <w:szCs w:val="16"/>
              </w:rPr>
            </w:pPr>
            <w:r>
              <w:rPr>
                <w:rFonts w:ascii="Arial Narrow" w:hAnsi="Arial Narrow"/>
                <w:color w:val="000000"/>
                <w:sz w:val="16"/>
                <w:szCs w:val="16"/>
              </w:rPr>
              <w:t>PPS na obyv.</w:t>
            </w:r>
          </w:p>
        </w:tc>
        <w:tc>
          <w:tcPr>
            <w:tcW w:w="567" w:type="dxa"/>
            <w:tcBorders>
              <w:top w:val="nil"/>
              <w:left w:val="nil"/>
              <w:bottom w:val="single" w:sz="4" w:space="0" w:color="FF0000"/>
              <w:right w:val="single" w:sz="4" w:space="0" w:color="FF0000"/>
            </w:tcBorders>
            <w:shd w:val="clear" w:color="000000" w:fill="A9D08E"/>
            <w:vAlign w:val="center"/>
            <w:hideMark/>
          </w:tcPr>
          <w:p w:rsidR="00CE6F2A" w:rsidRDefault="00CE6F2A">
            <w:pPr>
              <w:jc w:val="center"/>
              <w:rPr>
                <w:rFonts w:ascii="Arial Narrow" w:hAnsi="Arial Narrow"/>
                <w:color w:val="000000"/>
                <w:sz w:val="16"/>
                <w:szCs w:val="16"/>
              </w:rPr>
            </w:pPr>
            <w:r>
              <w:rPr>
                <w:rFonts w:ascii="Arial Narrow" w:hAnsi="Arial Narrow"/>
                <w:color w:val="000000"/>
                <w:sz w:val="16"/>
                <w:szCs w:val="16"/>
              </w:rPr>
              <w:t>% HDP</w:t>
            </w:r>
          </w:p>
        </w:tc>
        <w:tc>
          <w:tcPr>
            <w:tcW w:w="850" w:type="dxa"/>
            <w:tcBorders>
              <w:top w:val="nil"/>
              <w:left w:val="nil"/>
              <w:bottom w:val="single" w:sz="4" w:space="0" w:color="FF0000"/>
              <w:right w:val="nil"/>
            </w:tcBorders>
            <w:shd w:val="clear" w:color="000000" w:fill="A9D08E"/>
            <w:vAlign w:val="center"/>
            <w:hideMark/>
          </w:tcPr>
          <w:p w:rsidR="00CE6F2A" w:rsidRDefault="0062396C" w:rsidP="0062396C">
            <w:pPr>
              <w:jc w:val="center"/>
              <w:rPr>
                <w:rFonts w:ascii="Arial Narrow" w:hAnsi="Arial Narrow"/>
                <w:sz w:val="16"/>
                <w:szCs w:val="16"/>
              </w:rPr>
            </w:pPr>
            <w:r>
              <w:rPr>
                <w:rFonts w:ascii="Arial Narrow" w:hAnsi="Arial Narrow"/>
                <w:sz w:val="16"/>
                <w:szCs w:val="16"/>
              </w:rPr>
              <w:t>Index 2019</w:t>
            </w:r>
            <w:r w:rsidR="00CE6F2A">
              <w:rPr>
                <w:rFonts w:ascii="Arial Narrow" w:hAnsi="Arial Narrow"/>
                <w:sz w:val="16"/>
                <w:szCs w:val="16"/>
              </w:rPr>
              <w:t>/201</w:t>
            </w:r>
            <w:r>
              <w:rPr>
                <w:rFonts w:ascii="Arial Narrow" w:hAnsi="Arial Narrow"/>
                <w:sz w:val="16"/>
                <w:szCs w:val="16"/>
              </w:rPr>
              <w:t>8</w:t>
            </w:r>
          </w:p>
        </w:tc>
      </w:tr>
      <w:tr w:rsidR="00AC49CE" w:rsidTr="004F1C67">
        <w:trPr>
          <w:trHeight w:val="255"/>
        </w:trPr>
        <w:tc>
          <w:tcPr>
            <w:tcW w:w="4801" w:type="dxa"/>
            <w:gridSpan w:val="5"/>
            <w:tcBorders>
              <w:top w:val="nil"/>
              <w:left w:val="nil"/>
              <w:bottom w:val="nil"/>
              <w:right w:val="single" w:sz="4" w:space="0" w:color="FF0000"/>
            </w:tcBorders>
            <w:shd w:val="clear" w:color="auto" w:fill="A8D08D" w:themeFill="accent6" w:themeFillTint="99"/>
            <w:noWrap/>
            <w:vAlign w:val="center"/>
            <w:hideMark/>
          </w:tcPr>
          <w:p w:rsidR="00AC49CE" w:rsidRDefault="00AC49CE" w:rsidP="00AC49CE">
            <w:pPr>
              <w:rPr>
                <w:rFonts w:ascii="Arial Narrow" w:hAnsi="Arial Narrow"/>
                <w:b/>
                <w:bCs/>
                <w:sz w:val="18"/>
                <w:szCs w:val="18"/>
              </w:rPr>
            </w:pPr>
            <w:r>
              <w:rPr>
                <w:rFonts w:ascii="Arial Narrow" w:hAnsi="Arial Narrow"/>
                <w:b/>
                <w:bCs/>
                <w:sz w:val="18"/>
                <w:szCs w:val="18"/>
              </w:rPr>
              <w:t>Dávky sociálnej ochrany</w:t>
            </w:r>
          </w:p>
        </w:tc>
        <w:tc>
          <w:tcPr>
            <w:tcW w:w="728" w:type="dxa"/>
            <w:tcBorders>
              <w:top w:val="nil"/>
              <w:left w:val="nil"/>
              <w:bottom w:val="nil"/>
              <w:right w:val="single" w:sz="4" w:space="0" w:color="FF0000"/>
            </w:tcBorders>
            <w:shd w:val="clear" w:color="auto" w:fill="A8D08D" w:themeFill="accent6" w:themeFillTint="99"/>
            <w:noWrap/>
            <w:vAlign w:val="bottom"/>
            <w:hideMark/>
          </w:tcPr>
          <w:p w:rsidR="00AC49CE" w:rsidRDefault="00AC49CE" w:rsidP="00AC49CE">
            <w:pPr>
              <w:jc w:val="right"/>
              <w:rPr>
                <w:rFonts w:ascii="Arial Narrow" w:hAnsi="Arial Narrow" w:cs="Calibri"/>
                <w:b/>
                <w:bCs/>
                <w:sz w:val="18"/>
                <w:szCs w:val="18"/>
                <w:lang w:eastAsia="sk-SK"/>
              </w:rPr>
            </w:pPr>
            <w:r>
              <w:rPr>
                <w:rFonts w:ascii="Arial Narrow" w:hAnsi="Arial Narrow" w:cs="Calibri"/>
                <w:b/>
                <w:bCs/>
                <w:sz w:val="18"/>
                <w:szCs w:val="18"/>
              </w:rPr>
              <w:t>1 370,5</w:t>
            </w:r>
          </w:p>
        </w:tc>
        <w:tc>
          <w:tcPr>
            <w:tcW w:w="708" w:type="dxa"/>
            <w:tcBorders>
              <w:top w:val="nil"/>
              <w:left w:val="nil"/>
              <w:bottom w:val="nil"/>
              <w:right w:val="single" w:sz="4" w:space="0" w:color="FF0000"/>
            </w:tcBorders>
            <w:shd w:val="clear" w:color="auto" w:fill="A8D08D" w:themeFill="accent6" w:themeFillTint="99"/>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100,0</w:t>
            </w:r>
          </w:p>
        </w:tc>
        <w:tc>
          <w:tcPr>
            <w:tcW w:w="709" w:type="dxa"/>
            <w:tcBorders>
              <w:top w:val="nil"/>
              <w:left w:val="nil"/>
              <w:bottom w:val="nil"/>
              <w:right w:val="single" w:sz="4" w:space="0" w:color="FF0000"/>
            </w:tcBorders>
            <w:shd w:val="clear" w:color="auto" w:fill="A8D08D" w:themeFill="accent6" w:themeFillTint="99"/>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216,9</w:t>
            </w:r>
          </w:p>
        </w:tc>
        <w:tc>
          <w:tcPr>
            <w:tcW w:w="709" w:type="dxa"/>
            <w:tcBorders>
              <w:top w:val="nil"/>
              <w:left w:val="nil"/>
              <w:bottom w:val="nil"/>
              <w:right w:val="single" w:sz="4" w:space="0" w:color="FF0000"/>
            </w:tcBorders>
            <w:shd w:val="clear" w:color="auto" w:fill="A8D08D" w:themeFill="accent6" w:themeFillTint="99"/>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346,0</w:t>
            </w:r>
          </w:p>
        </w:tc>
        <w:tc>
          <w:tcPr>
            <w:tcW w:w="567" w:type="dxa"/>
            <w:tcBorders>
              <w:top w:val="nil"/>
              <w:left w:val="nil"/>
              <w:bottom w:val="nil"/>
              <w:right w:val="single" w:sz="4" w:space="0" w:color="FF0000"/>
            </w:tcBorders>
            <w:shd w:val="clear" w:color="auto" w:fill="A8D08D" w:themeFill="accent6" w:themeFillTint="99"/>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1,5</w:t>
            </w:r>
          </w:p>
        </w:tc>
        <w:tc>
          <w:tcPr>
            <w:tcW w:w="850" w:type="dxa"/>
            <w:tcBorders>
              <w:top w:val="nil"/>
              <w:left w:val="nil"/>
              <w:bottom w:val="nil"/>
              <w:right w:val="nil"/>
            </w:tcBorders>
            <w:shd w:val="clear" w:color="auto" w:fill="A8D08D" w:themeFill="accent6" w:themeFillTint="99"/>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103,0</w:t>
            </w:r>
          </w:p>
        </w:tc>
      </w:tr>
      <w:tr w:rsidR="00AC49CE" w:rsidTr="004F1C67">
        <w:trPr>
          <w:trHeight w:val="255"/>
        </w:trPr>
        <w:tc>
          <w:tcPr>
            <w:tcW w:w="183" w:type="dxa"/>
            <w:tcBorders>
              <w:top w:val="nil"/>
              <w:left w:val="nil"/>
              <w:bottom w:val="nil"/>
              <w:right w:val="nil"/>
            </w:tcBorders>
            <w:shd w:val="clear" w:color="auto" w:fill="C5E0B3" w:themeFill="accent6" w:themeFillTint="66"/>
            <w:noWrap/>
            <w:vAlign w:val="center"/>
            <w:hideMark/>
          </w:tcPr>
          <w:p w:rsidR="00AC49CE" w:rsidRDefault="00AC49CE" w:rsidP="00AC49CE">
            <w:pPr>
              <w:rPr>
                <w:rFonts w:ascii="Arial Narrow" w:hAnsi="Arial Narrow"/>
                <w:b/>
                <w:bCs/>
                <w:sz w:val="18"/>
                <w:szCs w:val="18"/>
              </w:rPr>
            </w:pPr>
            <w:r>
              <w:rPr>
                <w:rFonts w:ascii="Arial Narrow" w:hAnsi="Arial Narrow"/>
                <w:b/>
                <w:bCs/>
                <w:sz w:val="18"/>
                <w:szCs w:val="18"/>
              </w:rPr>
              <w:t> </w:t>
            </w:r>
          </w:p>
        </w:tc>
        <w:tc>
          <w:tcPr>
            <w:tcW w:w="4618" w:type="dxa"/>
            <w:gridSpan w:val="4"/>
            <w:tcBorders>
              <w:top w:val="nil"/>
              <w:left w:val="nil"/>
              <w:bottom w:val="nil"/>
              <w:right w:val="single" w:sz="4" w:space="0" w:color="FF0000"/>
            </w:tcBorders>
            <w:shd w:val="clear" w:color="auto" w:fill="C5E0B3" w:themeFill="accent6" w:themeFillTint="66"/>
            <w:noWrap/>
            <w:vAlign w:val="center"/>
            <w:hideMark/>
          </w:tcPr>
          <w:p w:rsidR="00AC49CE" w:rsidRDefault="00AC49CE" w:rsidP="00AC49CE">
            <w:pPr>
              <w:rPr>
                <w:rFonts w:ascii="Arial Narrow" w:hAnsi="Arial Narrow"/>
                <w:b/>
                <w:bCs/>
                <w:sz w:val="18"/>
                <w:szCs w:val="18"/>
              </w:rPr>
            </w:pPr>
            <w:r>
              <w:rPr>
                <w:rFonts w:ascii="Arial Narrow" w:hAnsi="Arial Narrow"/>
                <w:b/>
                <w:bCs/>
                <w:sz w:val="18"/>
                <w:szCs w:val="18"/>
              </w:rPr>
              <w:t>Netestované dávky na príjem</w:t>
            </w:r>
          </w:p>
        </w:tc>
        <w:tc>
          <w:tcPr>
            <w:tcW w:w="728" w:type="dxa"/>
            <w:tcBorders>
              <w:top w:val="nil"/>
              <w:left w:val="nil"/>
              <w:bottom w:val="nil"/>
              <w:right w:val="single" w:sz="4" w:space="0" w:color="FF0000"/>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lang w:eastAsia="sk-SK"/>
              </w:rPr>
            </w:pPr>
            <w:r>
              <w:rPr>
                <w:rFonts w:ascii="Arial Narrow" w:hAnsi="Arial Narrow" w:cs="Calibri"/>
                <w:b/>
                <w:bCs/>
                <w:sz w:val="18"/>
                <w:szCs w:val="18"/>
              </w:rPr>
              <w:t>1 210,6</w:t>
            </w:r>
          </w:p>
        </w:tc>
        <w:tc>
          <w:tcPr>
            <w:tcW w:w="708" w:type="dxa"/>
            <w:tcBorders>
              <w:top w:val="nil"/>
              <w:left w:val="nil"/>
              <w:bottom w:val="nil"/>
              <w:right w:val="single" w:sz="4" w:space="0" w:color="FF0000"/>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88,3</w:t>
            </w:r>
          </w:p>
        </w:tc>
        <w:tc>
          <w:tcPr>
            <w:tcW w:w="709" w:type="dxa"/>
            <w:tcBorders>
              <w:top w:val="nil"/>
              <w:left w:val="nil"/>
              <w:bottom w:val="nil"/>
              <w:right w:val="single" w:sz="4" w:space="0" w:color="FF0000"/>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191,6</w:t>
            </w:r>
          </w:p>
        </w:tc>
        <w:tc>
          <w:tcPr>
            <w:tcW w:w="709" w:type="dxa"/>
            <w:tcBorders>
              <w:top w:val="nil"/>
              <w:left w:val="nil"/>
              <w:bottom w:val="nil"/>
              <w:right w:val="single" w:sz="4" w:space="0" w:color="FF0000"/>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305,6</w:t>
            </w:r>
          </w:p>
        </w:tc>
        <w:tc>
          <w:tcPr>
            <w:tcW w:w="567" w:type="dxa"/>
            <w:tcBorders>
              <w:top w:val="nil"/>
              <w:left w:val="nil"/>
              <w:bottom w:val="nil"/>
              <w:right w:val="single" w:sz="4" w:space="0" w:color="FF0000"/>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1,3</w:t>
            </w:r>
          </w:p>
        </w:tc>
        <w:tc>
          <w:tcPr>
            <w:tcW w:w="850" w:type="dxa"/>
            <w:tcBorders>
              <w:top w:val="nil"/>
              <w:left w:val="nil"/>
              <w:bottom w:val="nil"/>
              <w:right w:val="nil"/>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103,1</w:t>
            </w:r>
          </w:p>
        </w:tc>
      </w:tr>
      <w:tr w:rsidR="00AC49CE" w:rsidTr="00CE6F2A">
        <w:trPr>
          <w:trHeight w:val="255"/>
        </w:trPr>
        <w:tc>
          <w:tcPr>
            <w:tcW w:w="183" w:type="dxa"/>
            <w:tcBorders>
              <w:top w:val="nil"/>
              <w:left w:val="nil"/>
              <w:bottom w:val="nil"/>
              <w:right w:val="nil"/>
            </w:tcBorders>
            <w:shd w:val="clear" w:color="000000" w:fill="E2EFDA"/>
            <w:noWrap/>
            <w:vAlign w:val="center"/>
            <w:hideMark/>
          </w:tcPr>
          <w:p w:rsidR="00AC49CE" w:rsidRDefault="00AC49CE" w:rsidP="00AC49CE">
            <w:pPr>
              <w:rPr>
                <w:rFonts w:ascii="Arial Narrow" w:hAnsi="Arial Narrow"/>
                <w:b/>
                <w:bCs/>
                <w:sz w:val="18"/>
                <w:szCs w:val="18"/>
              </w:rPr>
            </w:pPr>
            <w:r>
              <w:rPr>
                <w:rFonts w:ascii="Arial Narrow" w:hAnsi="Arial Narrow"/>
                <w:b/>
                <w:bCs/>
                <w:sz w:val="18"/>
                <w:szCs w:val="18"/>
              </w:rPr>
              <w:t> </w:t>
            </w:r>
          </w:p>
        </w:tc>
        <w:tc>
          <w:tcPr>
            <w:tcW w:w="182" w:type="dxa"/>
            <w:tcBorders>
              <w:top w:val="nil"/>
              <w:left w:val="nil"/>
              <w:bottom w:val="nil"/>
              <w:right w:val="nil"/>
            </w:tcBorders>
            <w:shd w:val="clear" w:color="000000" w:fill="E2EFDA"/>
            <w:noWrap/>
            <w:vAlign w:val="center"/>
            <w:hideMark/>
          </w:tcPr>
          <w:p w:rsidR="00AC49CE" w:rsidRDefault="00AC49CE" w:rsidP="00AC49CE">
            <w:pPr>
              <w:rPr>
                <w:rFonts w:ascii="Arial Narrow" w:hAnsi="Arial Narrow"/>
                <w:b/>
                <w:bCs/>
                <w:sz w:val="18"/>
                <w:szCs w:val="18"/>
              </w:rPr>
            </w:pPr>
            <w:r>
              <w:rPr>
                <w:rFonts w:ascii="Arial Narrow" w:hAnsi="Arial Narrow"/>
                <w:b/>
                <w:bCs/>
                <w:sz w:val="18"/>
                <w:szCs w:val="18"/>
              </w:rPr>
              <w:t> </w:t>
            </w:r>
          </w:p>
        </w:tc>
        <w:tc>
          <w:tcPr>
            <w:tcW w:w="4436" w:type="dxa"/>
            <w:gridSpan w:val="3"/>
            <w:tcBorders>
              <w:top w:val="nil"/>
              <w:left w:val="nil"/>
              <w:bottom w:val="nil"/>
              <w:right w:val="single" w:sz="4" w:space="0" w:color="FF0000"/>
            </w:tcBorders>
            <w:shd w:val="clear" w:color="000000" w:fill="E2EFDA"/>
            <w:noWrap/>
            <w:vAlign w:val="center"/>
            <w:hideMark/>
          </w:tcPr>
          <w:p w:rsidR="00AC49CE" w:rsidRDefault="00AC49CE" w:rsidP="00AC49CE">
            <w:pPr>
              <w:rPr>
                <w:rFonts w:ascii="Arial Narrow" w:hAnsi="Arial Narrow"/>
                <w:b/>
                <w:bCs/>
                <w:sz w:val="18"/>
                <w:szCs w:val="18"/>
              </w:rPr>
            </w:pPr>
            <w:r>
              <w:rPr>
                <w:rFonts w:ascii="Arial Narrow" w:hAnsi="Arial Narrow"/>
                <w:b/>
                <w:bCs/>
                <w:sz w:val="18"/>
                <w:szCs w:val="18"/>
              </w:rPr>
              <w:t>Peňažné dávky</w:t>
            </w:r>
          </w:p>
        </w:tc>
        <w:tc>
          <w:tcPr>
            <w:tcW w:w="728" w:type="dxa"/>
            <w:tcBorders>
              <w:top w:val="nil"/>
              <w:left w:val="nil"/>
              <w:bottom w:val="nil"/>
              <w:right w:val="single" w:sz="4" w:space="0" w:color="FF0000"/>
            </w:tcBorders>
            <w:shd w:val="clear" w:color="000000" w:fill="E2EFDA"/>
            <w:noWrap/>
            <w:vAlign w:val="bottom"/>
            <w:hideMark/>
          </w:tcPr>
          <w:p w:rsidR="00AC49CE" w:rsidRDefault="00AC49CE" w:rsidP="00AC49CE">
            <w:pPr>
              <w:jc w:val="right"/>
              <w:rPr>
                <w:rFonts w:ascii="Arial Narrow" w:hAnsi="Arial Narrow" w:cs="Calibri"/>
                <w:b/>
                <w:bCs/>
                <w:sz w:val="18"/>
                <w:szCs w:val="18"/>
                <w:lang w:eastAsia="sk-SK"/>
              </w:rPr>
            </w:pPr>
            <w:r>
              <w:rPr>
                <w:rFonts w:ascii="Arial Narrow" w:hAnsi="Arial Narrow" w:cs="Calibri"/>
                <w:b/>
                <w:bCs/>
                <w:sz w:val="18"/>
                <w:szCs w:val="18"/>
              </w:rPr>
              <w:t>929,6</w:t>
            </w:r>
          </w:p>
        </w:tc>
        <w:tc>
          <w:tcPr>
            <w:tcW w:w="708" w:type="dxa"/>
            <w:tcBorders>
              <w:top w:val="nil"/>
              <w:left w:val="nil"/>
              <w:bottom w:val="nil"/>
              <w:right w:val="single" w:sz="4" w:space="0" w:color="FF0000"/>
            </w:tcBorders>
            <w:shd w:val="clear" w:color="000000" w:fill="E2EFDA"/>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67,8</w:t>
            </w:r>
          </w:p>
        </w:tc>
        <w:tc>
          <w:tcPr>
            <w:tcW w:w="709" w:type="dxa"/>
            <w:tcBorders>
              <w:top w:val="nil"/>
              <w:left w:val="nil"/>
              <w:bottom w:val="nil"/>
              <w:right w:val="single" w:sz="4" w:space="0" w:color="FF0000"/>
            </w:tcBorders>
            <w:shd w:val="clear" w:color="000000" w:fill="E2EFDA"/>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147,1</w:t>
            </w:r>
          </w:p>
        </w:tc>
        <w:tc>
          <w:tcPr>
            <w:tcW w:w="709" w:type="dxa"/>
            <w:tcBorders>
              <w:top w:val="nil"/>
              <w:left w:val="nil"/>
              <w:bottom w:val="nil"/>
              <w:right w:val="single" w:sz="4" w:space="0" w:color="FF0000"/>
            </w:tcBorders>
            <w:shd w:val="clear" w:color="000000" w:fill="E2EFDA"/>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234,7</w:t>
            </w:r>
          </w:p>
        </w:tc>
        <w:tc>
          <w:tcPr>
            <w:tcW w:w="567" w:type="dxa"/>
            <w:tcBorders>
              <w:top w:val="nil"/>
              <w:left w:val="nil"/>
              <w:bottom w:val="nil"/>
              <w:right w:val="single" w:sz="4" w:space="0" w:color="FF0000"/>
            </w:tcBorders>
            <w:shd w:val="clear" w:color="000000" w:fill="E2EFDA"/>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1,0</w:t>
            </w:r>
          </w:p>
        </w:tc>
        <w:tc>
          <w:tcPr>
            <w:tcW w:w="850" w:type="dxa"/>
            <w:tcBorders>
              <w:top w:val="nil"/>
              <w:left w:val="nil"/>
              <w:bottom w:val="nil"/>
              <w:right w:val="nil"/>
            </w:tcBorders>
            <w:shd w:val="clear" w:color="000000" w:fill="E2EFDA"/>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102,7</w:t>
            </w:r>
          </w:p>
        </w:tc>
      </w:tr>
      <w:tr w:rsidR="00AC49CE" w:rsidTr="00CE6F2A">
        <w:trPr>
          <w:trHeight w:val="255"/>
        </w:trPr>
        <w:tc>
          <w:tcPr>
            <w:tcW w:w="183" w:type="dxa"/>
            <w:tcBorders>
              <w:top w:val="nil"/>
              <w:left w:val="nil"/>
              <w:bottom w:val="nil"/>
              <w:right w:val="nil"/>
            </w:tcBorders>
            <w:shd w:val="clear" w:color="auto" w:fill="auto"/>
            <w:noWrap/>
            <w:vAlign w:val="center"/>
            <w:hideMark/>
          </w:tcPr>
          <w:p w:rsidR="00AC49CE" w:rsidRDefault="00AC49CE" w:rsidP="00AC49CE">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AC49CE" w:rsidRDefault="00AC49CE" w:rsidP="00AC49CE">
            <w:pPr>
              <w:rPr>
                <w:sz w:val="20"/>
                <w:szCs w:val="20"/>
              </w:rPr>
            </w:pPr>
          </w:p>
        </w:tc>
        <w:tc>
          <w:tcPr>
            <w:tcW w:w="160" w:type="dxa"/>
            <w:tcBorders>
              <w:top w:val="nil"/>
              <w:left w:val="nil"/>
              <w:bottom w:val="nil"/>
              <w:right w:val="nil"/>
            </w:tcBorders>
            <w:shd w:val="clear" w:color="auto" w:fill="auto"/>
            <w:noWrap/>
            <w:vAlign w:val="center"/>
            <w:hideMark/>
          </w:tcPr>
          <w:p w:rsidR="00AC49CE" w:rsidRDefault="00AC49CE" w:rsidP="00AC49CE">
            <w:pPr>
              <w:rPr>
                <w:sz w:val="20"/>
                <w:szCs w:val="20"/>
              </w:rPr>
            </w:pPr>
          </w:p>
        </w:tc>
        <w:tc>
          <w:tcPr>
            <w:tcW w:w="4276" w:type="dxa"/>
            <w:gridSpan w:val="2"/>
            <w:tcBorders>
              <w:top w:val="nil"/>
              <w:left w:val="nil"/>
              <w:bottom w:val="nil"/>
              <w:right w:val="single" w:sz="4" w:space="0" w:color="FF0000"/>
            </w:tcBorders>
            <w:shd w:val="clear" w:color="auto" w:fill="auto"/>
            <w:noWrap/>
            <w:vAlign w:val="center"/>
            <w:hideMark/>
          </w:tcPr>
          <w:p w:rsidR="00AC49CE" w:rsidRDefault="00AC49CE" w:rsidP="00AC49CE">
            <w:pPr>
              <w:rPr>
                <w:rFonts w:ascii="Arial Narrow" w:hAnsi="Arial Narrow"/>
                <w:b/>
                <w:bCs/>
                <w:sz w:val="18"/>
                <w:szCs w:val="18"/>
              </w:rPr>
            </w:pPr>
            <w:r>
              <w:rPr>
                <w:rFonts w:ascii="Arial Narrow" w:hAnsi="Arial Narrow"/>
                <w:b/>
                <w:bCs/>
                <w:sz w:val="18"/>
                <w:szCs w:val="18"/>
              </w:rPr>
              <w:t>Periodické</w:t>
            </w:r>
          </w:p>
        </w:tc>
        <w:tc>
          <w:tcPr>
            <w:tcW w:w="72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b/>
                <w:bCs/>
                <w:sz w:val="18"/>
                <w:szCs w:val="18"/>
                <w:lang w:eastAsia="sk-SK"/>
              </w:rPr>
            </w:pPr>
            <w:r>
              <w:rPr>
                <w:rFonts w:ascii="Arial Narrow" w:hAnsi="Arial Narrow" w:cs="Calibri"/>
                <w:b/>
                <w:bCs/>
                <w:sz w:val="18"/>
                <w:szCs w:val="18"/>
              </w:rPr>
              <w:t>913,5</w:t>
            </w:r>
          </w:p>
        </w:tc>
        <w:tc>
          <w:tcPr>
            <w:tcW w:w="70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66,7</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144,6</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230,6</w:t>
            </w:r>
          </w:p>
        </w:tc>
        <w:tc>
          <w:tcPr>
            <w:tcW w:w="567"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1,0</w:t>
            </w:r>
          </w:p>
        </w:tc>
        <w:tc>
          <w:tcPr>
            <w:tcW w:w="850" w:type="dxa"/>
            <w:tcBorders>
              <w:top w:val="nil"/>
              <w:left w:val="nil"/>
              <w:bottom w:val="nil"/>
              <w:right w:val="nil"/>
            </w:tcBorders>
            <w:shd w:val="clear" w:color="auto" w:fill="auto"/>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102,9</w:t>
            </w:r>
          </w:p>
        </w:tc>
      </w:tr>
      <w:tr w:rsidR="00AC49CE" w:rsidTr="00CE6F2A">
        <w:trPr>
          <w:trHeight w:val="255"/>
        </w:trPr>
        <w:tc>
          <w:tcPr>
            <w:tcW w:w="183" w:type="dxa"/>
            <w:tcBorders>
              <w:top w:val="nil"/>
              <w:left w:val="nil"/>
              <w:bottom w:val="nil"/>
              <w:right w:val="nil"/>
            </w:tcBorders>
            <w:shd w:val="clear" w:color="auto" w:fill="auto"/>
            <w:noWrap/>
            <w:vAlign w:val="center"/>
            <w:hideMark/>
          </w:tcPr>
          <w:p w:rsidR="00AC49CE" w:rsidRDefault="00AC49CE" w:rsidP="00AC49CE">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AC49CE" w:rsidRDefault="00AC49CE" w:rsidP="00AC49CE">
            <w:pPr>
              <w:rPr>
                <w:sz w:val="20"/>
                <w:szCs w:val="20"/>
              </w:rPr>
            </w:pPr>
          </w:p>
        </w:tc>
        <w:tc>
          <w:tcPr>
            <w:tcW w:w="160" w:type="dxa"/>
            <w:tcBorders>
              <w:top w:val="nil"/>
              <w:left w:val="nil"/>
              <w:bottom w:val="nil"/>
              <w:right w:val="nil"/>
            </w:tcBorders>
            <w:shd w:val="clear" w:color="auto" w:fill="auto"/>
            <w:noWrap/>
            <w:vAlign w:val="center"/>
            <w:hideMark/>
          </w:tcPr>
          <w:p w:rsidR="00AC49CE" w:rsidRDefault="00AC49CE" w:rsidP="00AC49CE">
            <w:pPr>
              <w:rPr>
                <w:sz w:val="20"/>
                <w:szCs w:val="20"/>
              </w:rPr>
            </w:pPr>
          </w:p>
        </w:tc>
        <w:tc>
          <w:tcPr>
            <w:tcW w:w="160" w:type="dxa"/>
            <w:tcBorders>
              <w:top w:val="nil"/>
              <w:left w:val="nil"/>
              <w:bottom w:val="nil"/>
              <w:right w:val="nil"/>
            </w:tcBorders>
            <w:shd w:val="clear" w:color="auto" w:fill="auto"/>
            <w:noWrap/>
            <w:vAlign w:val="center"/>
            <w:hideMark/>
          </w:tcPr>
          <w:p w:rsidR="00AC49CE" w:rsidRDefault="00AC49CE" w:rsidP="00AC49CE">
            <w:pPr>
              <w:rPr>
                <w:sz w:val="20"/>
                <w:szCs w:val="20"/>
              </w:rPr>
            </w:pPr>
          </w:p>
        </w:tc>
        <w:tc>
          <w:tcPr>
            <w:tcW w:w="4116" w:type="dxa"/>
            <w:tcBorders>
              <w:top w:val="nil"/>
              <w:left w:val="nil"/>
              <w:bottom w:val="nil"/>
              <w:right w:val="single" w:sz="4" w:space="0" w:color="FF0000"/>
            </w:tcBorders>
            <w:shd w:val="clear" w:color="auto" w:fill="auto"/>
            <w:noWrap/>
            <w:vAlign w:val="center"/>
            <w:hideMark/>
          </w:tcPr>
          <w:p w:rsidR="00AC49CE" w:rsidRDefault="00AC49CE" w:rsidP="00AC49CE">
            <w:pPr>
              <w:rPr>
                <w:rFonts w:ascii="Arial Narrow" w:hAnsi="Arial Narrow"/>
                <w:sz w:val="18"/>
                <w:szCs w:val="18"/>
              </w:rPr>
            </w:pPr>
            <w:r>
              <w:rPr>
                <w:rFonts w:ascii="Arial Narrow" w:hAnsi="Arial Narrow"/>
                <w:sz w:val="18"/>
                <w:szCs w:val="18"/>
              </w:rPr>
              <w:t>Invalidný dôchodok</w:t>
            </w:r>
          </w:p>
        </w:tc>
        <w:tc>
          <w:tcPr>
            <w:tcW w:w="72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lang w:eastAsia="sk-SK"/>
              </w:rPr>
            </w:pPr>
            <w:r>
              <w:rPr>
                <w:rFonts w:ascii="Arial Narrow" w:hAnsi="Arial Narrow" w:cs="Calibri"/>
                <w:sz w:val="18"/>
                <w:szCs w:val="18"/>
              </w:rPr>
              <w:t>864,3</w:t>
            </w:r>
          </w:p>
        </w:tc>
        <w:tc>
          <w:tcPr>
            <w:tcW w:w="70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63,1</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136,8</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218,2</w:t>
            </w:r>
          </w:p>
        </w:tc>
        <w:tc>
          <w:tcPr>
            <w:tcW w:w="567"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0,9</w:t>
            </w:r>
          </w:p>
        </w:tc>
        <w:tc>
          <w:tcPr>
            <w:tcW w:w="850" w:type="dxa"/>
            <w:tcBorders>
              <w:top w:val="nil"/>
              <w:left w:val="nil"/>
              <w:bottom w:val="nil"/>
              <w:right w:val="nil"/>
            </w:tcBorders>
            <w:shd w:val="clear" w:color="auto" w:fill="auto"/>
            <w:noWrap/>
            <w:vAlign w:val="bottom"/>
            <w:hideMark/>
          </w:tcPr>
          <w:p w:rsidR="00AC49CE" w:rsidRDefault="00AC49CE" w:rsidP="004F1C67">
            <w:pPr>
              <w:jc w:val="right"/>
              <w:rPr>
                <w:rFonts w:ascii="Arial Narrow" w:hAnsi="Arial Narrow" w:cs="Calibri"/>
                <w:sz w:val="18"/>
                <w:szCs w:val="18"/>
              </w:rPr>
            </w:pPr>
            <w:r>
              <w:rPr>
                <w:rFonts w:ascii="Arial Narrow" w:hAnsi="Arial Narrow" w:cs="Calibri"/>
                <w:sz w:val="18"/>
                <w:szCs w:val="18"/>
              </w:rPr>
              <w:t>102,</w:t>
            </w:r>
            <w:r w:rsidR="004F1C67">
              <w:rPr>
                <w:rFonts w:ascii="Arial Narrow" w:hAnsi="Arial Narrow" w:cs="Calibri"/>
                <w:sz w:val="18"/>
                <w:szCs w:val="18"/>
              </w:rPr>
              <w:t>5</w:t>
            </w:r>
          </w:p>
        </w:tc>
      </w:tr>
      <w:tr w:rsidR="004F1C67" w:rsidTr="00CE6F2A">
        <w:trPr>
          <w:trHeight w:val="255"/>
        </w:trPr>
        <w:tc>
          <w:tcPr>
            <w:tcW w:w="183" w:type="dxa"/>
            <w:tcBorders>
              <w:top w:val="nil"/>
              <w:left w:val="nil"/>
              <w:bottom w:val="nil"/>
              <w:right w:val="nil"/>
            </w:tcBorders>
            <w:shd w:val="clear" w:color="auto" w:fill="auto"/>
            <w:noWrap/>
            <w:vAlign w:val="center"/>
            <w:hideMark/>
          </w:tcPr>
          <w:p w:rsidR="004F1C67" w:rsidRDefault="004F1C67" w:rsidP="004F1C67">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4F1C67" w:rsidRDefault="004F1C67" w:rsidP="004F1C67">
            <w:pPr>
              <w:rPr>
                <w:sz w:val="20"/>
                <w:szCs w:val="20"/>
              </w:rPr>
            </w:pPr>
          </w:p>
        </w:tc>
        <w:tc>
          <w:tcPr>
            <w:tcW w:w="160" w:type="dxa"/>
            <w:tcBorders>
              <w:top w:val="nil"/>
              <w:left w:val="nil"/>
              <w:bottom w:val="nil"/>
              <w:right w:val="nil"/>
            </w:tcBorders>
            <w:shd w:val="clear" w:color="auto" w:fill="auto"/>
            <w:noWrap/>
            <w:vAlign w:val="center"/>
            <w:hideMark/>
          </w:tcPr>
          <w:p w:rsidR="004F1C67" w:rsidRDefault="004F1C67" w:rsidP="004F1C67">
            <w:pPr>
              <w:rPr>
                <w:sz w:val="20"/>
                <w:szCs w:val="20"/>
              </w:rPr>
            </w:pPr>
          </w:p>
        </w:tc>
        <w:tc>
          <w:tcPr>
            <w:tcW w:w="160" w:type="dxa"/>
            <w:tcBorders>
              <w:top w:val="nil"/>
              <w:left w:val="nil"/>
              <w:bottom w:val="nil"/>
              <w:right w:val="nil"/>
            </w:tcBorders>
            <w:shd w:val="clear" w:color="auto" w:fill="auto"/>
            <w:vAlign w:val="center"/>
            <w:hideMark/>
          </w:tcPr>
          <w:p w:rsidR="004F1C67" w:rsidRDefault="004F1C67" w:rsidP="004F1C67">
            <w:pPr>
              <w:rPr>
                <w:sz w:val="20"/>
                <w:szCs w:val="20"/>
              </w:rPr>
            </w:pPr>
          </w:p>
        </w:tc>
        <w:tc>
          <w:tcPr>
            <w:tcW w:w="4116" w:type="dxa"/>
            <w:tcBorders>
              <w:top w:val="nil"/>
              <w:left w:val="nil"/>
              <w:bottom w:val="nil"/>
              <w:right w:val="single" w:sz="4" w:space="0" w:color="FF0000"/>
            </w:tcBorders>
            <w:shd w:val="clear" w:color="auto" w:fill="auto"/>
            <w:vAlign w:val="center"/>
            <w:hideMark/>
          </w:tcPr>
          <w:p w:rsidR="004F1C67" w:rsidRDefault="004F1C67" w:rsidP="004F1C67">
            <w:pPr>
              <w:rPr>
                <w:rFonts w:ascii="Arial Narrow" w:hAnsi="Arial Narrow"/>
                <w:sz w:val="18"/>
                <w:szCs w:val="18"/>
              </w:rPr>
            </w:pPr>
            <w:r>
              <w:rPr>
                <w:rFonts w:ascii="Arial Narrow" w:hAnsi="Arial Narrow"/>
                <w:sz w:val="18"/>
                <w:szCs w:val="18"/>
              </w:rPr>
              <w:t>Predčasný dôchodok z dôvodu zníženej pracovnej činnosti</w:t>
            </w:r>
          </w:p>
        </w:tc>
        <w:tc>
          <w:tcPr>
            <w:tcW w:w="728"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567"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nil"/>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x</w:t>
            </w:r>
          </w:p>
        </w:tc>
      </w:tr>
      <w:tr w:rsidR="00AC49CE" w:rsidTr="00CE6F2A">
        <w:trPr>
          <w:trHeight w:val="255"/>
        </w:trPr>
        <w:tc>
          <w:tcPr>
            <w:tcW w:w="183" w:type="dxa"/>
            <w:tcBorders>
              <w:top w:val="nil"/>
              <w:left w:val="nil"/>
              <w:bottom w:val="nil"/>
              <w:right w:val="nil"/>
            </w:tcBorders>
            <w:shd w:val="clear" w:color="auto" w:fill="auto"/>
            <w:noWrap/>
            <w:vAlign w:val="center"/>
            <w:hideMark/>
          </w:tcPr>
          <w:p w:rsidR="00AC49CE" w:rsidRDefault="00AC49CE" w:rsidP="00AC49CE">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AC49CE" w:rsidRDefault="00AC49CE" w:rsidP="00AC49CE">
            <w:pPr>
              <w:rPr>
                <w:sz w:val="20"/>
                <w:szCs w:val="20"/>
              </w:rPr>
            </w:pPr>
          </w:p>
        </w:tc>
        <w:tc>
          <w:tcPr>
            <w:tcW w:w="160" w:type="dxa"/>
            <w:tcBorders>
              <w:top w:val="nil"/>
              <w:left w:val="nil"/>
              <w:bottom w:val="nil"/>
              <w:right w:val="nil"/>
            </w:tcBorders>
            <w:shd w:val="clear" w:color="auto" w:fill="auto"/>
            <w:noWrap/>
            <w:vAlign w:val="center"/>
            <w:hideMark/>
          </w:tcPr>
          <w:p w:rsidR="00AC49CE" w:rsidRDefault="00AC49CE" w:rsidP="00AC49CE">
            <w:pPr>
              <w:rPr>
                <w:sz w:val="20"/>
                <w:szCs w:val="20"/>
              </w:rPr>
            </w:pPr>
          </w:p>
        </w:tc>
        <w:tc>
          <w:tcPr>
            <w:tcW w:w="160" w:type="dxa"/>
            <w:tcBorders>
              <w:top w:val="nil"/>
              <w:left w:val="nil"/>
              <w:bottom w:val="nil"/>
              <w:right w:val="nil"/>
            </w:tcBorders>
            <w:shd w:val="clear" w:color="auto" w:fill="auto"/>
            <w:vAlign w:val="center"/>
            <w:hideMark/>
          </w:tcPr>
          <w:p w:rsidR="00AC49CE" w:rsidRDefault="00AC49CE" w:rsidP="00AC49CE">
            <w:pPr>
              <w:rPr>
                <w:sz w:val="20"/>
                <w:szCs w:val="20"/>
              </w:rPr>
            </w:pPr>
          </w:p>
        </w:tc>
        <w:tc>
          <w:tcPr>
            <w:tcW w:w="4116" w:type="dxa"/>
            <w:tcBorders>
              <w:top w:val="nil"/>
              <w:left w:val="nil"/>
              <w:bottom w:val="nil"/>
              <w:right w:val="single" w:sz="4" w:space="0" w:color="FF0000"/>
            </w:tcBorders>
            <w:shd w:val="clear" w:color="auto" w:fill="auto"/>
            <w:vAlign w:val="center"/>
            <w:hideMark/>
          </w:tcPr>
          <w:p w:rsidR="00AC49CE" w:rsidRDefault="00AC49CE" w:rsidP="00AC49CE">
            <w:pPr>
              <w:rPr>
                <w:rFonts w:ascii="Arial Narrow" w:hAnsi="Arial Narrow"/>
                <w:sz w:val="18"/>
                <w:szCs w:val="18"/>
              </w:rPr>
            </w:pPr>
            <w:r>
              <w:rPr>
                <w:rFonts w:ascii="Arial Narrow" w:hAnsi="Arial Narrow"/>
                <w:sz w:val="18"/>
                <w:szCs w:val="18"/>
              </w:rPr>
              <w:t>Príspevok na starostlivosť</w:t>
            </w:r>
          </w:p>
        </w:tc>
        <w:tc>
          <w:tcPr>
            <w:tcW w:w="72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lang w:eastAsia="sk-SK"/>
              </w:rPr>
            </w:pPr>
            <w:r>
              <w:rPr>
                <w:rFonts w:ascii="Arial Narrow" w:hAnsi="Arial Narrow" w:cs="Calibri"/>
                <w:sz w:val="18"/>
                <w:szCs w:val="18"/>
              </w:rPr>
              <w:t>1,4</w:t>
            </w:r>
          </w:p>
        </w:tc>
        <w:tc>
          <w:tcPr>
            <w:tcW w:w="70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0,1</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0,2</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0,3</w:t>
            </w:r>
          </w:p>
        </w:tc>
        <w:tc>
          <w:tcPr>
            <w:tcW w:w="567"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nil"/>
            </w:tcBorders>
            <w:shd w:val="clear" w:color="auto" w:fill="auto"/>
            <w:noWrap/>
            <w:vAlign w:val="bottom"/>
            <w:hideMark/>
          </w:tcPr>
          <w:p w:rsidR="00AC49CE" w:rsidRDefault="004F1C67" w:rsidP="00AC49CE">
            <w:pPr>
              <w:jc w:val="right"/>
              <w:rPr>
                <w:rFonts w:ascii="Arial Narrow" w:hAnsi="Arial Narrow" w:cs="Calibri"/>
                <w:sz w:val="18"/>
                <w:szCs w:val="18"/>
              </w:rPr>
            </w:pPr>
            <w:r>
              <w:rPr>
                <w:rFonts w:ascii="Arial Narrow" w:hAnsi="Arial Narrow" w:cs="Calibri"/>
                <w:sz w:val="18"/>
                <w:szCs w:val="18"/>
              </w:rPr>
              <w:t>93,3</w:t>
            </w:r>
          </w:p>
        </w:tc>
      </w:tr>
      <w:tr w:rsidR="004F1C67" w:rsidTr="00CE6F2A">
        <w:trPr>
          <w:trHeight w:val="255"/>
        </w:trPr>
        <w:tc>
          <w:tcPr>
            <w:tcW w:w="183" w:type="dxa"/>
            <w:tcBorders>
              <w:top w:val="nil"/>
              <w:left w:val="nil"/>
              <w:bottom w:val="nil"/>
              <w:right w:val="nil"/>
            </w:tcBorders>
            <w:shd w:val="clear" w:color="auto" w:fill="auto"/>
            <w:noWrap/>
            <w:vAlign w:val="center"/>
            <w:hideMark/>
          </w:tcPr>
          <w:p w:rsidR="004F1C67" w:rsidRDefault="004F1C67" w:rsidP="004F1C67">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4F1C67" w:rsidRDefault="004F1C67" w:rsidP="004F1C67">
            <w:pPr>
              <w:rPr>
                <w:sz w:val="20"/>
                <w:szCs w:val="20"/>
              </w:rPr>
            </w:pPr>
          </w:p>
        </w:tc>
        <w:tc>
          <w:tcPr>
            <w:tcW w:w="160" w:type="dxa"/>
            <w:tcBorders>
              <w:top w:val="nil"/>
              <w:left w:val="nil"/>
              <w:bottom w:val="nil"/>
              <w:right w:val="nil"/>
            </w:tcBorders>
            <w:shd w:val="clear" w:color="auto" w:fill="auto"/>
            <w:noWrap/>
            <w:vAlign w:val="center"/>
            <w:hideMark/>
          </w:tcPr>
          <w:p w:rsidR="004F1C67" w:rsidRDefault="004F1C67" w:rsidP="004F1C67">
            <w:pPr>
              <w:rPr>
                <w:sz w:val="20"/>
                <w:szCs w:val="20"/>
              </w:rPr>
            </w:pPr>
          </w:p>
        </w:tc>
        <w:tc>
          <w:tcPr>
            <w:tcW w:w="160" w:type="dxa"/>
            <w:tcBorders>
              <w:top w:val="nil"/>
              <w:left w:val="nil"/>
              <w:bottom w:val="nil"/>
              <w:right w:val="nil"/>
            </w:tcBorders>
            <w:shd w:val="clear" w:color="auto" w:fill="auto"/>
            <w:vAlign w:val="center"/>
            <w:hideMark/>
          </w:tcPr>
          <w:p w:rsidR="004F1C67" w:rsidRDefault="004F1C67" w:rsidP="004F1C67">
            <w:pPr>
              <w:rPr>
                <w:sz w:val="20"/>
                <w:szCs w:val="20"/>
              </w:rPr>
            </w:pPr>
          </w:p>
        </w:tc>
        <w:tc>
          <w:tcPr>
            <w:tcW w:w="4116" w:type="dxa"/>
            <w:tcBorders>
              <w:top w:val="nil"/>
              <w:left w:val="nil"/>
              <w:bottom w:val="nil"/>
              <w:right w:val="single" w:sz="4" w:space="0" w:color="FF0000"/>
            </w:tcBorders>
            <w:shd w:val="clear" w:color="auto" w:fill="auto"/>
            <w:vAlign w:val="center"/>
            <w:hideMark/>
          </w:tcPr>
          <w:p w:rsidR="004F1C67" w:rsidRDefault="004F1C67" w:rsidP="004F1C67">
            <w:pPr>
              <w:rPr>
                <w:rFonts w:ascii="Arial Narrow" w:hAnsi="Arial Narrow"/>
                <w:sz w:val="18"/>
                <w:szCs w:val="18"/>
              </w:rPr>
            </w:pPr>
            <w:r>
              <w:rPr>
                <w:rFonts w:ascii="Arial Narrow" w:hAnsi="Arial Narrow"/>
                <w:sz w:val="18"/>
                <w:szCs w:val="18"/>
              </w:rPr>
              <w:t>Ekonomická integrácia hendikepovaných</w:t>
            </w:r>
          </w:p>
        </w:tc>
        <w:tc>
          <w:tcPr>
            <w:tcW w:w="728"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567"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nil"/>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x</w:t>
            </w:r>
          </w:p>
        </w:tc>
      </w:tr>
      <w:tr w:rsidR="00AC49CE" w:rsidTr="00CE6F2A">
        <w:trPr>
          <w:trHeight w:val="255"/>
        </w:trPr>
        <w:tc>
          <w:tcPr>
            <w:tcW w:w="183" w:type="dxa"/>
            <w:tcBorders>
              <w:top w:val="nil"/>
              <w:left w:val="nil"/>
              <w:bottom w:val="nil"/>
              <w:right w:val="nil"/>
            </w:tcBorders>
            <w:shd w:val="clear" w:color="auto" w:fill="auto"/>
            <w:noWrap/>
            <w:vAlign w:val="center"/>
            <w:hideMark/>
          </w:tcPr>
          <w:p w:rsidR="00AC49CE" w:rsidRDefault="00AC49CE" w:rsidP="00AC49CE">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AC49CE" w:rsidRDefault="00AC49CE" w:rsidP="00AC49CE">
            <w:pPr>
              <w:rPr>
                <w:sz w:val="20"/>
                <w:szCs w:val="20"/>
              </w:rPr>
            </w:pPr>
          </w:p>
        </w:tc>
        <w:tc>
          <w:tcPr>
            <w:tcW w:w="160" w:type="dxa"/>
            <w:tcBorders>
              <w:top w:val="nil"/>
              <w:left w:val="nil"/>
              <w:bottom w:val="nil"/>
              <w:right w:val="nil"/>
            </w:tcBorders>
            <w:shd w:val="clear" w:color="auto" w:fill="auto"/>
            <w:noWrap/>
            <w:vAlign w:val="center"/>
            <w:hideMark/>
          </w:tcPr>
          <w:p w:rsidR="00AC49CE" w:rsidRDefault="00AC49CE" w:rsidP="00AC49CE">
            <w:pPr>
              <w:rPr>
                <w:sz w:val="20"/>
                <w:szCs w:val="20"/>
              </w:rPr>
            </w:pPr>
          </w:p>
        </w:tc>
        <w:tc>
          <w:tcPr>
            <w:tcW w:w="160" w:type="dxa"/>
            <w:tcBorders>
              <w:top w:val="nil"/>
              <w:left w:val="nil"/>
              <w:bottom w:val="nil"/>
              <w:right w:val="nil"/>
            </w:tcBorders>
            <w:shd w:val="clear" w:color="auto" w:fill="auto"/>
            <w:vAlign w:val="center"/>
            <w:hideMark/>
          </w:tcPr>
          <w:p w:rsidR="00AC49CE" w:rsidRDefault="00AC49CE" w:rsidP="00AC49CE">
            <w:pPr>
              <w:rPr>
                <w:sz w:val="20"/>
                <w:szCs w:val="20"/>
              </w:rPr>
            </w:pPr>
          </w:p>
        </w:tc>
        <w:tc>
          <w:tcPr>
            <w:tcW w:w="4116" w:type="dxa"/>
            <w:tcBorders>
              <w:top w:val="nil"/>
              <w:left w:val="nil"/>
              <w:bottom w:val="nil"/>
              <w:right w:val="single" w:sz="4" w:space="0" w:color="FF0000"/>
            </w:tcBorders>
            <w:shd w:val="clear" w:color="auto" w:fill="auto"/>
            <w:vAlign w:val="center"/>
            <w:hideMark/>
          </w:tcPr>
          <w:p w:rsidR="00AC49CE" w:rsidRDefault="00AC49CE" w:rsidP="00AC49CE">
            <w:pPr>
              <w:rPr>
                <w:rFonts w:ascii="Arial Narrow" w:hAnsi="Arial Narrow"/>
                <w:sz w:val="18"/>
                <w:szCs w:val="18"/>
              </w:rPr>
            </w:pPr>
            <w:r>
              <w:rPr>
                <w:rFonts w:ascii="Arial Narrow" w:hAnsi="Arial Narrow"/>
                <w:sz w:val="18"/>
                <w:szCs w:val="18"/>
              </w:rPr>
              <w:t>Iné peňažné periodické dávky</w:t>
            </w:r>
          </w:p>
        </w:tc>
        <w:tc>
          <w:tcPr>
            <w:tcW w:w="72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lang w:eastAsia="sk-SK"/>
              </w:rPr>
            </w:pPr>
            <w:r>
              <w:rPr>
                <w:rFonts w:ascii="Arial Narrow" w:hAnsi="Arial Narrow" w:cs="Calibri"/>
                <w:sz w:val="18"/>
                <w:szCs w:val="18"/>
              </w:rPr>
              <w:t>47,9</w:t>
            </w:r>
          </w:p>
        </w:tc>
        <w:tc>
          <w:tcPr>
            <w:tcW w:w="70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3,5</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7,6</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12,1</w:t>
            </w:r>
          </w:p>
        </w:tc>
        <w:tc>
          <w:tcPr>
            <w:tcW w:w="567"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0,1</w:t>
            </w:r>
          </w:p>
        </w:tc>
        <w:tc>
          <w:tcPr>
            <w:tcW w:w="850" w:type="dxa"/>
            <w:tcBorders>
              <w:top w:val="nil"/>
              <w:left w:val="nil"/>
              <w:bottom w:val="nil"/>
              <w:right w:val="nil"/>
            </w:tcBorders>
            <w:shd w:val="clear" w:color="auto" w:fill="auto"/>
            <w:noWrap/>
            <w:vAlign w:val="bottom"/>
            <w:hideMark/>
          </w:tcPr>
          <w:p w:rsidR="00AC49CE" w:rsidRDefault="004F1C67" w:rsidP="00AC49CE">
            <w:pPr>
              <w:jc w:val="right"/>
              <w:rPr>
                <w:rFonts w:ascii="Arial Narrow" w:hAnsi="Arial Narrow" w:cs="Calibri"/>
                <w:sz w:val="18"/>
                <w:szCs w:val="18"/>
              </w:rPr>
            </w:pPr>
            <w:r>
              <w:rPr>
                <w:rFonts w:ascii="Arial Narrow" w:hAnsi="Arial Narrow" w:cs="Calibri"/>
                <w:sz w:val="18"/>
                <w:szCs w:val="18"/>
              </w:rPr>
              <w:t>112,2</w:t>
            </w:r>
          </w:p>
        </w:tc>
      </w:tr>
      <w:tr w:rsidR="00AC49CE" w:rsidTr="00CE6F2A">
        <w:trPr>
          <w:trHeight w:val="255"/>
        </w:trPr>
        <w:tc>
          <w:tcPr>
            <w:tcW w:w="183" w:type="dxa"/>
            <w:tcBorders>
              <w:top w:val="nil"/>
              <w:left w:val="nil"/>
              <w:bottom w:val="nil"/>
              <w:right w:val="nil"/>
            </w:tcBorders>
            <w:shd w:val="clear" w:color="auto" w:fill="auto"/>
            <w:noWrap/>
            <w:vAlign w:val="bottom"/>
            <w:hideMark/>
          </w:tcPr>
          <w:p w:rsidR="00AC49CE" w:rsidRDefault="00AC49CE" w:rsidP="00AC49CE">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160"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4276" w:type="dxa"/>
            <w:gridSpan w:val="2"/>
            <w:tcBorders>
              <w:top w:val="nil"/>
              <w:left w:val="nil"/>
              <w:bottom w:val="nil"/>
              <w:right w:val="single" w:sz="4" w:space="0" w:color="FF0000"/>
            </w:tcBorders>
            <w:shd w:val="clear" w:color="auto" w:fill="auto"/>
            <w:vAlign w:val="center"/>
            <w:hideMark/>
          </w:tcPr>
          <w:p w:rsidR="00AC49CE" w:rsidRDefault="00AC49CE" w:rsidP="00AC49CE">
            <w:pPr>
              <w:rPr>
                <w:rFonts w:ascii="Arial Narrow" w:hAnsi="Arial Narrow"/>
                <w:b/>
                <w:bCs/>
                <w:sz w:val="18"/>
                <w:szCs w:val="18"/>
              </w:rPr>
            </w:pPr>
            <w:r>
              <w:rPr>
                <w:rFonts w:ascii="Arial Narrow" w:hAnsi="Arial Narrow"/>
                <w:b/>
                <w:bCs/>
                <w:sz w:val="18"/>
                <w:szCs w:val="18"/>
              </w:rPr>
              <w:t>Jednorazové</w:t>
            </w:r>
          </w:p>
        </w:tc>
        <w:tc>
          <w:tcPr>
            <w:tcW w:w="72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b/>
                <w:bCs/>
                <w:sz w:val="18"/>
                <w:szCs w:val="18"/>
                <w:lang w:eastAsia="sk-SK"/>
              </w:rPr>
            </w:pPr>
            <w:r>
              <w:rPr>
                <w:rFonts w:ascii="Arial Narrow" w:hAnsi="Arial Narrow" w:cs="Calibri"/>
                <w:b/>
                <w:bCs/>
                <w:sz w:val="18"/>
                <w:szCs w:val="18"/>
              </w:rPr>
              <w:t>16,1</w:t>
            </w:r>
          </w:p>
        </w:tc>
        <w:tc>
          <w:tcPr>
            <w:tcW w:w="70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1,2</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2,5</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4,1</w:t>
            </w:r>
          </w:p>
        </w:tc>
        <w:tc>
          <w:tcPr>
            <w:tcW w:w="567"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0,0</w:t>
            </w:r>
          </w:p>
        </w:tc>
        <w:tc>
          <w:tcPr>
            <w:tcW w:w="850" w:type="dxa"/>
            <w:tcBorders>
              <w:top w:val="nil"/>
              <w:left w:val="nil"/>
              <w:bottom w:val="nil"/>
              <w:right w:val="nil"/>
            </w:tcBorders>
            <w:shd w:val="clear" w:color="auto" w:fill="auto"/>
            <w:noWrap/>
            <w:vAlign w:val="bottom"/>
            <w:hideMark/>
          </w:tcPr>
          <w:p w:rsidR="00AC49CE" w:rsidRDefault="004F1C67" w:rsidP="00AC49CE">
            <w:pPr>
              <w:jc w:val="right"/>
              <w:rPr>
                <w:rFonts w:ascii="Arial Narrow" w:hAnsi="Arial Narrow" w:cs="Calibri"/>
                <w:b/>
                <w:bCs/>
                <w:sz w:val="18"/>
                <w:szCs w:val="18"/>
              </w:rPr>
            </w:pPr>
            <w:r>
              <w:rPr>
                <w:rFonts w:ascii="Arial Narrow" w:hAnsi="Arial Narrow" w:cs="Calibri"/>
                <w:b/>
                <w:bCs/>
                <w:sz w:val="18"/>
                <w:szCs w:val="18"/>
              </w:rPr>
              <w:t>93,6</w:t>
            </w:r>
          </w:p>
        </w:tc>
      </w:tr>
      <w:tr w:rsidR="004F1C67" w:rsidTr="00CE6F2A">
        <w:trPr>
          <w:trHeight w:val="255"/>
        </w:trPr>
        <w:tc>
          <w:tcPr>
            <w:tcW w:w="183" w:type="dxa"/>
            <w:tcBorders>
              <w:top w:val="nil"/>
              <w:left w:val="nil"/>
              <w:bottom w:val="nil"/>
              <w:right w:val="nil"/>
            </w:tcBorders>
            <w:shd w:val="clear" w:color="auto" w:fill="auto"/>
            <w:noWrap/>
            <w:vAlign w:val="bottom"/>
            <w:hideMark/>
          </w:tcPr>
          <w:p w:rsidR="004F1C67" w:rsidRDefault="004F1C67" w:rsidP="004F1C67">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4F1C67" w:rsidRDefault="004F1C67" w:rsidP="004F1C67">
            <w:pPr>
              <w:rPr>
                <w:sz w:val="20"/>
                <w:szCs w:val="20"/>
              </w:rPr>
            </w:pPr>
          </w:p>
        </w:tc>
        <w:tc>
          <w:tcPr>
            <w:tcW w:w="160" w:type="dxa"/>
            <w:tcBorders>
              <w:top w:val="nil"/>
              <w:left w:val="nil"/>
              <w:bottom w:val="nil"/>
              <w:right w:val="nil"/>
            </w:tcBorders>
            <w:shd w:val="clear" w:color="auto" w:fill="auto"/>
            <w:noWrap/>
            <w:vAlign w:val="bottom"/>
            <w:hideMark/>
          </w:tcPr>
          <w:p w:rsidR="004F1C67" w:rsidRDefault="004F1C67" w:rsidP="004F1C67">
            <w:pPr>
              <w:rPr>
                <w:sz w:val="20"/>
                <w:szCs w:val="20"/>
              </w:rPr>
            </w:pPr>
          </w:p>
        </w:tc>
        <w:tc>
          <w:tcPr>
            <w:tcW w:w="160" w:type="dxa"/>
            <w:tcBorders>
              <w:top w:val="nil"/>
              <w:left w:val="nil"/>
              <w:bottom w:val="nil"/>
              <w:right w:val="nil"/>
            </w:tcBorders>
            <w:shd w:val="clear" w:color="auto" w:fill="auto"/>
            <w:vAlign w:val="bottom"/>
            <w:hideMark/>
          </w:tcPr>
          <w:p w:rsidR="004F1C67" w:rsidRDefault="004F1C67" w:rsidP="004F1C67">
            <w:pPr>
              <w:rPr>
                <w:sz w:val="20"/>
                <w:szCs w:val="20"/>
              </w:rPr>
            </w:pPr>
          </w:p>
        </w:tc>
        <w:tc>
          <w:tcPr>
            <w:tcW w:w="4116" w:type="dxa"/>
            <w:tcBorders>
              <w:top w:val="nil"/>
              <w:left w:val="nil"/>
              <w:bottom w:val="nil"/>
              <w:right w:val="single" w:sz="4" w:space="0" w:color="FF0000"/>
            </w:tcBorders>
            <w:shd w:val="clear" w:color="auto" w:fill="auto"/>
            <w:vAlign w:val="center"/>
            <w:hideMark/>
          </w:tcPr>
          <w:p w:rsidR="004F1C67" w:rsidRDefault="004F1C67" w:rsidP="004F1C67">
            <w:pPr>
              <w:rPr>
                <w:rFonts w:ascii="Arial Narrow" w:hAnsi="Arial Narrow"/>
                <w:sz w:val="18"/>
                <w:szCs w:val="18"/>
              </w:rPr>
            </w:pPr>
            <w:r>
              <w:rPr>
                <w:rFonts w:ascii="Arial Narrow" w:hAnsi="Arial Narrow"/>
                <w:sz w:val="18"/>
                <w:szCs w:val="18"/>
              </w:rPr>
              <w:t>Príspevok na starostlivosť</w:t>
            </w:r>
          </w:p>
        </w:tc>
        <w:tc>
          <w:tcPr>
            <w:tcW w:w="728"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567"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nil"/>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x</w:t>
            </w:r>
          </w:p>
        </w:tc>
      </w:tr>
      <w:tr w:rsidR="004F1C67" w:rsidTr="00CE6F2A">
        <w:trPr>
          <w:trHeight w:val="255"/>
        </w:trPr>
        <w:tc>
          <w:tcPr>
            <w:tcW w:w="183" w:type="dxa"/>
            <w:tcBorders>
              <w:top w:val="nil"/>
              <w:left w:val="nil"/>
              <w:bottom w:val="nil"/>
              <w:right w:val="nil"/>
            </w:tcBorders>
            <w:shd w:val="clear" w:color="auto" w:fill="auto"/>
            <w:noWrap/>
            <w:vAlign w:val="bottom"/>
            <w:hideMark/>
          </w:tcPr>
          <w:p w:rsidR="004F1C67" w:rsidRDefault="004F1C67" w:rsidP="004F1C67">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4F1C67" w:rsidRDefault="004F1C67" w:rsidP="004F1C67">
            <w:pPr>
              <w:rPr>
                <w:sz w:val="20"/>
                <w:szCs w:val="20"/>
              </w:rPr>
            </w:pPr>
          </w:p>
        </w:tc>
        <w:tc>
          <w:tcPr>
            <w:tcW w:w="160" w:type="dxa"/>
            <w:tcBorders>
              <w:top w:val="nil"/>
              <w:left w:val="nil"/>
              <w:bottom w:val="nil"/>
              <w:right w:val="nil"/>
            </w:tcBorders>
            <w:shd w:val="clear" w:color="auto" w:fill="auto"/>
            <w:noWrap/>
            <w:vAlign w:val="bottom"/>
            <w:hideMark/>
          </w:tcPr>
          <w:p w:rsidR="004F1C67" w:rsidRDefault="004F1C67" w:rsidP="004F1C67">
            <w:pPr>
              <w:rPr>
                <w:sz w:val="20"/>
                <w:szCs w:val="20"/>
              </w:rPr>
            </w:pPr>
          </w:p>
        </w:tc>
        <w:tc>
          <w:tcPr>
            <w:tcW w:w="160" w:type="dxa"/>
            <w:tcBorders>
              <w:top w:val="nil"/>
              <w:left w:val="nil"/>
              <w:bottom w:val="nil"/>
              <w:right w:val="nil"/>
            </w:tcBorders>
            <w:shd w:val="clear" w:color="auto" w:fill="auto"/>
            <w:vAlign w:val="bottom"/>
            <w:hideMark/>
          </w:tcPr>
          <w:p w:rsidR="004F1C67" w:rsidRDefault="004F1C67" w:rsidP="004F1C67">
            <w:pPr>
              <w:rPr>
                <w:sz w:val="20"/>
                <w:szCs w:val="20"/>
              </w:rPr>
            </w:pPr>
          </w:p>
        </w:tc>
        <w:tc>
          <w:tcPr>
            <w:tcW w:w="4116" w:type="dxa"/>
            <w:tcBorders>
              <w:top w:val="nil"/>
              <w:left w:val="nil"/>
              <w:bottom w:val="nil"/>
              <w:right w:val="single" w:sz="4" w:space="0" w:color="FF0000"/>
            </w:tcBorders>
            <w:shd w:val="clear" w:color="auto" w:fill="auto"/>
            <w:vAlign w:val="center"/>
            <w:hideMark/>
          </w:tcPr>
          <w:p w:rsidR="004F1C67" w:rsidRDefault="004F1C67" w:rsidP="004F1C67">
            <w:pPr>
              <w:rPr>
                <w:rFonts w:ascii="Arial Narrow" w:hAnsi="Arial Narrow"/>
                <w:sz w:val="18"/>
                <w:szCs w:val="18"/>
              </w:rPr>
            </w:pPr>
            <w:r>
              <w:rPr>
                <w:rFonts w:ascii="Arial Narrow" w:hAnsi="Arial Narrow"/>
                <w:sz w:val="18"/>
                <w:szCs w:val="18"/>
              </w:rPr>
              <w:t>Ekonomická integrácia hendikepovaných</w:t>
            </w:r>
          </w:p>
        </w:tc>
        <w:tc>
          <w:tcPr>
            <w:tcW w:w="728"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567"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nil"/>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x</w:t>
            </w:r>
          </w:p>
        </w:tc>
      </w:tr>
      <w:tr w:rsidR="00AC49CE" w:rsidTr="00CE6F2A">
        <w:trPr>
          <w:trHeight w:val="255"/>
        </w:trPr>
        <w:tc>
          <w:tcPr>
            <w:tcW w:w="183" w:type="dxa"/>
            <w:tcBorders>
              <w:top w:val="nil"/>
              <w:left w:val="nil"/>
              <w:bottom w:val="nil"/>
              <w:right w:val="nil"/>
            </w:tcBorders>
            <w:shd w:val="clear" w:color="auto" w:fill="auto"/>
            <w:noWrap/>
            <w:vAlign w:val="bottom"/>
            <w:hideMark/>
          </w:tcPr>
          <w:p w:rsidR="00AC49CE" w:rsidRDefault="00AC49CE" w:rsidP="00AC49CE">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160"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160"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4116" w:type="dxa"/>
            <w:tcBorders>
              <w:top w:val="nil"/>
              <w:left w:val="nil"/>
              <w:bottom w:val="nil"/>
              <w:right w:val="single" w:sz="4" w:space="0" w:color="FF0000"/>
            </w:tcBorders>
            <w:shd w:val="clear" w:color="auto" w:fill="auto"/>
            <w:noWrap/>
            <w:vAlign w:val="center"/>
            <w:hideMark/>
          </w:tcPr>
          <w:p w:rsidR="00AC49CE" w:rsidRDefault="00AC49CE" w:rsidP="00AC49CE">
            <w:pPr>
              <w:rPr>
                <w:rFonts w:ascii="Arial Narrow" w:hAnsi="Arial Narrow"/>
                <w:sz w:val="18"/>
                <w:szCs w:val="18"/>
              </w:rPr>
            </w:pPr>
            <w:r>
              <w:rPr>
                <w:rFonts w:ascii="Arial Narrow" w:hAnsi="Arial Narrow"/>
                <w:sz w:val="18"/>
                <w:szCs w:val="18"/>
              </w:rPr>
              <w:t>Iné peňažné jednorazové dávky</w:t>
            </w:r>
          </w:p>
        </w:tc>
        <w:tc>
          <w:tcPr>
            <w:tcW w:w="72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lang w:eastAsia="sk-SK"/>
              </w:rPr>
            </w:pPr>
            <w:r>
              <w:rPr>
                <w:rFonts w:ascii="Arial Narrow" w:hAnsi="Arial Narrow" w:cs="Calibri"/>
                <w:sz w:val="18"/>
                <w:szCs w:val="18"/>
              </w:rPr>
              <w:t>16,1</w:t>
            </w:r>
          </w:p>
        </w:tc>
        <w:tc>
          <w:tcPr>
            <w:tcW w:w="70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1,2</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2,5</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4,1</w:t>
            </w:r>
          </w:p>
        </w:tc>
        <w:tc>
          <w:tcPr>
            <w:tcW w:w="567"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nil"/>
            </w:tcBorders>
            <w:shd w:val="clear" w:color="auto" w:fill="auto"/>
            <w:noWrap/>
            <w:vAlign w:val="bottom"/>
            <w:hideMark/>
          </w:tcPr>
          <w:p w:rsidR="00AC49CE" w:rsidRDefault="004F1C67" w:rsidP="00AC49CE">
            <w:pPr>
              <w:jc w:val="right"/>
              <w:rPr>
                <w:rFonts w:ascii="Arial Narrow" w:hAnsi="Arial Narrow" w:cs="Calibri"/>
                <w:sz w:val="18"/>
                <w:szCs w:val="18"/>
              </w:rPr>
            </w:pPr>
            <w:r>
              <w:rPr>
                <w:rFonts w:ascii="Arial Narrow" w:hAnsi="Arial Narrow" w:cs="Calibri"/>
                <w:sz w:val="18"/>
                <w:szCs w:val="18"/>
              </w:rPr>
              <w:t>93,6</w:t>
            </w:r>
          </w:p>
        </w:tc>
      </w:tr>
      <w:tr w:rsidR="00AC49CE" w:rsidTr="00CE6F2A">
        <w:trPr>
          <w:trHeight w:val="255"/>
        </w:trPr>
        <w:tc>
          <w:tcPr>
            <w:tcW w:w="183" w:type="dxa"/>
            <w:tcBorders>
              <w:top w:val="nil"/>
              <w:left w:val="nil"/>
              <w:bottom w:val="nil"/>
              <w:right w:val="nil"/>
            </w:tcBorders>
            <w:shd w:val="clear" w:color="000000" w:fill="E2EFDA"/>
            <w:noWrap/>
            <w:vAlign w:val="bottom"/>
            <w:hideMark/>
          </w:tcPr>
          <w:p w:rsidR="00AC49CE" w:rsidRDefault="00AC49CE" w:rsidP="00AC49CE">
            <w:pPr>
              <w:rPr>
                <w:rFonts w:ascii="Arial Narrow" w:hAnsi="Arial Narrow"/>
                <w:b/>
                <w:bCs/>
                <w:color w:val="FFFFFF"/>
                <w:sz w:val="18"/>
                <w:szCs w:val="18"/>
              </w:rPr>
            </w:pPr>
            <w:r>
              <w:rPr>
                <w:rFonts w:ascii="Arial Narrow" w:hAnsi="Arial Narrow"/>
                <w:b/>
                <w:bCs/>
                <w:color w:val="FFFFFF"/>
                <w:sz w:val="18"/>
                <w:szCs w:val="18"/>
              </w:rPr>
              <w:t> </w:t>
            </w:r>
          </w:p>
        </w:tc>
        <w:tc>
          <w:tcPr>
            <w:tcW w:w="182" w:type="dxa"/>
            <w:tcBorders>
              <w:top w:val="nil"/>
              <w:left w:val="nil"/>
              <w:bottom w:val="nil"/>
              <w:right w:val="nil"/>
            </w:tcBorders>
            <w:shd w:val="clear" w:color="000000" w:fill="E2EFDA"/>
            <w:noWrap/>
            <w:vAlign w:val="bottom"/>
            <w:hideMark/>
          </w:tcPr>
          <w:p w:rsidR="00AC49CE" w:rsidRDefault="00AC49CE" w:rsidP="00AC49CE">
            <w:pPr>
              <w:rPr>
                <w:rFonts w:ascii="Arial Narrow" w:hAnsi="Arial Narrow"/>
                <w:b/>
                <w:bCs/>
                <w:color w:val="FFFFFF"/>
                <w:sz w:val="18"/>
                <w:szCs w:val="18"/>
              </w:rPr>
            </w:pPr>
            <w:r>
              <w:rPr>
                <w:rFonts w:ascii="Arial Narrow" w:hAnsi="Arial Narrow"/>
                <w:b/>
                <w:bCs/>
                <w:color w:val="FFFFFF"/>
                <w:sz w:val="18"/>
                <w:szCs w:val="18"/>
              </w:rPr>
              <w:t> </w:t>
            </w:r>
          </w:p>
        </w:tc>
        <w:tc>
          <w:tcPr>
            <w:tcW w:w="4436" w:type="dxa"/>
            <w:gridSpan w:val="3"/>
            <w:tcBorders>
              <w:top w:val="nil"/>
              <w:left w:val="nil"/>
              <w:bottom w:val="nil"/>
              <w:right w:val="single" w:sz="4" w:space="0" w:color="FF0000"/>
            </w:tcBorders>
            <w:shd w:val="clear" w:color="000000" w:fill="E2EFDA"/>
            <w:noWrap/>
            <w:vAlign w:val="center"/>
            <w:hideMark/>
          </w:tcPr>
          <w:p w:rsidR="00AC49CE" w:rsidRDefault="00AC49CE" w:rsidP="00AC49CE">
            <w:pPr>
              <w:rPr>
                <w:rFonts w:ascii="Arial Narrow" w:hAnsi="Arial Narrow"/>
                <w:b/>
                <w:bCs/>
                <w:sz w:val="18"/>
                <w:szCs w:val="18"/>
              </w:rPr>
            </w:pPr>
            <w:r>
              <w:rPr>
                <w:rFonts w:ascii="Arial Narrow" w:hAnsi="Arial Narrow"/>
                <w:b/>
                <w:bCs/>
                <w:sz w:val="18"/>
                <w:szCs w:val="18"/>
              </w:rPr>
              <w:t>Vecné dávky</w:t>
            </w:r>
          </w:p>
        </w:tc>
        <w:tc>
          <w:tcPr>
            <w:tcW w:w="728" w:type="dxa"/>
            <w:tcBorders>
              <w:top w:val="nil"/>
              <w:left w:val="nil"/>
              <w:bottom w:val="nil"/>
              <w:right w:val="single" w:sz="4" w:space="0" w:color="FF0000"/>
            </w:tcBorders>
            <w:shd w:val="clear" w:color="000000" w:fill="E2EFDA"/>
            <w:noWrap/>
            <w:vAlign w:val="bottom"/>
            <w:hideMark/>
          </w:tcPr>
          <w:p w:rsidR="00AC49CE" w:rsidRDefault="00AC49CE" w:rsidP="00AC49CE">
            <w:pPr>
              <w:jc w:val="right"/>
              <w:rPr>
                <w:rFonts w:ascii="Arial Narrow" w:hAnsi="Arial Narrow" w:cs="Calibri"/>
                <w:b/>
                <w:bCs/>
                <w:sz w:val="18"/>
                <w:szCs w:val="18"/>
                <w:lang w:eastAsia="sk-SK"/>
              </w:rPr>
            </w:pPr>
            <w:r>
              <w:rPr>
                <w:rFonts w:ascii="Arial Narrow" w:hAnsi="Arial Narrow" w:cs="Calibri"/>
                <w:b/>
                <w:bCs/>
                <w:sz w:val="18"/>
                <w:szCs w:val="18"/>
              </w:rPr>
              <w:t>281,0</w:t>
            </w:r>
          </w:p>
        </w:tc>
        <w:tc>
          <w:tcPr>
            <w:tcW w:w="708" w:type="dxa"/>
            <w:tcBorders>
              <w:top w:val="nil"/>
              <w:left w:val="nil"/>
              <w:bottom w:val="nil"/>
              <w:right w:val="single" w:sz="4" w:space="0" w:color="FF0000"/>
            </w:tcBorders>
            <w:shd w:val="clear" w:color="000000" w:fill="E2EFDA"/>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20,5</w:t>
            </w:r>
          </w:p>
        </w:tc>
        <w:tc>
          <w:tcPr>
            <w:tcW w:w="709" w:type="dxa"/>
            <w:tcBorders>
              <w:top w:val="nil"/>
              <w:left w:val="nil"/>
              <w:bottom w:val="nil"/>
              <w:right w:val="single" w:sz="4" w:space="0" w:color="FF0000"/>
            </w:tcBorders>
            <w:shd w:val="clear" w:color="000000" w:fill="E2EFDA"/>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44,5</w:t>
            </w:r>
          </w:p>
        </w:tc>
        <w:tc>
          <w:tcPr>
            <w:tcW w:w="709" w:type="dxa"/>
            <w:tcBorders>
              <w:top w:val="nil"/>
              <w:left w:val="nil"/>
              <w:bottom w:val="nil"/>
              <w:right w:val="single" w:sz="4" w:space="0" w:color="FF0000"/>
            </w:tcBorders>
            <w:shd w:val="clear" w:color="000000" w:fill="E2EFDA"/>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71,0</w:t>
            </w:r>
          </w:p>
        </w:tc>
        <w:tc>
          <w:tcPr>
            <w:tcW w:w="567" w:type="dxa"/>
            <w:tcBorders>
              <w:top w:val="nil"/>
              <w:left w:val="nil"/>
              <w:bottom w:val="nil"/>
              <w:right w:val="single" w:sz="4" w:space="0" w:color="FF0000"/>
            </w:tcBorders>
            <w:shd w:val="clear" w:color="000000" w:fill="E2EFDA"/>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0,3</w:t>
            </w:r>
          </w:p>
        </w:tc>
        <w:tc>
          <w:tcPr>
            <w:tcW w:w="850" w:type="dxa"/>
            <w:tcBorders>
              <w:top w:val="nil"/>
              <w:left w:val="nil"/>
              <w:bottom w:val="nil"/>
              <w:right w:val="nil"/>
            </w:tcBorders>
            <w:shd w:val="clear" w:color="000000" w:fill="E2EFDA"/>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104,4</w:t>
            </w:r>
          </w:p>
        </w:tc>
      </w:tr>
      <w:tr w:rsidR="00AC49CE" w:rsidTr="00CE6F2A">
        <w:trPr>
          <w:trHeight w:val="255"/>
        </w:trPr>
        <w:tc>
          <w:tcPr>
            <w:tcW w:w="183" w:type="dxa"/>
            <w:tcBorders>
              <w:top w:val="nil"/>
              <w:left w:val="nil"/>
              <w:bottom w:val="nil"/>
              <w:right w:val="nil"/>
            </w:tcBorders>
            <w:shd w:val="clear" w:color="auto" w:fill="auto"/>
            <w:noWrap/>
            <w:vAlign w:val="bottom"/>
            <w:hideMark/>
          </w:tcPr>
          <w:p w:rsidR="00AC49CE" w:rsidRDefault="00AC49CE" w:rsidP="00AC49CE">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160"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4276" w:type="dxa"/>
            <w:gridSpan w:val="2"/>
            <w:tcBorders>
              <w:top w:val="nil"/>
              <w:left w:val="nil"/>
              <w:bottom w:val="nil"/>
              <w:right w:val="single" w:sz="4" w:space="0" w:color="FF0000"/>
            </w:tcBorders>
            <w:shd w:val="clear" w:color="auto" w:fill="auto"/>
            <w:noWrap/>
            <w:vAlign w:val="center"/>
            <w:hideMark/>
          </w:tcPr>
          <w:p w:rsidR="00AC49CE" w:rsidRDefault="00AC49CE" w:rsidP="00AC49CE">
            <w:pPr>
              <w:rPr>
                <w:rFonts w:ascii="Arial Narrow" w:hAnsi="Arial Narrow"/>
                <w:sz w:val="18"/>
                <w:szCs w:val="18"/>
              </w:rPr>
            </w:pPr>
            <w:r>
              <w:rPr>
                <w:rFonts w:ascii="Arial Narrow" w:hAnsi="Arial Narrow"/>
                <w:sz w:val="18"/>
                <w:szCs w:val="18"/>
              </w:rPr>
              <w:t>Ubytovanie</w:t>
            </w:r>
          </w:p>
        </w:tc>
        <w:tc>
          <w:tcPr>
            <w:tcW w:w="72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lang w:eastAsia="sk-SK"/>
              </w:rPr>
            </w:pPr>
            <w:r>
              <w:rPr>
                <w:rFonts w:ascii="Arial Narrow" w:hAnsi="Arial Narrow" w:cs="Calibri"/>
                <w:sz w:val="18"/>
                <w:szCs w:val="18"/>
              </w:rPr>
              <w:t>237,2</w:t>
            </w:r>
          </w:p>
        </w:tc>
        <w:tc>
          <w:tcPr>
            <w:tcW w:w="70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17,3</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37,5</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59,9</w:t>
            </w:r>
          </w:p>
        </w:tc>
        <w:tc>
          <w:tcPr>
            <w:tcW w:w="567"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0,3</w:t>
            </w:r>
          </w:p>
        </w:tc>
        <w:tc>
          <w:tcPr>
            <w:tcW w:w="850" w:type="dxa"/>
            <w:tcBorders>
              <w:top w:val="nil"/>
              <w:left w:val="nil"/>
              <w:bottom w:val="nil"/>
              <w:right w:val="nil"/>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103,4</w:t>
            </w:r>
          </w:p>
        </w:tc>
      </w:tr>
      <w:tr w:rsidR="004F1C67" w:rsidTr="00CE6F2A">
        <w:trPr>
          <w:trHeight w:val="255"/>
        </w:trPr>
        <w:tc>
          <w:tcPr>
            <w:tcW w:w="183" w:type="dxa"/>
            <w:tcBorders>
              <w:top w:val="nil"/>
              <w:left w:val="nil"/>
              <w:bottom w:val="nil"/>
              <w:right w:val="nil"/>
            </w:tcBorders>
            <w:shd w:val="clear" w:color="auto" w:fill="auto"/>
            <w:noWrap/>
            <w:vAlign w:val="bottom"/>
            <w:hideMark/>
          </w:tcPr>
          <w:p w:rsidR="004F1C67" w:rsidRDefault="004F1C67" w:rsidP="004F1C67">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4F1C67" w:rsidRDefault="004F1C67" w:rsidP="004F1C67">
            <w:pPr>
              <w:rPr>
                <w:sz w:val="20"/>
                <w:szCs w:val="20"/>
              </w:rPr>
            </w:pPr>
          </w:p>
        </w:tc>
        <w:tc>
          <w:tcPr>
            <w:tcW w:w="160" w:type="dxa"/>
            <w:tcBorders>
              <w:top w:val="nil"/>
              <w:left w:val="nil"/>
              <w:bottom w:val="nil"/>
              <w:right w:val="nil"/>
            </w:tcBorders>
            <w:shd w:val="clear" w:color="auto" w:fill="auto"/>
            <w:noWrap/>
            <w:vAlign w:val="bottom"/>
            <w:hideMark/>
          </w:tcPr>
          <w:p w:rsidR="004F1C67" w:rsidRDefault="004F1C67" w:rsidP="004F1C67">
            <w:pPr>
              <w:rPr>
                <w:sz w:val="20"/>
                <w:szCs w:val="20"/>
              </w:rPr>
            </w:pPr>
          </w:p>
        </w:tc>
        <w:tc>
          <w:tcPr>
            <w:tcW w:w="4276" w:type="dxa"/>
            <w:gridSpan w:val="2"/>
            <w:tcBorders>
              <w:top w:val="nil"/>
              <w:left w:val="nil"/>
              <w:bottom w:val="nil"/>
              <w:right w:val="single" w:sz="4" w:space="0" w:color="FF0000"/>
            </w:tcBorders>
            <w:shd w:val="clear" w:color="auto" w:fill="auto"/>
            <w:noWrap/>
            <w:vAlign w:val="center"/>
            <w:hideMark/>
          </w:tcPr>
          <w:p w:rsidR="004F1C67" w:rsidRDefault="004F1C67" w:rsidP="004F1C67">
            <w:pPr>
              <w:rPr>
                <w:rFonts w:ascii="Arial Narrow" w:hAnsi="Arial Narrow"/>
                <w:sz w:val="18"/>
                <w:szCs w:val="18"/>
              </w:rPr>
            </w:pPr>
            <w:r>
              <w:rPr>
                <w:rFonts w:ascii="Arial Narrow" w:hAnsi="Arial Narrow"/>
                <w:sz w:val="18"/>
                <w:szCs w:val="18"/>
              </w:rPr>
              <w:t>Pomoc pri vykonávaní každodenných činností</w:t>
            </w:r>
          </w:p>
        </w:tc>
        <w:tc>
          <w:tcPr>
            <w:tcW w:w="728"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567" w:type="dxa"/>
            <w:tcBorders>
              <w:top w:val="nil"/>
              <w:left w:val="nil"/>
              <w:bottom w:val="nil"/>
              <w:right w:val="single" w:sz="4" w:space="0" w:color="FF0000"/>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nil"/>
            </w:tcBorders>
            <w:shd w:val="clear" w:color="auto" w:fill="auto"/>
            <w:noWrap/>
            <w:vAlign w:val="bottom"/>
            <w:hideMark/>
          </w:tcPr>
          <w:p w:rsidR="004F1C67" w:rsidRDefault="004F1C67" w:rsidP="004F1C67">
            <w:pPr>
              <w:jc w:val="right"/>
              <w:rPr>
                <w:rFonts w:ascii="Arial Narrow" w:hAnsi="Arial Narrow"/>
                <w:sz w:val="18"/>
                <w:szCs w:val="18"/>
              </w:rPr>
            </w:pPr>
            <w:r>
              <w:rPr>
                <w:rFonts w:ascii="Arial Narrow" w:hAnsi="Arial Narrow"/>
                <w:sz w:val="18"/>
                <w:szCs w:val="18"/>
              </w:rPr>
              <w:t>x</w:t>
            </w:r>
          </w:p>
        </w:tc>
      </w:tr>
      <w:tr w:rsidR="00AC49CE" w:rsidTr="00CE6F2A">
        <w:trPr>
          <w:trHeight w:val="255"/>
        </w:trPr>
        <w:tc>
          <w:tcPr>
            <w:tcW w:w="183" w:type="dxa"/>
            <w:tcBorders>
              <w:top w:val="nil"/>
              <w:left w:val="nil"/>
              <w:bottom w:val="nil"/>
              <w:right w:val="nil"/>
            </w:tcBorders>
            <w:shd w:val="clear" w:color="auto" w:fill="auto"/>
            <w:noWrap/>
            <w:vAlign w:val="bottom"/>
            <w:hideMark/>
          </w:tcPr>
          <w:p w:rsidR="00AC49CE" w:rsidRDefault="00AC49CE" w:rsidP="00AC49CE">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160"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4276" w:type="dxa"/>
            <w:gridSpan w:val="2"/>
            <w:tcBorders>
              <w:top w:val="nil"/>
              <w:left w:val="nil"/>
              <w:bottom w:val="nil"/>
              <w:right w:val="single" w:sz="4" w:space="0" w:color="FF0000"/>
            </w:tcBorders>
            <w:shd w:val="clear" w:color="auto" w:fill="auto"/>
            <w:noWrap/>
            <w:vAlign w:val="center"/>
            <w:hideMark/>
          </w:tcPr>
          <w:p w:rsidR="00AC49CE" w:rsidRDefault="00AC49CE" w:rsidP="00AC49CE">
            <w:pPr>
              <w:rPr>
                <w:rFonts w:ascii="Arial Narrow" w:hAnsi="Arial Narrow"/>
                <w:sz w:val="18"/>
                <w:szCs w:val="18"/>
              </w:rPr>
            </w:pPr>
            <w:r>
              <w:rPr>
                <w:rFonts w:ascii="Arial Narrow" w:hAnsi="Arial Narrow"/>
                <w:sz w:val="18"/>
                <w:szCs w:val="18"/>
              </w:rPr>
              <w:t>Rehabilitácia</w:t>
            </w:r>
          </w:p>
        </w:tc>
        <w:tc>
          <w:tcPr>
            <w:tcW w:w="72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lang w:eastAsia="sk-SK"/>
              </w:rPr>
            </w:pPr>
            <w:r>
              <w:rPr>
                <w:rFonts w:ascii="Arial Narrow" w:hAnsi="Arial Narrow" w:cs="Calibri"/>
                <w:sz w:val="18"/>
                <w:szCs w:val="18"/>
              </w:rPr>
              <w:t>6,0</w:t>
            </w:r>
          </w:p>
        </w:tc>
        <w:tc>
          <w:tcPr>
            <w:tcW w:w="70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0,4</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0,9</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1,5</w:t>
            </w:r>
          </w:p>
        </w:tc>
        <w:tc>
          <w:tcPr>
            <w:tcW w:w="567"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nil"/>
            </w:tcBorders>
            <w:shd w:val="clear" w:color="auto" w:fill="auto"/>
            <w:noWrap/>
            <w:vAlign w:val="bottom"/>
            <w:hideMark/>
          </w:tcPr>
          <w:p w:rsidR="00AC49CE" w:rsidRDefault="004F1C67" w:rsidP="00AC49CE">
            <w:pPr>
              <w:jc w:val="right"/>
              <w:rPr>
                <w:rFonts w:ascii="Arial Narrow" w:hAnsi="Arial Narrow" w:cs="Calibri"/>
                <w:sz w:val="18"/>
                <w:szCs w:val="18"/>
              </w:rPr>
            </w:pPr>
            <w:r>
              <w:rPr>
                <w:rFonts w:ascii="Arial Narrow" w:hAnsi="Arial Narrow" w:cs="Calibri"/>
                <w:sz w:val="18"/>
                <w:szCs w:val="18"/>
              </w:rPr>
              <w:t>105,3</w:t>
            </w:r>
          </w:p>
        </w:tc>
      </w:tr>
      <w:tr w:rsidR="00AC49CE" w:rsidTr="00CE6F2A">
        <w:trPr>
          <w:trHeight w:val="255"/>
        </w:trPr>
        <w:tc>
          <w:tcPr>
            <w:tcW w:w="183" w:type="dxa"/>
            <w:tcBorders>
              <w:top w:val="nil"/>
              <w:left w:val="nil"/>
              <w:bottom w:val="nil"/>
              <w:right w:val="nil"/>
            </w:tcBorders>
            <w:shd w:val="clear" w:color="auto" w:fill="auto"/>
            <w:noWrap/>
            <w:vAlign w:val="bottom"/>
            <w:hideMark/>
          </w:tcPr>
          <w:p w:rsidR="00AC49CE" w:rsidRDefault="00AC49CE" w:rsidP="00AC49CE">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160"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4276" w:type="dxa"/>
            <w:gridSpan w:val="2"/>
            <w:tcBorders>
              <w:top w:val="nil"/>
              <w:left w:val="nil"/>
              <w:bottom w:val="nil"/>
              <w:right w:val="single" w:sz="4" w:space="0" w:color="FF0000"/>
            </w:tcBorders>
            <w:shd w:val="clear" w:color="auto" w:fill="auto"/>
            <w:noWrap/>
            <w:vAlign w:val="center"/>
            <w:hideMark/>
          </w:tcPr>
          <w:p w:rsidR="00AC49CE" w:rsidRDefault="00AC49CE" w:rsidP="00AC49CE">
            <w:pPr>
              <w:rPr>
                <w:rFonts w:ascii="Arial Narrow" w:hAnsi="Arial Narrow"/>
                <w:sz w:val="18"/>
                <w:szCs w:val="18"/>
              </w:rPr>
            </w:pPr>
            <w:r>
              <w:rPr>
                <w:rFonts w:ascii="Arial Narrow" w:hAnsi="Arial Narrow"/>
                <w:sz w:val="18"/>
                <w:szCs w:val="18"/>
              </w:rPr>
              <w:t>Iné vecné dávky</w:t>
            </w:r>
          </w:p>
        </w:tc>
        <w:tc>
          <w:tcPr>
            <w:tcW w:w="72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lang w:eastAsia="sk-SK"/>
              </w:rPr>
            </w:pPr>
            <w:r>
              <w:rPr>
                <w:rFonts w:ascii="Arial Narrow" w:hAnsi="Arial Narrow" w:cs="Calibri"/>
                <w:sz w:val="18"/>
                <w:szCs w:val="18"/>
              </w:rPr>
              <w:t>37,8</w:t>
            </w:r>
          </w:p>
        </w:tc>
        <w:tc>
          <w:tcPr>
            <w:tcW w:w="70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2,8</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6,0</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9,6</w:t>
            </w:r>
          </w:p>
        </w:tc>
        <w:tc>
          <w:tcPr>
            <w:tcW w:w="567"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nil"/>
            </w:tcBorders>
            <w:shd w:val="clear" w:color="auto" w:fill="auto"/>
            <w:noWrap/>
            <w:vAlign w:val="bottom"/>
            <w:hideMark/>
          </w:tcPr>
          <w:p w:rsidR="00AC49CE" w:rsidRDefault="004F1C67" w:rsidP="00AC49CE">
            <w:pPr>
              <w:jc w:val="right"/>
              <w:rPr>
                <w:rFonts w:ascii="Arial Narrow" w:hAnsi="Arial Narrow" w:cs="Calibri"/>
                <w:sz w:val="18"/>
                <w:szCs w:val="18"/>
              </w:rPr>
            </w:pPr>
            <w:r>
              <w:rPr>
                <w:rFonts w:ascii="Arial Narrow" w:hAnsi="Arial Narrow" w:cs="Calibri"/>
                <w:sz w:val="18"/>
                <w:szCs w:val="18"/>
              </w:rPr>
              <w:t>110,9</w:t>
            </w:r>
          </w:p>
        </w:tc>
      </w:tr>
      <w:tr w:rsidR="00AC49CE" w:rsidTr="004F1C67">
        <w:trPr>
          <w:trHeight w:val="255"/>
        </w:trPr>
        <w:tc>
          <w:tcPr>
            <w:tcW w:w="183" w:type="dxa"/>
            <w:tcBorders>
              <w:top w:val="nil"/>
              <w:left w:val="nil"/>
              <w:bottom w:val="nil"/>
              <w:right w:val="nil"/>
            </w:tcBorders>
            <w:shd w:val="clear" w:color="auto" w:fill="C5E0B3" w:themeFill="accent6" w:themeFillTint="66"/>
            <w:noWrap/>
            <w:vAlign w:val="bottom"/>
            <w:hideMark/>
          </w:tcPr>
          <w:p w:rsidR="00AC49CE" w:rsidRDefault="00AC49CE" w:rsidP="00AC49CE">
            <w:pPr>
              <w:rPr>
                <w:rFonts w:ascii="Arial Narrow" w:hAnsi="Arial Narrow"/>
                <w:b/>
                <w:bCs/>
                <w:color w:val="FFFFFF"/>
                <w:sz w:val="18"/>
                <w:szCs w:val="18"/>
              </w:rPr>
            </w:pPr>
            <w:r>
              <w:rPr>
                <w:rFonts w:ascii="Arial Narrow" w:hAnsi="Arial Narrow"/>
                <w:b/>
                <w:bCs/>
                <w:color w:val="FFFFFF"/>
                <w:sz w:val="18"/>
                <w:szCs w:val="18"/>
              </w:rPr>
              <w:t> </w:t>
            </w:r>
          </w:p>
        </w:tc>
        <w:tc>
          <w:tcPr>
            <w:tcW w:w="4618" w:type="dxa"/>
            <w:gridSpan w:val="4"/>
            <w:tcBorders>
              <w:top w:val="nil"/>
              <w:left w:val="nil"/>
              <w:bottom w:val="nil"/>
              <w:right w:val="single" w:sz="4" w:space="0" w:color="FF0000"/>
            </w:tcBorders>
            <w:shd w:val="clear" w:color="auto" w:fill="C5E0B3" w:themeFill="accent6" w:themeFillTint="66"/>
            <w:noWrap/>
            <w:vAlign w:val="center"/>
            <w:hideMark/>
          </w:tcPr>
          <w:p w:rsidR="00AC49CE" w:rsidRDefault="00AC49CE" w:rsidP="00AC49CE">
            <w:pPr>
              <w:rPr>
                <w:rFonts w:ascii="Arial Narrow" w:hAnsi="Arial Narrow"/>
                <w:b/>
                <w:bCs/>
                <w:sz w:val="18"/>
                <w:szCs w:val="18"/>
              </w:rPr>
            </w:pPr>
            <w:r>
              <w:rPr>
                <w:rFonts w:ascii="Arial Narrow" w:hAnsi="Arial Narrow"/>
                <w:b/>
                <w:bCs/>
                <w:sz w:val="18"/>
                <w:szCs w:val="18"/>
              </w:rPr>
              <w:t>Testované dávky na príjem</w:t>
            </w:r>
          </w:p>
        </w:tc>
        <w:tc>
          <w:tcPr>
            <w:tcW w:w="728" w:type="dxa"/>
            <w:tcBorders>
              <w:top w:val="nil"/>
              <w:left w:val="nil"/>
              <w:bottom w:val="nil"/>
              <w:right w:val="single" w:sz="4" w:space="0" w:color="FF0000"/>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lang w:eastAsia="sk-SK"/>
              </w:rPr>
            </w:pPr>
            <w:r>
              <w:rPr>
                <w:rFonts w:ascii="Arial Narrow" w:hAnsi="Arial Narrow" w:cs="Calibri"/>
                <w:b/>
                <w:bCs/>
                <w:sz w:val="18"/>
                <w:szCs w:val="18"/>
              </w:rPr>
              <w:t>159,9</w:t>
            </w:r>
          </w:p>
        </w:tc>
        <w:tc>
          <w:tcPr>
            <w:tcW w:w="708" w:type="dxa"/>
            <w:tcBorders>
              <w:top w:val="nil"/>
              <w:left w:val="nil"/>
              <w:bottom w:val="nil"/>
              <w:right w:val="single" w:sz="4" w:space="0" w:color="FF0000"/>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11,7</w:t>
            </w:r>
          </w:p>
        </w:tc>
        <w:tc>
          <w:tcPr>
            <w:tcW w:w="709" w:type="dxa"/>
            <w:tcBorders>
              <w:top w:val="nil"/>
              <w:left w:val="nil"/>
              <w:bottom w:val="nil"/>
              <w:right w:val="single" w:sz="4" w:space="0" w:color="FF0000"/>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25,3</w:t>
            </w:r>
          </w:p>
        </w:tc>
        <w:tc>
          <w:tcPr>
            <w:tcW w:w="709" w:type="dxa"/>
            <w:tcBorders>
              <w:top w:val="nil"/>
              <w:left w:val="nil"/>
              <w:bottom w:val="nil"/>
              <w:right w:val="single" w:sz="4" w:space="0" w:color="FF0000"/>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40,4</w:t>
            </w:r>
          </w:p>
        </w:tc>
        <w:tc>
          <w:tcPr>
            <w:tcW w:w="567" w:type="dxa"/>
            <w:tcBorders>
              <w:top w:val="nil"/>
              <w:left w:val="nil"/>
              <w:bottom w:val="nil"/>
              <w:right w:val="single" w:sz="4" w:space="0" w:color="FF0000"/>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0,2</w:t>
            </w:r>
          </w:p>
        </w:tc>
        <w:tc>
          <w:tcPr>
            <w:tcW w:w="850" w:type="dxa"/>
            <w:tcBorders>
              <w:top w:val="nil"/>
              <w:left w:val="nil"/>
              <w:bottom w:val="nil"/>
              <w:right w:val="nil"/>
            </w:tcBorders>
            <w:shd w:val="clear" w:color="auto" w:fill="C5E0B3" w:themeFill="accent6" w:themeFillTint="66"/>
            <w:noWrap/>
            <w:vAlign w:val="bottom"/>
            <w:hideMark/>
          </w:tcPr>
          <w:p w:rsidR="00AC49CE" w:rsidRDefault="00AC49CE" w:rsidP="00AC49CE">
            <w:pPr>
              <w:jc w:val="right"/>
              <w:rPr>
                <w:rFonts w:ascii="Arial Narrow" w:hAnsi="Arial Narrow" w:cs="Calibri"/>
                <w:b/>
                <w:bCs/>
                <w:sz w:val="18"/>
                <w:szCs w:val="18"/>
              </w:rPr>
            </w:pPr>
            <w:r>
              <w:rPr>
                <w:rFonts w:ascii="Arial Narrow" w:hAnsi="Arial Narrow" w:cs="Calibri"/>
                <w:b/>
                <w:bCs/>
                <w:sz w:val="18"/>
                <w:szCs w:val="18"/>
              </w:rPr>
              <w:t>102,4</w:t>
            </w:r>
          </w:p>
        </w:tc>
      </w:tr>
      <w:tr w:rsidR="00AC49CE" w:rsidTr="00CE6F2A">
        <w:trPr>
          <w:trHeight w:val="255"/>
        </w:trPr>
        <w:tc>
          <w:tcPr>
            <w:tcW w:w="183" w:type="dxa"/>
            <w:tcBorders>
              <w:top w:val="nil"/>
              <w:left w:val="nil"/>
              <w:bottom w:val="nil"/>
              <w:right w:val="nil"/>
            </w:tcBorders>
            <w:shd w:val="clear" w:color="auto" w:fill="auto"/>
            <w:noWrap/>
            <w:vAlign w:val="bottom"/>
            <w:hideMark/>
          </w:tcPr>
          <w:p w:rsidR="00AC49CE" w:rsidRDefault="00AC49CE" w:rsidP="00AC49CE">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AC49CE" w:rsidRDefault="00AC49CE" w:rsidP="00AC49CE">
            <w:pPr>
              <w:rPr>
                <w:sz w:val="20"/>
                <w:szCs w:val="20"/>
              </w:rPr>
            </w:pPr>
          </w:p>
        </w:tc>
        <w:tc>
          <w:tcPr>
            <w:tcW w:w="4436" w:type="dxa"/>
            <w:gridSpan w:val="3"/>
            <w:tcBorders>
              <w:top w:val="nil"/>
              <w:left w:val="nil"/>
              <w:bottom w:val="nil"/>
              <w:right w:val="single" w:sz="4" w:space="0" w:color="FF0000"/>
            </w:tcBorders>
            <w:shd w:val="clear" w:color="auto" w:fill="auto"/>
            <w:noWrap/>
            <w:vAlign w:val="center"/>
            <w:hideMark/>
          </w:tcPr>
          <w:p w:rsidR="00AC49CE" w:rsidRDefault="00AC49CE" w:rsidP="00AC49CE">
            <w:pPr>
              <w:rPr>
                <w:rFonts w:ascii="Arial Narrow" w:hAnsi="Arial Narrow"/>
                <w:sz w:val="18"/>
                <w:szCs w:val="18"/>
              </w:rPr>
            </w:pPr>
            <w:r>
              <w:rPr>
                <w:rFonts w:ascii="Arial Narrow" w:hAnsi="Arial Narrow"/>
                <w:sz w:val="18"/>
                <w:szCs w:val="18"/>
              </w:rPr>
              <w:t>Peňažné dávky</w:t>
            </w:r>
          </w:p>
        </w:tc>
        <w:tc>
          <w:tcPr>
            <w:tcW w:w="72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lang w:eastAsia="sk-SK"/>
              </w:rPr>
            </w:pPr>
            <w:r>
              <w:rPr>
                <w:rFonts w:ascii="Arial Narrow" w:hAnsi="Arial Narrow" w:cs="Calibri"/>
                <w:sz w:val="18"/>
                <w:szCs w:val="18"/>
              </w:rPr>
              <w:t>159,9</w:t>
            </w:r>
          </w:p>
        </w:tc>
        <w:tc>
          <w:tcPr>
            <w:tcW w:w="708"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11,7</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25,3</w:t>
            </w:r>
          </w:p>
        </w:tc>
        <w:tc>
          <w:tcPr>
            <w:tcW w:w="709"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40,4</w:t>
            </w:r>
          </w:p>
        </w:tc>
        <w:tc>
          <w:tcPr>
            <w:tcW w:w="567" w:type="dxa"/>
            <w:tcBorders>
              <w:top w:val="nil"/>
              <w:left w:val="nil"/>
              <w:bottom w:val="nil"/>
              <w:right w:val="single" w:sz="4" w:space="0" w:color="FF0000"/>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0,2</w:t>
            </w:r>
          </w:p>
        </w:tc>
        <w:tc>
          <w:tcPr>
            <w:tcW w:w="850" w:type="dxa"/>
            <w:tcBorders>
              <w:top w:val="nil"/>
              <w:left w:val="nil"/>
              <w:bottom w:val="nil"/>
              <w:right w:val="nil"/>
            </w:tcBorders>
            <w:shd w:val="clear" w:color="auto" w:fill="auto"/>
            <w:noWrap/>
            <w:vAlign w:val="bottom"/>
            <w:hideMark/>
          </w:tcPr>
          <w:p w:rsidR="00AC49CE" w:rsidRDefault="00AC49CE" w:rsidP="00AC49CE">
            <w:pPr>
              <w:jc w:val="right"/>
              <w:rPr>
                <w:rFonts w:ascii="Arial Narrow" w:hAnsi="Arial Narrow" w:cs="Calibri"/>
                <w:sz w:val="18"/>
                <w:szCs w:val="18"/>
              </w:rPr>
            </w:pPr>
            <w:r>
              <w:rPr>
                <w:rFonts w:ascii="Arial Narrow" w:hAnsi="Arial Narrow" w:cs="Calibri"/>
                <w:sz w:val="18"/>
                <w:szCs w:val="18"/>
              </w:rPr>
              <w:t>102,4</w:t>
            </w:r>
          </w:p>
        </w:tc>
      </w:tr>
      <w:tr w:rsidR="00CE6F2A" w:rsidTr="00CE6F2A">
        <w:trPr>
          <w:trHeight w:val="255"/>
        </w:trPr>
        <w:tc>
          <w:tcPr>
            <w:tcW w:w="183" w:type="dxa"/>
            <w:tcBorders>
              <w:top w:val="nil"/>
              <w:left w:val="nil"/>
              <w:bottom w:val="nil"/>
              <w:right w:val="nil"/>
            </w:tcBorders>
            <w:shd w:val="clear" w:color="auto" w:fill="auto"/>
            <w:noWrap/>
            <w:vAlign w:val="bottom"/>
            <w:hideMark/>
          </w:tcPr>
          <w:p w:rsidR="00CE6F2A" w:rsidRDefault="00CE6F2A">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CE6F2A" w:rsidRDefault="00CE6F2A">
            <w:pPr>
              <w:rPr>
                <w:sz w:val="20"/>
                <w:szCs w:val="20"/>
              </w:rPr>
            </w:pPr>
          </w:p>
        </w:tc>
        <w:tc>
          <w:tcPr>
            <w:tcW w:w="4436" w:type="dxa"/>
            <w:gridSpan w:val="3"/>
            <w:tcBorders>
              <w:top w:val="nil"/>
              <w:left w:val="nil"/>
              <w:bottom w:val="nil"/>
              <w:right w:val="single" w:sz="4" w:space="0" w:color="FF0000"/>
            </w:tcBorders>
            <w:shd w:val="clear" w:color="auto" w:fill="auto"/>
            <w:noWrap/>
            <w:vAlign w:val="center"/>
            <w:hideMark/>
          </w:tcPr>
          <w:p w:rsidR="00CE6F2A" w:rsidRDefault="00CE6F2A">
            <w:pPr>
              <w:rPr>
                <w:rFonts w:ascii="Arial Narrow" w:hAnsi="Arial Narrow"/>
                <w:sz w:val="18"/>
                <w:szCs w:val="18"/>
              </w:rPr>
            </w:pPr>
            <w:r>
              <w:rPr>
                <w:rFonts w:ascii="Arial Narrow" w:hAnsi="Arial Narrow"/>
                <w:sz w:val="18"/>
                <w:szCs w:val="18"/>
              </w:rPr>
              <w:t>Vecné dávky</w:t>
            </w:r>
          </w:p>
        </w:tc>
        <w:tc>
          <w:tcPr>
            <w:tcW w:w="728" w:type="dxa"/>
            <w:tcBorders>
              <w:top w:val="nil"/>
              <w:left w:val="nil"/>
              <w:bottom w:val="nil"/>
              <w:right w:val="single" w:sz="4" w:space="0" w:color="FF0000"/>
            </w:tcBorders>
            <w:shd w:val="clear" w:color="auto" w:fill="auto"/>
            <w:noWrap/>
            <w:vAlign w:val="bottom"/>
            <w:hideMark/>
          </w:tcPr>
          <w:p w:rsidR="00CE6F2A" w:rsidRDefault="00CE6F2A">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CE6F2A" w:rsidRDefault="00CE6F2A">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CE6F2A" w:rsidRDefault="00CE6F2A">
            <w:pPr>
              <w:jc w:val="right"/>
              <w:rPr>
                <w:rFonts w:ascii="Arial Narrow" w:hAnsi="Arial Narrow"/>
                <w:sz w:val="18"/>
                <w:szCs w:val="18"/>
              </w:rPr>
            </w:pPr>
            <w:r>
              <w:rPr>
                <w:rFonts w:ascii="Arial Narrow" w:hAnsi="Arial Narrow"/>
                <w:sz w:val="18"/>
                <w:szCs w:val="18"/>
              </w:rPr>
              <w:t>0,0</w:t>
            </w:r>
          </w:p>
        </w:tc>
        <w:tc>
          <w:tcPr>
            <w:tcW w:w="709" w:type="dxa"/>
            <w:tcBorders>
              <w:top w:val="nil"/>
              <w:left w:val="nil"/>
              <w:bottom w:val="nil"/>
              <w:right w:val="single" w:sz="4" w:space="0" w:color="FF0000"/>
            </w:tcBorders>
            <w:shd w:val="clear" w:color="auto" w:fill="auto"/>
            <w:noWrap/>
            <w:vAlign w:val="bottom"/>
            <w:hideMark/>
          </w:tcPr>
          <w:p w:rsidR="00CE6F2A" w:rsidRDefault="00CE6F2A">
            <w:pPr>
              <w:jc w:val="right"/>
              <w:rPr>
                <w:rFonts w:ascii="Arial Narrow" w:hAnsi="Arial Narrow"/>
                <w:sz w:val="18"/>
                <w:szCs w:val="18"/>
              </w:rPr>
            </w:pPr>
            <w:r>
              <w:rPr>
                <w:rFonts w:ascii="Arial Narrow" w:hAnsi="Arial Narrow"/>
                <w:sz w:val="18"/>
                <w:szCs w:val="18"/>
              </w:rPr>
              <w:t>0,0</w:t>
            </w:r>
          </w:p>
        </w:tc>
        <w:tc>
          <w:tcPr>
            <w:tcW w:w="567" w:type="dxa"/>
            <w:tcBorders>
              <w:top w:val="nil"/>
              <w:left w:val="nil"/>
              <w:bottom w:val="nil"/>
              <w:right w:val="single" w:sz="4" w:space="0" w:color="FF0000"/>
            </w:tcBorders>
            <w:shd w:val="clear" w:color="auto" w:fill="auto"/>
            <w:noWrap/>
            <w:vAlign w:val="bottom"/>
            <w:hideMark/>
          </w:tcPr>
          <w:p w:rsidR="00CE6F2A" w:rsidRDefault="00CE6F2A">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nil"/>
            </w:tcBorders>
            <w:shd w:val="clear" w:color="auto" w:fill="auto"/>
            <w:noWrap/>
            <w:vAlign w:val="bottom"/>
            <w:hideMark/>
          </w:tcPr>
          <w:p w:rsidR="00CE6F2A" w:rsidRDefault="00CE6F2A">
            <w:pPr>
              <w:jc w:val="right"/>
              <w:rPr>
                <w:rFonts w:ascii="Arial Narrow" w:hAnsi="Arial Narrow"/>
                <w:sz w:val="18"/>
                <w:szCs w:val="18"/>
              </w:rPr>
            </w:pPr>
            <w:r>
              <w:rPr>
                <w:rFonts w:ascii="Arial Narrow" w:hAnsi="Arial Narrow"/>
                <w:sz w:val="18"/>
                <w:szCs w:val="18"/>
              </w:rPr>
              <w:t>x</w:t>
            </w:r>
          </w:p>
        </w:tc>
      </w:tr>
    </w:tbl>
    <w:p w:rsidR="0042276E" w:rsidRPr="0042276E" w:rsidRDefault="0042276E" w:rsidP="0042276E">
      <w:pPr>
        <w:rPr>
          <w:rFonts w:ascii="Arial Narrow" w:hAnsi="Arial Narrow" w:cs="Arial"/>
          <w:i/>
          <w:sz w:val="10"/>
          <w:szCs w:val="10"/>
        </w:rPr>
      </w:pPr>
    </w:p>
    <w:p w:rsidR="00581E05" w:rsidRPr="0042276E" w:rsidRDefault="00581E05" w:rsidP="0042276E">
      <w:pPr>
        <w:rPr>
          <w:rFonts w:ascii="Arial Narrow" w:hAnsi="Arial Narrow" w:cs="Arial"/>
          <w:i/>
          <w:sz w:val="15"/>
          <w:szCs w:val="15"/>
        </w:rPr>
      </w:pPr>
      <w:r w:rsidRPr="0042276E">
        <w:rPr>
          <w:rFonts w:ascii="Arial Narrow" w:hAnsi="Arial Narrow" w:cs="Arial"/>
          <w:i/>
          <w:sz w:val="15"/>
          <w:szCs w:val="15"/>
        </w:rPr>
        <w:t>Zdroj: ŠÚ SR – ESSPROS</w:t>
      </w:r>
    </w:p>
    <w:p w:rsidR="00F937A0" w:rsidRPr="00524C98" w:rsidRDefault="00F937A0" w:rsidP="00524C98">
      <w:pPr>
        <w:jc w:val="both"/>
        <w:rPr>
          <w:rFonts w:ascii="Arial Narrow" w:hAnsi="Arial Narrow"/>
          <w:sz w:val="20"/>
          <w:szCs w:val="20"/>
        </w:rPr>
      </w:pPr>
    </w:p>
    <w:p w:rsidR="00AE3EB7" w:rsidRDefault="00AE3EB7" w:rsidP="00AE3EB7">
      <w:pPr>
        <w:ind w:firstLine="708"/>
        <w:jc w:val="both"/>
        <w:rPr>
          <w:rFonts w:ascii="Arial Narrow" w:hAnsi="Arial Narrow"/>
          <w:sz w:val="22"/>
          <w:szCs w:val="22"/>
        </w:rPr>
      </w:pPr>
      <w:r>
        <w:rPr>
          <w:rFonts w:ascii="Arial Narrow" w:hAnsi="Arial Narrow"/>
          <w:sz w:val="22"/>
          <w:szCs w:val="22"/>
        </w:rPr>
        <w:t xml:space="preserve">Najväčšie výdavky na sociálne dávky na účel </w:t>
      </w:r>
      <w:r w:rsidR="005F6470">
        <w:rPr>
          <w:rFonts w:ascii="Arial Narrow" w:hAnsi="Arial Narrow"/>
          <w:sz w:val="22"/>
          <w:szCs w:val="22"/>
        </w:rPr>
        <w:t>zdravotného postihnutia tvoria i</w:t>
      </w:r>
      <w:r>
        <w:rPr>
          <w:rFonts w:ascii="Arial Narrow" w:hAnsi="Arial Narrow"/>
          <w:sz w:val="22"/>
          <w:szCs w:val="22"/>
        </w:rPr>
        <w:t>nvalidné dôchodky. V roku 2019 medziročne narástli tieto dôchodky o 2,5</w:t>
      </w:r>
      <w:r w:rsidR="009C31FA">
        <w:rPr>
          <w:rFonts w:ascii="Arial Narrow" w:hAnsi="Arial Narrow"/>
          <w:sz w:val="22"/>
          <w:szCs w:val="22"/>
        </w:rPr>
        <w:t xml:space="preserve"> </w:t>
      </w:r>
      <w:r>
        <w:rPr>
          <w:rFonts w:ascii="Arial Narrow" w:hAnsi="Arial Narrow"/>
          <w:sz w:val="22"/>
          <w:szCs w:val="22"/>
        </w:rPr>
        <w:t>% a tvorili 63,1</w:t>
      </w:r>
      <w:r w:rsidR="009C31FA">
        <w:rPr>
          <w:rFonts w:ascii="Arial Narrow" w:hAnsi="Arial Narrow"/>
          <w:sz w:val="22"/>
          <w:szCs w:val="22"/>
        </w:rPr>
        <w:t xml:space="preserve"> </w:t>
      </w:r>
      <w:r>
        <w:rPr>
          <w:rFonts w:ascii="Arial Narrow" w:hAnsi="Arial Narrow"/>
          <w:sz w:val="22"/>
          <w:szCs w:val="22"/>
        </w:rPr>
        <w:t xml:space="preserve">% zo všetkých výdavkov na </w:t>
      </w:r>
      <w:r w:rsidR="005F6470">
        <w:rPr>
          <w:rFonts w:ascii="Arial Narrow" w:hAnsi="Arial Narrow"/>
          <w:sz w:val="22"/>
          <w:szCs w:val="22"/>
        </w:rPr>
        <w:t xml:space="preserve">sociálne dávky na účel </w:t>
      </w:r>
      <w:r>
        <w:rPr>
          <w:rFonts w:ascii="Arial Narrow" w:hAnsi="Arial Narrow"/>
          <w:sz w:val="22"/>
          <w:szCs w:val="22"/>
        </w:rPr>
        <w:t>zdravotné</w:t>
      </w:r>
      <w:r w:rsidR="005F6470">
        <w:rPr>
          <w:rFonts w:ascii="Arial Narrow" w:hAnsi="Arial Narrow"/>
          <w:sz w:val="22"/>
          <w:szCs w:val="22"/>
        </w:rPr>
        <w:t>ho postihnutia</w:t>
      </w:r>
      <w:r>
        <w:rPr>
          <w:rFonts w:ascii="Arial Narrow" w:hAnsi="Arial Narrow"/>
          <w:sz w:val="22"/>
          <w:szCs w:val="22"/>
        </w:rPr>
        <w:t>.</w:t>
      </w:r>
    </w:p>
    <w:p w:rsidR="004D1D69" w:rsidRPr="0042276E" w:rsidRDefault="004D1D69" w:rsidP="00AE3EB7">
      <w:pPr>
        <w:ind w:firstLine="708"/>
        <w:jc w:val="both"/>
        <w:rPr>
          <w:rFonts w:ascii="Arial Narrow" w:hAnsi="Arial Narrow"/>
          <w:sz w:val="22"/>
          <w:szCs w:val="22"/>
          <w:highlight w:val="cyan"/>
        </w:rPr>
      </w:pPr>
    </w:p>
    <w:p w:rsidR="004D1D69" w:rsidRPr="0042276E" w:rsidRDefault="004D1D69" w:rsidP="0029520D">
      <w:pPr>
        <w:ind w:firstLine="708"/>
        <w:jc w:val="both"/>
        <w:rPr>
          <w:rFonts w:ascii="Arial Narrow" w:hAnsi="Arial Narrow"/>
          <w:sz w:val="22"/>
          <w:szCs w:val="22"/>
        </w:rPr>
      </w:pPr>
      <w:r w:rsidRPr="0042276E">
        <w:rPr>
          <w:rFonts w:ascii="Arial Narrow" w:hAnsi="Arial Narrow"/>
          <w:sz w:val="22"/>
          <w:szCs w:val="22"/>
        </w:rPr>
        <w:t>Podiel výdavkov na účel zdravotné</w:t>
      </w:r>
      <w:r w:rsidR="009C31FA">
        <w:rPr>
          <w:rFonts w:ascii="Arial Narrow" w:hAnsi="Arial Narrow"/>
          <w:sz w:val="22"/>
          <w:szCs w:val="22"/>
        </w:rPr>
        <w:t>ho postihnutia</w:t>
      </w:r>
      <w:r w:rsidRPr="0042276E">
        <w:rPr>
          <w:rFonts w:ascii="Arial Narrow" w:hAnsi="Arial Narrow"/>
          <w:sz w:val="22"/>
          <w:szCs w:val="22"/>
        </w:rPr>
        <w:t xml:space="preserve"> predstavoval minimum v roku 1998 (6,5 %) a maximum </w:t>
      </w:r>
      <w:r w:rsidRPr="0042276E">
        <w:rPr>
          <w:rFonts w:ascii="Arial Narrow" w:hAnsi="Arial Narrow"/>
          <w:sz w:val="22"/>
          <w:szCs w:val="22"/>
        </w:rPr>
        <w:br/>
        <w:t xml:space="preserve">v rokoch 2008 a 2012 </w:t>
      </w:r>
      <w:r w:rsidR="004B7D25" w:rsidRPr="0042276E">
        <w:rPr>
          <w:rFonts w:ascii="Arial Narrow" w:hAnsi="Arial Narrow"/>
          <w:sz w:val="22"/>
          <w:szCs w:val="22"/>
        </w:rPr>
        <w:t>až</w:t>
      </w:r>
      <w:r w:rsidRPr="0042276E">
        <w:rPr>
          <w:rFonts w:ascii="Arial Narrow" w:hAnsi="Arial Narrow"/>
          <w:sz w:val="22"/>
          <w:szCs w:val="22"/>
        </w:rPr>
        <w:t xml:space="preserve"> 2014 (9,0 %) z celkových výdavkov na sociálne dávky. </w:t>
      </w:r>
    </w:p>
    <w:p w:rsidR="00240206" w:rsidRDefault="00240206" w:rsidP="00B751DE">
      <w:pPr>
        <w:jc w:val="both"/>
        <w:rPr>
          <w:rFonts w:ascii="Arial Narrow" w:hAnsi="Arial Narrow"/>
          <w:sz w:val="12"/>
          <w:szCs w:val="12"/>
          <w:highlight w:val="cyan"/>
        </w:rPr>
      </w:pPr>
    </w:p>
    <w:p w:rsidR="009C31FA" w:rsidRPr="009C31FA" w:rsidRDefault="009C31FA" w:rsidP="009C31FA">
      <w:pPr>
        <w:ind w:firstLine="709"/>
        <w:jc w:val="both"/>
        <w:rPr>
          <w:rFonts w:ascii="Arial Narrow" w:hAnsi="Arial Narrow"/>
          <w:sz w:val="22"/>
          <w:szCs w:val="22"/>
        </w:rPr>
      </w:pPr>
      <w:r w:rsidRPr="009C31FA">
        <w:rPr>
          <w:rFonts w:ascii="Arial Narrow" w:hAnsi="Arial Narrow"/>
          <w:sz w:val="22"/>
          <w:szCs w:val="22"/>
        </w:rPr>
        <w:t xml:space="preserve">Čo sa týka </w:t>
      </w:r>
      <w:r>
        <w:rPr>
          <w:rFonts w:ascii="Arial Narrow" w:hAnsi="Arial Narrow"/>
          <w:sz w:val="22"/>
          <w:szCs w:val="22"/>
        </w:rPr>
        <w:t>týchto výdavkov z hľadiska podielu na HDP sa tento podiel pohybuje v celom sledovanom období (1998</w:t>
      </w:r>
      <w:r w:rsidR="007B7FAB">
        <w:rPr>
          <w:rFonts w:ascii="Arial Narrow" w:hAnsi="Arial Narrow"/>
          <w:sz w:val="22"/>
          <w:szCs w:val="22"/>
        </w:rPr>
        <w:t xml:space="preserve"> </w:t>
      </w:r>
      <w:r>
        <w:rPr>
          <w:rFonts w:ascii="Arial Narrow" w:hAnsi="Arial Narrow"/>
          <w:sz w:val="22"/>
          <w:szCs w:val="22"/>
        </w:rPr>
        <w:t>-</w:t>
      </w:r>
      <w:r w:rsidR="007B7FAB">
        <w:rPr>
          <w:rFonts w:ascii="Arial Narrow" w:hAnsi="Arial Narrow"/>
          <w:sz w:val="22"/>
          <w:szCs w:val="22"/>
        </w:rPr>
        <w:t xml:space="preserve"> </w:t>
      </w:r>
      <w:r>
        <w:rPr>
          <w:rFonts w:ascii="Arial Narrow" w:hAnsi="Arial Narrow"/>
          <w:sz w:val="22"/>
          <w:szCs w:val="22"/>
        </w:rPr>
        <w:t xml:space="preserve">2019) od 1,2 % v roku 1998 po 1,6 % v rokoch 2002, 2012 až 2017. V roku 2019 to bolo 1,5 %.   </w:t>
      </w:r>
    </w:p>
    <w:p w:rsidR="00BC25A4" w:rsidRDefault="00BC25A4" w:rsidP="00B751DE">
      <w:pPr>
        <w:jc w:val="both"/>
        <w:rPr>
          <w:rFonts w:ascii="Arial Narrow" w:hAnsi="Arial Narrow"/>
          <w:sz w:val="12"/>
          <w:szCs w:val="12"/>
          <w:highlight w:val="cyan"/>
        </w:rPr>
      </w:pPr>
    </w:p>
    <w:p w:rsidR="00AE3EB7" w:rsidRDefault="00AE3EB7" w:rsidP="00B751DE">
      <w:pPr>
        <w:jc w:val="both"/>
        <w:rPr>
          <w:rFonts w:ascii="Arial Narrow" w:hAnsi="Arial Narrow"/>
          <w:sz w:val="12"/>
          <w:szCs w:val="12"/>
          <w:highlight w:val="cyan"/>
        </w:rPr>
      </w:pPr>
    </w:p>
    <w:p w:rsidR="00AE3EB7" w:rsidRDefault="00AE3EB7" w:rsidP="00B751DE">
      <w:pPr>
        <w:jc w:val="both"/>
        <w:rPr>
          <w:rFonts w:ascii="Arial Narrow" w:hAnsi="Arial Narrow"/>
          <w:sz w:val="12"/>
          <w:szCs w:val="12"/>
          <w:highlight w:val="cyan"/>
        </w:rPr>
      </w:pPr>
    </w:p>
    <w:p w:rsidR="00BC25A4" w:rsidRDefault="00BC25A4" w:rsidP="00B751DE">
      <w:pPr>
        <w:jc w:val="both"/>
        <w:rPr>
          <w:rFonts w:ascii="Arial Narrow" w:hAnsi="Arial Narrow"/>
          <w:sz w:val="12"/>
          <w:szCs w:val="12"/>
          <w:highlight w:val="cyan"/>
        </w:rPr>
      </w:pPr>
    </w:p>
    <w:p w:rsidR="00BC25A4" w:rsidRDefault="00BC25A4" w:rsidP="00B751DE">
      <w:pPr>
        <w:jc w:val="both"/>
        <w:rPr>
          <w:rFonts w:ascii="Arial Narrow" w:hAnsi="Arial Narrow"/>
          <w:sz w:val="12"/>
          <w:szCs w:val="12"/>
          <w:highlight w:val="cyan"/>
        </w:rPr>
      </w:pPr>
    </w:p>
    <w:p w:rsidR="00BC25A4" w:rsidRDefault="00BC25A4" w:rsidP="00B751DE">
      <w:pPr>
        <w:jc w:val="both"/>
        <w:rPr>
          <w:rFonts w:ascii="Arial Narrow" w:hAnsi="Arial Narrow"/>
          <w:sz w:val="12"/>
          <w:szCs w:val="12"/>
          <w:highlight w:val="cyan"/>
        </w:rPr>
      </w:pPr>
    </w:p>
    <w:p w:rsidR="00BC25A4" w:rsidRDefault="00BC25A4" w:rsidP="00B751DE">
      <w:pPr>
        <w:jc w:val="both"/>
        <w:rPr>
          <w:rFonts w:ascii="Arial Narrow" w:hAnsi="Arial Narrow"/>
          <w:sz w:val="12"/>
          <w:szCs w:val="12"/>
          <w:highlight w:val="cyan"/>
        </w:rPr>
      </w:pPr>
    </w:p>
    <w:p w:rsidR="00BC25A4" w:rsidRDefault="00BC25A4" w:rsidP="00B751DE">
      <w:pPr>
        <w:jc w:val="both"/>
        <w:rPr>
          <w:rFonts w:ascii="Arial Narrow" w:hAnsi="Arial Narrow"/>
          <w:sz w:val="12"/>
          <w:szCs w:val="12"/>
          <w:highlight w:val="cyan"/>
        </w:rPr>
      </w:pPr>
    </w:p>
    <w:p w:rsidR="00BC25A4" w:rsidRDefault="00BC25A4" w:rsidP="00B751DE">
      <w:pPr>
        <w:jc w:val="both"/>
        <w:rPr>
          <w:rFonts w:ascii="Arial Narrow" w:hAnsi="Arial Narrow"/>
          <w:sz w:val="12"/>
          <w:szCs w:val="12"/>
          <w:highlight w:val="cyan"/>
        </w:rPr>
      </w:pPr>
    </w:p>
    <w:p w:rsidR="00D6262B" w:rsidRDefault="00D6262B" w:rsidP="00B751DE">
      <w:pPr>
        <w:jc w:val="both"/>
        <w:rPr>
          <w:rFonts w:ascii="Arial Narrow" w:hAnsi="Arial Narrow"/>
          <w:sz w:val="12"/>
          <w:szCs w:val="12"/>
          <w:highlight w:val="cyan"/>
        </w:rPr>
      </w:pPr>
    </w:p>
    <w:p w:rsidR="00BC25A4" w:rsidRDefault="00BC25A4" w:rsidP="00B751DE">
      <w:pPr>
        <w:jc w:val="both"/>
        <w:rPr>
          <w:rFonts w:ascii="Arial Narrow" w:hAnsi="Arial Narrow"/>
          <w:sz w:val="12"/>
          <w:szCs w:val="12"/>
          <w:highlight w:val="cyan"/>
        </w:rPr>
      </w:pPr>
    </w:p>
    <w:p w:rsidR="00BC25A4" w:rsidRDefault="00BC25A4" w:rsidP="00B751DE">
      <w:pPr>
        <w:jc w:val="both"/>
        <w:rPr>
          <w:rFonts w:ascii="Arial Narrow" w:hAnsi="Arial Narrow"/>
          <w:sz w:val="12"/>
          <w:szCs w:val="12"/>
          <w:highlight w:val="cyan"/>
        </w:rPr>
      </w:pPr>
    </w:p>
    <w:p w:rsidR="00BC25A4" w:rsidRDefault="00BC25A4" w:rsidP="00B751DE">
      <w:pPr>
        <w:jc w:val="both"/>
        <w:rPr>
          <w:rFonts w:ascii="Arial Narrow" w:hAnsi="Arial Narrow"/>
          <w:sz w:val="12"/>
          <w:szCs w:val="12"/>
          <w:highlight w:val="cyan"/>
        </w:rPr>
      </w:pPr>
    </w:p>
    <w:p w:rsidR="007B5246" w:rsidRDefault="00876781" w:rsidP="00B751DE">
      <w:pPr>
        <w:jc w:val="both"/>
        <w:rPr>
          <w:rFonts w:ascii="Arial Narrow" w:hAnsi="Arial Narrow"/>
          <w:b/>
          <w:bCs/>
          <w:color w:val="000000"/>
          <w:sz w:val="20"/>
          <w:szCs w:val="20"/>
        </w:rPr>
      </w:pPr>
      <w:r w:rsidRPr="00B77893">
        <w:rPr>
          <w:rFonts w:ascii="Arial Narrow" w:hAnsi="Arial Narrow"/>
          <w:b/>
          <w:bCs/>
          <w:color w:val="000000"/>
          <w:sz w:val="20"/>
          <w:szCs w:val="20"/>
        </w:rPr>
        <w:lastRenderedPageBreak/>
        <w:t>Graf 1.1</w:t>
      </w:r>
      <w:r w:rsidR="004B7D25" w:rsidRPr="00B77893">
        <w:rPr>
          <w:rFonts w:ascii="Arial Narrow" w:hAnsi="Arial Narrow"/>
          <w:b/>
          <w:bCs/>
          <w:color w:val="000000"/>
          <w:sz w:val="20"/>
          <w:szCs w:val="20"/>
        </w:rPr>
        <w:t>0</w:t>
      </w:r>
      <w:r w:rsidRPr="00B77893">
        <w:rPr>
          <w:rFonts w:ascii="Arial Narrow" w:hAnsi="Arial Narrow"/>
          <w:b/>
          <w:bCs/>
          <w:color w:val="000000"/>
          <w:sz w:val="20"/>
          <w:szCs w:val="20"/>
        </w:rPr>
        <w:t xml:space="preserve">  Výdavky na sociálne dávky v SR na </w:t>
      </w:r>
      <w:r w:rsidR="004B7D25" w:rsidRPr="00B77893">
        <w:rPr>
          <w:rFonts w:ascii="Arial Narrow" w:hAnsi="Arial Narrow"/>
          <w:b/>
          <w:bCs/>
          <w:color w:val="000000"/>
          <w:sz w:val="20"/>
          <w:szCs w:val="20"/>
        </w:rPr>
        <w:t>účel zdravotné postihnutie, 1998</w:t>
      </w:r>
      <w:r w:rsidRPr="00B77893">
        <w:rPr>
          <w:rFonts w:ascii="Arial Narrow" w:hAnsi="Arial Narrow"/>
          <w:b/>
          <w:bCs/>
          <w:color w:val="000000"/>
          <w:sz w:val="20"/>
          <w:szCs w:val="20"/>
        </w:rPr>
        <w:t xml:space="preserve"> </w:t>
      </w:r>
      <w:r w:rsidR="0042276E">
        <w:rPr>
          <w:rFonts w:ascii="Arial Narrow" w:hAnsi="Arial Narrow"/>
          <w:b/>
          <w:bCs/>
          <w:color w:val="000000"/>
          <w:sz w:val="20"/>
          <w:szCs w:val="20"/>
        </w:rPr>
        <w:t>–</w:t>
      </w:r>
      <w:r w:rsidRPr="00B77893">
        <w:rPr>
          <w:rFonts w:ascii="Arial Narrow" w:hAnsi="Arial Narrow"/>
          <w:b/>
          <w:bCs/>
          <w:color w:val="000000"/>
          <w:sz w:val="20"/>
          <w:szCs w:val="20"/>
        </w:rPr>
        <w:t xml:space="preserve"> 201</w:t>
      </w:r>
      <w:r w:rsidR="004B7D25" w:rsidRPr="00B77893">
        <w:rPr>
          <w:rFonts w:ascii="Arial Narrow" w:hAnsi="Arial Narrow"/>
          <w:b/>
          <w:bCs/>
          <w:color w:val="000000"/>
          <w:sz w:val="20"/>
          <w:szCs w:val="20"/>
        </w:rPr>
        <w:t>9</w:t>
      </w:r>
    </w:p>
    <w:p w:rsidR="0042276E" w:rsidRPr="0042276E" w:rsidRDefault="0042276E" w:rsidP="00B751DE">
      <w:pPr>
        <w:jc w:val="both"/>
        <w:rPr>
          <w:rFonts w:ascii="Arial Narrow" w:hAnsi="Arial Narrow"/>
          <w:b/>
          <w:bCs/>
          <w:color w:val="000000"/>
          <w:sz w:val="10"/>
          <w:szCs w:val="10"/>
        </w:rPr>
      </w:pPr>
    </w:p>
    <w:p w:rsidR="00876781" w:rsidRPr="0042276E" w:rsidRDefault="00D74A81" w:rsidP="00B751DE">
      <w:pPr>
        <w:jc w:val="both"/>
        <w:rPr>
          <w:rFonts w:ascii="Arial Narrow" w:hAnsi="Arial Narrow"/>
          <w:b/>
          <w:bCs/>
          <w:color w:val="000000"/>
          <w:sz w:val="20"/>
          <w:szCs w:val="20"/>
          <w:lang w:eastAsia="sk-SK"/>
        </w:rPr>
        <w:sectPr w:rsidR="00876781" w:rsidRPr="0042276E" w:rsidSect="0050625F">
          <w:type w:val="continuous"/>
          <w:pgSz w:w="11906" w:h="16838"/>
          <w:pgMar w:top="1418" w:right="1418" w:bottom="964" w:left="1418" w:header="720" w:footer="720" w:gutter="0"/>
          <w:cols w:space="720"/>
          <w:docGrid w:linePitch="360"/>
        </w:sectPr>
      </w:pPr>
      <w:r>
        <w:rPr>
          <w:noProof/>
          <w:lang w:eastAsia="sk-SK"/>
        </w:rPr>
        <w:drawing>
          <wp:inline distT="0" distB="0" distL="0" distR="0" wp14:anchorId="4ADEAAE2" wp14:editId="3BC81DF9">
            <wp:extent cx="5759450" cy="2934970"/>
            <wp:effectExtent l="0" t="0" r="12700" b="17780"/>
            <wp:docPr id="24" name="Graf 24">
              <a:extLst xmlns:a="http://schemas.openxmlformats.org/drawingml/2006/main">
                <a:ext uri="{FF2B5EF4-FFF2-40B4-BE49-F238E27FC236}">
                  <a16:creationId xmlns:a16="http://schemas.microsoft.com/office/drawing/2014/main" id="{00000000-0008-0000-04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2276E" w:rsidRDefault="00B926FB" w:rsidP="0042276E">
      <w:pPr>
        <w:pStyle w:val="Nadpis6"/>
        <w:jc w:val="both"/>
        <w:rPr>
          <w:rFonts w:ascii="Arial Narrow" w:hAnsi="Arial Narrow"/>
          <w:b w:val="0"/>
          <w:i/>
          <w:sz w:val="15"/>
          <w:szCs w:val="15"/>
        </w:rPr>
      </w:pPr>
      <w:r>
        <w:rPr>
          <w:rFonts w:ascii="Arial Narrow" w:hAnsi="Arial Narrow"/>
          <w:b w:val="0"/>
          <w:i/>
          <w:sz w:val="15"/>
          <w:szCs w:val="15"/>
        </w:rPr>
        <w:lastRenderedPageBreak/>
        <w:t xml:space="preserve"> </w:t>
      </w:r>
    </w:p>
    <w:p w:rsidR="007B5246" w:rsidRPr="00B926FB" w:rsidRDefault="007B5246" w:rsidP="0042276E">
      <w:pPr>
        <w:pStyle w:val="Nadpis6"/>
        <w:jc w:val="both"/>
        <w:rPr>
          <w:rFonts w:ascii="Arial Narrow" w:hAnsi="Arial Narrow"/>
          <w:b w:val="0"/>
          <w:i/>
          <w:sz w:val="15"/>
          <w:szCs w:val="15"/>
        </w:rPr>
      </w:pPr>
      <w:r w:rsidRPr="00B926FB">
        <w:rPr>
          <w:rFonts w:ascii="Arial Narrow" w:hAnsi="Arial Narrow"/>
          <w:b w:val="0"/>
          <w:i/>
          <w:sz w:val="15"/>
          <w:szCs w:val="15"/>
        </w:rPr>
        <w:t xml:space="preserve">Zdroj: ŠÚ SR </w:t>
      </w:r>
      <w:r w:rsidR="00876781" w:rsidRPr="00B926FB">
        <w:rPr>
          <w:rFonts w:ascii="Arial Narrow" w:hAnsi="Arial Narrow"/>
          <w:b w:val="0"/>
          <w:i/>
          <w:sz w:val="15"/>
          <w:szCs w:val="15"/>
        </w:rPr>
        <w:t>-</w:t>
      </w:r>
      <w:r w:rsidRPr="00B926FB">
        <w:rPr>
          <w:rFonts w:ascii="Arial Narrow" w:hAnsi="Arial Narrow"/>
          <w:b w:val="0"/>
          <w:i/>
          <w:sz w:val="15"/>
          <w:szCs w:val="15"/>
        </w:rPr>
        <w:t xml:space="preserve"> ESSPROS</w:t>
      </w:r>
    </w:p>
    <w:p w:rsidR="00F807B9" w:rsidRPr="00945849" w:rsidRDefault="00F807B9" w:rsidP="00F807B9">
      <w:pPr>
        <w:jc w:val="both"/>
        <w:rPr>
          <w:rFonts w:ascii="Arial Narrow" w:hAnsi="Arial Narrow"/>
          <w:sz w:val="20"/>
          <w:szCs w:val="20"/>
        </w:rPr>
      </w:pPr>
    </w:p>
    <w:p w:rsidR="00D3445D" w:rsidRPr="0042276E" w:rsidRDefault="006D7D9E" w:rsidP="007E79FD">
      <w:pPr>
        <w:jc w:val="both"/>
        <w:rPr>
          <w:rFonts w:ascii="Arial Narrow" w:hAnsi="Arial Narrow"/>
        </w:rPr>
      </w:pPr>
      <w:r w:rsidRPr="0042276E">
        <w:rPr>
          <w:rFonts w:ascii="Arial Narrow" w:hAnsi="Arial Narrow"/>
          <w:b/>
        </w:rPr>
        <w:t>1.</w:t>
      </w:r>
      <w:r w:rsidR="007E79FD" w:rsidRPr="0042276E">
        <w:rPr>
          <w:rFonts w:ascii="Arial Narrow" w:hAnsi="Arial Narrow"/>
          <w:b/>
        </w:rPr>
        <w:t>2.3</w:t>
      </w:r>
      <w:r w:rsidR="000848F1" w:rsidRPr="0042276E">
        <w:rPr>
          <w:rFonts w:ascii="Arial Narrow" w:hAnsi="Arial Narrow"/>
          <w:b/>
        </w:rPr>
        <w:t xml:space="preserve"> </w:t>
      </w:r>
      <w:r w:rsidR="00F96D82" w:rsidRPr="0042276E">
        <w:rPr>
          <w:rFonts w:ascii="Arial Narrow" w:hAnsi="Arial Narrow"/>
          <w:b/>
        </w:rPr>
        <w:t xml:space="preserve"> </w:t>
      </w:r>
      <w:r w:rsidR="00DD6E8F" w:rsidRPr="0042276E">
        <w:rPr>
          <w:rFonts w:ascii="Arial Narrow" w:hAnsi="Arial Narrow"/>
          <w:b/>
        </w:rPr>
        <w:t>Výdavky na účel staroba</w:t>
      </w:r>
      <w:r w:rsidR="00D3445D" w:rsidRPr="0042276E">
        <w:rPr>
          <w:rFonts w:ascii="Arial Narrow" w:hAnsi="Arial Narrow"/>
          <w:b/>
        </w:rPr>
        <w:t xml:space="preserve"> </w:t>
      </w:r>
      <w:r w:rsidRPr="0042276E">
        <w:rPr>
          <w:rFonts w:ascii="Arial Narrow" w:hAnsi="Arial Narrow"/>
          <w:b/>
        </w:rPr>
        <w:t>v SR</w:t>
      </w:r>
      <w:r w:rsidRPr="0042276E">
        <w:rPr>
          <w:rFonts w:ascii="Arial Narrow" w:hAnsi="Arial Narrow"/>
        </w:rPr>
        <w:t xml:space="preserve">  </w:t>
      </w:r>
      <w:r w:rsidR="00D3445D" w:rsidRPr="0042276E">
        <w:rPr>
          <w:rFonts w:ascii="Arial Narrow" w:hAnsi="Arial Narrow"/>
        </w:rPr>
        <w:t xml:space="preserve">(Programy sociálnej ochrany č.: </w:t>
      </w:r>
      <w:r w:rsidR="006A4797" w:rsidRPr="0042276E">
        <w:rPr>
          <w:rFonts w:ascii="Arial Narrow" w:hAnsi="Arial Narrow"/>
        </w:rPr>
        <w:t>5, 6, 9,</w:t>
      </w:r>
      <w:r w:rsidR="00D3445D" w:rsidRPr="0042276E">
        <w:rPr>
          <w:rFonts w:ascii="Arial Narrow" w:hAnsi="Arial Narrow"/>
        </w:rPr>
        <w:t xml:space="preserve"> </w:t>
      </w:r>
      <w:r w:rsidR="006A4797" w:rsidRPr="0042276E">
        <w:rPr>
          <w:rFonts w:ascii="Arial Narrow" w:hAnsi="Arial Narrow"/>
        </w:rPr>
        <w:t xml:space="preserve">11, </w:t>
      </w:r>
      <w:r w:rsidR="00D3445D" w:rsidRPr="0042276E">
        <w:rPr>
          <w:rFonts w:ascii="Arial Narrow" w:hAnsi="Arial Narrow"/>
        </w:rPr>
        <w:t>12, 13</w:t>
      </w:r>
      <w:r w:rsidR="006A4797" w:rsidRPr="0042276E">
        <w:rPr>
          <w:rFonts w:ascii="Arial Narrow" w:hAnsi="Arial Narrow"/>
        </w:rPr>
        <w:t>, 14, 15, 18, 20)</w:t>
      </w:r>
    </w:p>
    <w:p w:rsidR="00DD6E8F" w:rsidRPr="00D26F36" w:rsidRDefault="00DD6E8F" w:rsidP="00B751DE">
      <w:pPr>
        <w:jc w:val="both"/>
        <w:rPr>
          <w:rFonts w:ascii="Arial Narrow" w:hAnsi="Arial Narrow"/>
          <w:sz w:val="20"/>
          <w:szCs w:val="20"/>
        </w:rPr>
      </w:pPr>
    </w:p>
    <w:p w:rsidR="001113DE" w:rsidRPr="0042276E" w:rsidRDefault="001113DE" w:rsidP="0020351B">
      <w:pPr>
        <w:rPr>
          <w:rFonts w:ascii="Arial Narrow" w:hAnsi="Arial Narrow"/>
          <w:sz w:val="22"/>
          <w:szCs w:val="22"/>
        </w:rPr>
      </w:pPr>
      <w:r w:rsidRPr="0042276E">
        <w:rPr>
          <w:rFonts w:ascii="Arial Narrow" w:hAnsi="Arial Narrow"/>
          <w:b/>
          <w:sz w:val="22"/>
          <w:szCs w:val="22"/>
        </w:rPr>
        <w:t>Účel staroba pokrýva dávky</w:t>
      </w:r>
      <w:r w:rsidRPr="0042276E">
        <w:rPr>
          <w:rFonts w:ascii="Arial Narrow" w:hAnsi="Arial Narrow"/>
          <w:sz w:val="22"/>
          <w:szCs w:val="22"/>
        </w:rPr>
        <w:t>, ktoré:</w:t>
      </w:r>
    </w:p>
    <w:p w:rsidR="001113DE" w:rsidRPr="0042276E" w:rsidRDefault="001113DE" w:rsidP="0020351B">
      <w:pPr>
        <w:pStyle w:val="Odsekzoznamu"/>
        <w:numPr>
          <w:ilvl w:val="0"/>
          <w:numId w:val="3"/>
        </w:numPr>
        <w:rPr>
          <w:rFonts w:ascii="Arial Narrow" w:hAnsi="Arial Narrow"/>
          <w:sz w:val="22"/>
          <w:szCs w:val="22"/>
        </w:rPr>
      </w:pPr>
      <w:r w:rsidRPr="0042276E">
        <w:rPr>
          <w:rFonts w:ascii="Arial Narrow" w:hAnsi="Arial Narrow"/>
          <w:sz w:val="22"/>
          <w:szCs w:val="22"/>
        </w:rPr>
        <w:t>zabezpečujú náhradu príjmu, keď staršia osoba odíde z trhu práce do dôchodku,</w:t>
      </w:r>
    </w:p>
    <w:p w:rsidR="001113DE" w:rsidRPr="0042276E" w:rsidRDefault="001113DE" w:rsidP="0020351B">
      <w:pPr>
        <w:pStyle w:val="Odsekzoznamu"/>
        <w:numPr>
          <w:ilvl w:val="0"/>
          <w:numId w:val="3"/>
        </w:numPr>
        <w:rPr>
          <w:rFonts w:ascii="Arial Narrow" w:hAnsi="Arial Narrow"/>
          <w:sz w:val="22"/>
          <w:szCs w:val="22"/>
        </w:rPr>
      </w:pPr>
      <w:r w:rsidRPr="0042276E">
        <w:rPr>
          <w:rFonts w:ascii="Arial Narrow" w:hAnsi="Arial Narrow"/>
          <w:sz w:val="22"/>
          <w:szCs w:val="22"/>
        </w:rPr>
        <w:t>garantujú určitý príjem, keď osoba dosiahla predpísaný vek,</w:t>
      </w:r>
    </w:p>
    <w:p w:rsidR="001113DE" w:rsidRPr="0042276E" w:rsidRDefault="001113DE" w:rsidP="0020351B">
      <w:pPr>
        <w:pStyle w:val="Odsekzoznamu"/>
        <w:numPr>
          <w:ilvl w:val="0"/>
          <w:numId w:val="3"/>
        </w:numPr>
        <w:rPr>
          <w:rFonts w:ascii="Arial Narrow" w:hAnsi="Arial Narrow"/>
          <w:sz w:val="22"/>
          <w:szCs w:val="22"/>
        </w:rPr>
      </w:pPr>
      <w:r w:rsidRPr="0042276E">
        <w:rPr>
          <w:rFonts w:ascii="Arial Narrow" w:hAnsi="Arial Narrow"/>
          <w:sz w:val="22"/>
          <w:szCs w:val="22"/>
        </w:rPr>
        <w:t>hradia tovary alebo služby špecificky vyžadované osobnými alebo sociálnymi okolnosťami staršieho človeka.</w:t>
      </w:r>
    </w:p>
    <w:p w:rsidR="001113DE" w:rsidRPr="0042276E" w:rsidRDefault="001113DE" w:rsidP="00B751DE">
      <w:pPr>
        <w:jc w:val="both"/>
        <w:rPr>
          <w:rFonts w:ascii="Arial Narrow" w:hAnsi="Arial Narrow"/>
          <w:b/>
          <w:sz w:val="22"/>
          <w:szCs w:val="22"/>
        </w:rPr>
      </w:pPr>
    </w:p>
    <w:p w:rsidR="001113DE" w:rsidRPr="0042276E" w:rsidRDefault="001113DE" w:rsidP="0020351B">
      <w:pPr>
        <w:jc w:val="both"/>
        <w:rPr>
          <w:rFonts w:ascii="Arial Narrow" w:hAnsi="Arial Narrow"/>
          <w:sz w:val="22"/>
          <w:szCs w:val="22"/>
        </w:rPr>
      </w:pPr>
      <w:r w:rsidRPr="0042276E">
        <w:rPr>
          <w:rFonts w:ascii="Arial Narrow" w:hAnsi="Arial Narrow"/>
          <w:b/>
          <w:sz w:val="22"/>
          <w:szCs w:val="22"/>
        </w:rPr>
        <w:t>Starobný dôchodok</w:t>
      </w:r>
      <w:r w:rsidRPr="0042276E">
        <w:rPr>
          <w:rFonts w:ascii="Arial Narrow" w:hAnsi="Arial Narrow"/>
          <w:sz w:val="22"/>
          <w:szCs w:val="22"/>
        </w:rPr>
        <w:t>: pravidelné platby určené k</w:t>
      </w:r>
      <w:r w:rsidR="009C601B" w:rsidRPr="0042276E">
        <w:rPr>
          <w:rFonts w:ascii="Arial Narrow" w:hAnsi="Arial Narrow"/>
          <w:sz w:val="22"/>
          <w:szCs w:val="22"/>
        </w:rPr>
        <w:t> </w:t>
      </w:r>
      <w:r w:rsidRPr="0042276E">
        <w:rPr>
          <w:rFonts w:ascii="Arial Narrow" w:hAnsi="Arial Narrow"/>
          <w:sz w:val="22"/>
          <w:szCs w:val="22"/>
        </w:rPr>
        <w:t xml:space="preserve">a) zachovaniu príjmu </w:t>
      </w:r>
      <w:r w:rsidR="006D7D9E" w:rsidRPr="0042276E">
        <w:rPr>
          <w:rFonts w:ascii="Arial Narrow" w:hAnsi="Arial Narrow"/>
          <w:sz w:val="22"/>
          <w:szCs w:val="22"/>
        </w:rPr>
        <w:t>pobera</w:t>
      </w:r>
      <w:r w:rsidRPr="0042276E">
        <w:rPr>
          <w:rFonts w:ascii="Arial Narrow" w:hAnsi="Arial Narrow"/>
          <w:sz w:val="22"/>
          <w:szCs w:val="22"/>
        </w:rPr>
        <w:t xml:space="preserve">teľa </w:t>
      </w:r>
      <w:r w:rsidR="006D7D9E" w:rsidRPr="0042276E">
        <w:rPr>
          <w:rFonts w:ascii="Arial Narrow" w:hAnsi="Arial Narrow"/>
          <w:sz w:val="22"/>
          <w:szCs w:val="22"/>
        </w:rPr>
        <w:t xml:space="preserve">určitých profesií </w:t>
      </w:r>
      <w:r w:rsidRPr="0042276E">
        <w:rPr>
          <w:rFonts w:ascii="Arial Narrow" w:hAnsi="Arial Narrow"/>
          <w:sz w:val="22"/>
          <w:szCs w:val="22"/>
        </w:rPr>
        <w:t>po odchode do dôchodku zo zárobkového zamestnania v zákonnom/štandardnom veku alebo b) podpore príjmu starších osôb.</w:t>
      </w:r>
    </w:p>
    <w:p w:rsidR="001113DE" w:rsidRPr="0042276E" w:rsidRDefault="001113DE" w:rsidP="001113DE">
      <w:pPr>
        <w:pStyle w:val="Odsekzoznamu"/>
        <w:ind w:left="709"/>
        <w:jc w:val="both"/>
        <w:rPr>
          <w:rFonts w:ascii="Arial Narrow" w:hAnsi="Arial Narrow"/>
          <w:sz w:val="22"/>
          <w:szCs w:val="22"/>
        </w:rPr>
      </w:pPr>
    </w:p>
    <w:p w:rsidR="001113DE" w:rsidRPr="0042276E" w:rsidRDefault="006D7D9E" w:rsidP="0020351B">
      <w:pPr>
        <w:jc w:val="both"/>
        <w:rPr>
          <w:rFonts w:ascii="Arial Narrow" w:hAnsi="Arial Narrow"/>
          <w:sz w:val="22"/>
          <w:szCs w:val="22"/>
        </w:rPr>
      </w:pPr>
      <w:r w:rsidRPr="0042276E">
        <w:rPr>
          <w:rFonts w:ascii="Arial Narrow" w:hAnsi="Arial Narrow"/>
          <w:b/>
          <w:sz w:val="22"/>
          <w:szCs w:val="22"/>
        </w:rPr>
        <w:t>Očakávaný</w:t>
      </w:r>
      <w:r w:rsidR="001113DE" w:rsidRPr="0042276E">
        <w:rPr>
          <w:rFonts w:ascii="Arial Narrow" w:hAnsi="Arial Narrow"/>
          <w:b/>
          <w:sz w:val="22"/>
          <w:szCs w:val="22"/>
        </w:rPr>
        <w:t xml:space="preserve"> starobný dôchodok:</w:t>
      </w:r>
      <w:r w:rsidR="001113DE" w:rsidRPr="0042276E">
        <w:rPr>
          <w:rFonts w:ascii="Arial Narrow" w:hAnsi="Arial Narrow"/>
          <w:sz w:val="22"/>
          <w:szCs w:val="22"/>
        </w:rPr>
        <w:t xml:space="preserve"> pravidelné platby určené k zachovaniu príjmu užívateľa dávok, ktorý odíde do dôchodku pred dosiahnutím zákonného/štandardného veku, ako je to stanovené v príslušnom programe. K tomuto môže dôjsť so znížením alebo bez zníženia </w:t>
      </w:r>
      <w:r w:rsidR="00B75A90" w:rsidRPr="0042276E">
        <w:rPr>
          <w:rFonts w:ascii="Arial Narrow" w:hAnsi="Arial Narrow"/>
          <w:sz w:val="22"/>
          <w:szCs w:val="22"/>
        </w:rPr>
        <w:t>vypočítanej hodnoty starobného</w:t>
      </w:r>
      <w:r w:rsidR="001113DE" w:rsidRPr="0042276E">
        <w:rPr>
          <w:rFonts w:ascii="Arial Narrow" w:hAnsi="Arial Narrow"/>
          <w:sz w:val="22"/>
          <w:szCs w:val="22"/>
        </w:rPr>
        <w:t xml:space="preserve"> dôchodku. </w:t>
      </w:r>
    </w:p>
    <w:p w:rsidR="001113DE" w:rsidRPr="0042276E" w:rsidRDefault="001113DE" w:rsidP="001113DE">
      <w:pPr>
        <w:pStyle w:val="Odsekzoznamu"/>
        <w:ind w:left="360"/>
        <w:jc w:val="both"/>
        <w:rPr>
          <w:rFonts w:ascii="Arial Narrow" w:hAnsi="Arial Narrow"/>
          <w:sz w:val="22"/>
          <w:szCs w:val="22"/>
        </w:rPr>
      </w:pPr>
    </w:p>
    <w:p w:rsidR="001113DE" w:rsidRPr="0042276E" w:rsidRDefault="001113DE" w:rsidP="0020351B">
      <w:pPr>
        <w:jc w:val="both"/>
        <w:rPr>
          <w:rFonts w:ascii="Arial Narrow" w:hAnsi="Arial Narrow"/>
          <w:sz w:val="22"/>
          <w:szCs w:val="22"/>
          <w:u w:val="single"/>
        </w:rPr>
      </w:pPr>
      <w:r w:rsidRPr="0042276E">
        <w:rPr>
          <w:rFonts w:ascii="Arial Narrow" w:hAnsi="Arial Narrow"/>
          <w:b/>
          <w:sz w:val="22"/>
          <w:szCs w:val="22"/>
        </w:rPr>
        <w:t>Čiastočný dôchodok:</w:t>
      </w:r>
      <w:r w:rsidRPr="0042276E">
        <w:rPr>
          <w:rFonts w:ascii="Arial Narrow" w:hAnsi="Arial Narrow"/>
          <w:sz w:val="22"/>
          <w:szCs w:val="22"/>
        </w:rPr>
        <w:t xml:space="preserve"> pravidelná platba časti plného starobného dôchodku starším pracujúcim, ktorí aj naďalej pracujú, ale skracujú svoju pracovnú dobu</w:t>
      </w:r>
      <w:r w:rsidR="00B75A90" w:rsidRPr="0042276E">
        <w:rPr>
          <w:rFonts w:ascii="Arial Narrow" w:hAnsi="Arial Narrow"/>
          <w:sz w:val="22"/>
          <w:szCs w:val="22"/>
        </w:rPr>
        <w:t>,</w:t>
      </w:r>
      <w:r w:rsidRPr="0042276E">
        <w:rPr>
          <w:rFonts w:ascii="Arial Narrow" w:hAnsi="Arial Narrow"/>
          <w:sz w:val="22"/>
          <w:szCs w:val="22"/>
        </w:rPr>
        <w:t xml:space="preserve"> alebo ktorých príjem z profesionálnej aktivity je pod stanoveným stropom. </w:t>
      </w:r>
    </w:p>
    <w:p w:rsidR="001113DE" w:rsidRPr="0042276E" w:rsidRDefault="001113DE" w:rsidP="001113DE">
      <w:pPr>
        <w:pStyle w:val="Odsekzoznamu"/>
        <w:ind w:left="360"/>
        <w:jc w:val="both"/>
        <w:rPr>
          <w:rFonts w:ascii="Arial Narrow" w:hAnsi="Arial Narrow"/>
          <w:sz w:val="22"/>
          <w:szCs w:val="22"/>
          <w:u w:val="single"/>
        </w:rPr>
      </w:pPr>
    </w:p>
    <w:p w:rsidR="001113DE" w:rsidRPr="0042276E" w:rsidRDefault="001113DE" w:rsidP="0020351B">
      <w:pPr>
        <w:jc w:val="both"/>
        <w:rPr>
          <w:rFonts w:ascii="Arial Narrow" w:hAnsi="Arial Narrow"/>
          <w:sz w:val="22"/>
          <w:szCs w:val="22"/>
          <w:u w:val="single"/>
        </w:rPr>
      </w:pPr>
      <w:r w:rsidRPr="0042276E">
        <w:rPr>
          <w:rFonts w:ascii="Arial Narrow" w:hAnsi="Arial Narrow"/>
          <w:b/>
          <w:sz w:val="22"/>
          <w:szCs w:val="22"/>
        </w:rPr>
        <w:t>Prídavok na starostlivosť:</w:t>
      </w:r>
      <w:r w:rsidRPr="0042276E">
        <w:rPr>
          <w:rFonts w:ascii="Arial Narrow" w:hAnsi="Arial Narrow"/>
          <w:sz w:val="22"/>
          <w:szCs w:val="22"/>
        </w:rPr>
        <w:t xml:space="preserve"> dávka platená starším ľuďom, ktorí potrebujú častú alebo stálu pomoc na uhradenie osobitných výdavkov (na inú než lekársku starostlivosť). </w:t>
      </w:r>
    </w:p>
    <w:p w:rsidR="001113DE" w:rsidRPr="0042276E" w:rsidRDefault="001113DE" w:rsidP="001113DE">
      <w:pPr>
        <w:pStyle w:val="Odsekzoznamu"/>
        <w:ind w:left="360"/>
        <w:jc w:val="both"/>
        <w:rPr>
          <w:rFonts w:ascii="Arial Narrow" w:hAnsi="Arial Narrow"/>
          <w:sz w:val="22"/>
          <w:szCs w:val="22"/>
          <w:u w:val="single"/>
        </w:rPr>
      </w:pPr>
    </w:p>
    <w:p w:rsidR="001113DE" w:rsidRPr="0042276E" w:rsidRDefault="001113DE" w:rsidP="0020351B">
      <w:pPr>
        <w:jc w:val="both"/>
        <w:rPr>
          <w:rFonts w:ascii="Arial Narrow" w:hAnsi="Arial Narrow"/>
          <w:sz w:val="22"/>
          <w:szCs w:val="22"/>
          <w:u w:val="single"/>
        </w:rPr>
      </w:pPr>
      <w:r w:rsidRPr="0042276E">
        <w:rPr>
          <w:rFonts w:ascii="Arial Narrow" w:hAnsi="Arial Narrow"/>
          <w:b/>
          <w:sz w:val="22"/>
          <w:szCs w:val="22"/>
        </w:rPr>
        <w:t>Iné peňažné dávky:</w:t>
      </w:r>
      <w:r w:rsidRPr="0042276E">
        <w:rPr>
          <w:rFonts w:ascii="Arial Narrow" w:hAnsi="Arial Narrow"/>
          <w:sz w:val="22"/>
          <w:szCs w:val="22"/>
        </w:rPr>
        <w:t xml:space="preserve"> periodické alebo jednorazové</w:t>
      </w:r>
      <w:r w:rsidRPr="0042276E">
        <w:rPr>
          <w:rFonts w:ascii="Arial Narrow" w:hAnsi="Arial Narrow"/>
          <w:b/>
          <w:color w:val="FF0000"/>
          <w:sz w:val="22"/>
          <w:szCs w:val="22"/>
        </w:rPr>
        <w:t xml:space="preserve"> </w:t>
      </w:r>
      <w:r w:rsidRPr="0042276E">
        <w:rPr>
          <w:rFonts w:ascii="Arial Narrow" w:hAnsi="Arial Narrow"/>
          <w:sz w:val="22"/>
          <w:szCs w:val="22"/>
        </w:rPr>
        <w:t>dávky platené po odchode do dôchodku alebo kvôli starobe, ktoré nespadajú pod žiadnu z hore uvedených definícií, ako sú kapitálové čiastky platené osobám nespĺňajúcim celkom požiadavky na pravidelný starobný dôchodok, alebo tým, ktorí sa zúčastnili programu založeného len k úhrade kapitálu pri odchode do dôchodku.</w:t>
      </w:r>
    </w:p>
    <w:p w:rsidR="001113DE" w:rsidRPr="0042276E" w:rsidRDefault="001113DE" w:rsidP="00B751DE">
      <w:pPr>
        <w:jc w:val="both"/>
        <w:rPr>
          <w:rFonts w:ascii="Arial Narrow" w:hAnsi="Arial Narrow"/>
          <w:b/>
          <w:sz w:val="22"/>
          <w:szCs w:val="22"/>
        </w:rPr>
      </w:pPr>
    </w:p>
    <w:p w:rsidR="001113DE" w:rsidRPr="0042276E" w:rsidRDefault="001113DE" w:rsidP="0020351B">
      <w:pPr>
        <w:jc w:val="both"/>
        <w:rPr>
          <w:rFonts w:ascii="Arial Narrow" w:hAnsi="Arial Narrow"/>
          <w:sz w:val="22"/>
          <w:szCs w:val="22"/>
        </w:rPr>
      </w:pPr>
      <w:r w:rsidRPr="0042276E">
        <w:rPr>
          <w:rFonts w:ascii="Arial Narrow" w:hAnsi="Arial Narrow"/>
          <w:b/>
          <w:sz w:val="22"/>
          <w:szCs w:val="22"/>
        </w:rPr>
        <w:t>Bývanie</w:t>
      </w:r>
      <w:r w:rsidRPr="0042276E">
        <w:rPr>
          <w:rFonts w:ascii="Arial Narrow" w:hAnsi="Arial Narrow"/>
          <w:sz w:val="22"/>
          <w:szCs w:val="22"/>
        </w:rPr>
        <w:t>: úhrada ubytovania a niekedy stravovania osobám v dôchodku buď v špecializovaných zariadeniach (domovy dôchodcov, opatrovateľské domy)</w:t>
      </w:r>
      <w:r w:rsidR="002973AD" w:rsidRPr="0042276E">
        <w:rPr>
          <w:rFonts w:ascii="Arial Narrow" w:hAnsi="Arial Narrow"/>
          <w:sz w:val="22"/>
          <w:szCs w:val="22"/>
        </w:rPr>
        <w:t>,</w:t>
      </w:r>
      <w:r w:rsidRPr="0042276E">
        <w:rPr>
          <w:rFonts w:ascii="Arial Narrow" w:hAnsi="Arial Narrow"/>
          <w:sz w:val="22"/>
          <w:szCs w:val="22"/>
        </w:rPr>
        <w:t xml:space="preserve"> alebo tým, ktorí zostali s rodinou. </w:t>
      </w:r>
    </w:p>
    <w:p w:rsidR="001113DE" w:rsidRPr="0042276E" w:rsidRDefault="001113DE" w:rsidP="001113DE">
      <w:pPr>
        <w:pStyle w:val="Odsekzoznamu"/>
        <w:ind w:left="709"/>
        <w:jc w:val="both"/>
        <w:rPr>
          <w:rFonts w:ascii="Arial Narrow" w:hAnsi="Arial Narrow"/>
          <w:sz w:val="22"/>
          <w:szCs w:val="22"/>
        </w:rPr>
      </w:pPr>
    </w:p>
    <w:p w:rsidR="001113DE" w:rsidRPr="0042276E" w:rsidRDefault="001113DE" w:rsidP="0020351B">
      <w:pPr>
        <w:jc w:val="both"/>
        <w:rPr>
          <w:rFonts w:ascii="Arial Narrow" w:hAnsi="Arial Narrow"/>
          <w:sz w:val="22"/>
          <w:szCs w:val="22"/>
        </w:rPr>
      </w:pPr>
      <w:r w:rsidRPr="0042276E">
        <w:rPr>
          <w:rFonts w:ascii="Arial Narrow" w:hAnsi="Arial Narrow"/>
          <w:b/>
          <w:sz w:val="22"/>
          <w:szCs w:val="22"/>
        </w:rPr>
        <w:t>Podpora pri vykonávaní každodennej činnosti</w:t>
      </w:r>
      <w:r w:rsidRPr="0042276E">
        <w:rPr>
          <w:rFonts w:ascii="Arial Narrow" w:hAnsi="Arial Narrow"/>
          <w:sz w:val="22"/>
          <w:szCs w:val="22"/>
        </w:rPr>
        <w:t>: praktická pomoc poskytovaná starým ľuďom pri vykonávaní ich každodennej činnosti. Do tejto kategórie je zahrnutá aj domáca pomoc, rovnako ako vyplácanie podpory osobe, ktorá sa stará o staršiu osobu.</w:t>
      </w:r>
    </w:p>
    <w:p w:rsidR="001113DE" w:rsidRPr="0042276E" w:rsidRDefault="001113DE" w:rsidP="001113DE">
      <w:pPr>
        <w:pStyle w:val="Odsekzoznamu"/>
        <w:ind w:left="360"/>
        <w:rPr>
          <w:rFonts w:ascii="Arial Narrow" w:hAnsi="Arial Narrow"/>
          <w:sz w:val="22"/>
          <w:szCs w:val="22"/>
        </w:rPr>
      </w:pPr>
    </w:p>
    <w:p w:rsidR="006A19A0" w:rsidRDefault="001113DE" w:rsidP="001113DE">
      <w:pPr>
        <w:jc w:val="both"/>
        <w:rPr>
          <w:rFonts w:ascii="Arial Narrow" w:hAnsi="Arial Narrow"/>
          <w:sz w:val="22"/>
          <w:szCs w:val="22"/>
        </w:rPr>
      </w:pPr>
      <w:r w:rsidRPr="0042276E">
        <w:rPr>
          <w:rFonts w:ascii="Arial Narrow" w:hAnsi="Arial Narrow"/>
          <w:b/>
          <w:sz w:val="22"/>
          <w:szCs w:val="22"/>
        </w:rPr>
        <w:lastRenderedPageBreak/>
        <w:t>Iné vecné dávky</w:t>
      </w:r>
      <w:r w:rsidRPr="0042276E">
        <w:rPr>
          <w:rFonts w:ascii="Arial Narrow" w:hAnsi="Arial Narrow"/>
          <w:sz w:val="22"/>
          <w:szCs w:val="22"/>
        </w:rPr>
        <w:t>: rôzne tovary a služby pre dôchodcov, ktoré im umožnia účasť na rekreačných a kultúrnych aktivitách, cestovanie a/alebo účasť na spoločenskom živote. Toto zahŕňa zníženie cien, taríf a cestovného pre starobných dôchodcov, ktoré sa výlučne poskytujú na sociálnu ochranu.</w:t>
      </w:r>
    </w:p>
    <w:p w:rsidR="00D74A81" w:rsidRPr="00D74A81" w:rsidRDefault="00D74A81" w:rsidP="001113DE">
      <w:pPr>
        <w:jc w:val="both"/>
        <w:rPr>
          <w:rFonts w:ascii="Arial Narrow" w:hAnsi="Arial Narrow"/>
          <w:sz w:val="10"/>
          <w:szCs w:val="10"/>
        </w:rPr>
      </w:pPr>
    </w:p>
    <w:p w:rsidR="001D7E67" w:rsidRDefault="00C423D7" w:rsidP="009D45B5">
      <w:pPr>
        <w:jc w:val="both"/>
        <w:rPr>
          <w:rFonts w:ascii="Arial Narrow" w:hAnsi="Arial Narrow"/>
          <w:b/>
          <w:sz w:val="20"/>
          <w:szCs w:val="20"/>
        </w:rPr>
      </w:pPr>
      <w:r w:rsidRPr="0074153D">
        <w:rPr>
          <w:rFonts w:ascii="Arial Narrow" w:hAnsi="Arial Narrow"/>
          <w:b/>
          <w:sz w:val="20"/>
          <w:szCs w:val="20"/>
        </w:rPr>
        <w:t xml:space="preserve">Tab. </w:t>
      </w:r>
      <w:r w:rsidR="006D61F7" w:rsidRPr="0074153D">
        <w:rPr>
          <w:rFonts w:ascii="Arial Narrow" w:hAnsi="Arial Narrow"/>
          <w:b/>
          <w:sz w:val="20"/>
          <w:szCs w:val="20"/>
        </w:rPr>
        <w:t>1.</w:t>
      </w:r>
      <w:r w:rsidR="007E79FD">
        <w:rPr>
          <w:rFonts w:ascii="Arial Narrow" w:hAnsi="Arial Narrow"/>
          <w:b/>
          <w:sz w:val="20"/>
          <w:szCs w:val="20"/>
        </w:rPr>
        <w:t>7</w:t>
      </w:r>
      <w:r w:rsidRPr="0074153D">
        <w:rPr>
          <w:rFonts w:ascii="Arial Narrow" w:hAnsi="Arial Narrow"/>
          <w:b/>
          <w:sz w:val="20"/>
          <w:szCs w:val="20"/>
        </w:rPr>
        <w:t xml:space="preserve">  Výdavky na sociálne dávky v SR na účel staroba</w:t>
      </w:r>
      <w:r w:rsidR="0074153D" w:rsidRPr="0074153D">
        <w:rPr>
          <w:rFonts w:ascii="Arial Narrow" w:hAnsi="Arial Narrow"/>
          <w:b/>
          <w:sz w:val="20"/>
          <w:szCs w:val="20"/>
        </w:rPr>
        <w:t xml:space="preserve">, </w:t>
      </w:r>
      <w:r w:rsidR="000A03DA">
        <w:rPr>
          <w:rFonts w:ascii="Arial Narrow" w:hAnsi="Arial Narrow"/>
          <w:b/>
          <w:sz w:val="20"/>
          <w:szCs w:val="20"/>
        </w:rPr>
        <w:t>201</w:t>
      </w:r>
      <w:r w:rsidR="00EC46B2">
        <w:rPr>
          <w:rFonts w:ascii="Arial Narrow" w:hAnsi="Arial Narrow"/>
          <w:b/>
          <w:sz w:val="20"/>
          <w:szCs w:val="20"/>
        </w:rPr>
        <w:t>9</w:t>
      </w:r>
    </w:p>
    <w:p w:rsidR="0042276E" w:rsidRPr="0042276E" w:rsidRDefault="0042276E" w:rsidP="001113DE">
      <w:pPr>
        <w:jc w:val="both"/>
        <w:rPr>
          <w:rFonts w:ascii="Arial Narrow" w:hAnsi="Arial Narrow"/>
          <w:b/>
          <w:sz w:val="10"/>
          <w:szCs w:val="10"/>
        </w:rPr>
      </w:pPr>
    </w:p>
    <w:tbl>
      <w:tblPr>
        <w:tblW w:w="8925" w:type="dxa"/>
        <w:tblCellMar>
          <w:left w:w="70" w:type="dxa"/>
          <w:right w:w="70" w:type="dxa"/>
        </w:tblCellMar>
        <w:tblLook w:val="04A0" w:firstRow="1" w:lastRow="0" w:firstColumn="1" w:lastColumn="0" w:noHBand="0" w:noVBand="1"/>
      </w:tblPr>
      <w:tblGrid>
        <w:gridCol w:w="182"/>
        <w:gridCol w:w="182"/>
        <w:gridCol w:w="146"/>
        <w:gridCol w:w="146"/>
        <w:gridCol w:w="3864"/>
        <w:gridCol w:w="756"/>
        <w:gridCol w:w="678"/>
        <w:gridCol w:w="850"/>
        <w:gridCol w:w="742"/>
        <w:gridCol w:w="540"/>
        <w:gridCol w:w="839"/>
      </w:tblGrid>
      <w:tr w:rsidR="007952AE" w:rsidTr="000A36E9">
        <w:trPr>
          <w:trHeight w:val="585"/>
        </w:trPr>
        <w:tc>
          <w:tcPr>
            <w:tcW w:w="4520" w:type="dxa"/>
            <w:gridSpan w:val="5"/>
            <w:tcBorders>
              <w:top w:val="nil"/>
              <w:left w:val="nil"/>
              <w:bottom w:val="nil"/>
              <w:right w:val="nil"/>
            </w:tcBorders>
            <w:shd w:val="clear" w:color="000000" w:fill="A9D08E"/>
            <w:vAlign w:val="center"/>
            <w:hideMark/>
          </w:tcPr>
          <w:p w:rsidR="007952AE" w:rsidRDefault="007952AE">
            <w:pPr>
              <w:rPr>
                <w:rFonts w:ascii="Arial Narrow" w:hAnsi="Arial Narrow"/>
                <w:sz w:val="16"/>
                <w:szCs w:val="16"/>
                <w:lang w:eastAsia="sk-SK"/>
              </w:rPr>
            </w:pPr>
            <w:r>
              <w:rPr>
                <w:rFonts w:ascii="Arial Narrow" w:hAnsi="Arial Narrow"/>
                <w:sz w:val="16"/>
                <w:szCs w:val="16"/>
              </w:rPr>
              <w:t>Ukazovateľ</w:t>
            </w:r>
          </w:p>
        </w:tc>
        <w:tc>
          <w:tcPr>
            <w:tcW w:w="756" w:type="dxa"/>
            <w:tcBorders>
              <w:top w:val="nil"/>
              <w:left w:val="nil"/>
              <w:bottom w:val="nil"/>
              <w:right w:val="single" w:sz="4" w:space="0" w:color="FF0000"/>
            </w:tcBorders>
            <w:shd w:val="clear" w:color="000000" w:fill="A9D08E"/>
            <w:noWrap/>
            <w:vAlign w:val="center"/>
            <w:hideMark/>
          </w:tcPr>
          <w:p w:rsidR="007952AE" w:rsidRDefault="007952AE">
            <w:pPr>
              <w:jc w:val="center"/>
              <w:rPr>
                <w:rFonts w:ascii="Arial Narrow" w:hAnsi="Arial Narrow"/>
                <w:color w:val="000000"/>
                <w:sz w:val="16"/>
                <w:szCs w:val="16"/>
              </w:rPr>
            </w:pPr>
            <w:r>
              <w:rPr>
                <w:rFonts w:ascii="Arial Narrow" w:hAnsi="Arial Narrow"/>
                <w:color w:val="000000"/>
                <w:sz w:val="16"/>
                <w:szCs w:val="16"/>
              </w:rPr>
              <w:t>mil. EUR</w:t>
            </w:r>
          </w:p>
        </w:tc>
        <w:tc>
          <w:tcPr>
            <w:tcW w:w="678" w:type="dxa"/>
            <w:tcBorders>
              <w:top w:val="nil"/>
              <w:left w:val="nil"/>
              <w:bottom w:val="nil"/>
              <w:right w:val="single" w:sz="4" w:space="0" w:color="FF0000"/>
            </w:tcBorders>
            <w:shd w:val="clear" w:color="000000" w:fill="A9D08E"/>
            <w:noWrap/>
            <w:vAlign w:val="center"/>
            <w:hideMark/>
          </w:tcPr>
          <w:p w:rsidR="007952AE" w:rsidRDefault="009D45B5">
            <w:pPr>
              <w:jc w:val="center"/>
              <w:rPr>
                <w:rFonts w:ascii="Arial Narrow" w:hAnsi="Arial Narrow"/>
                <w:color w:val="000000"/>
                <w:sz w:val="16"/>
                <w:szCs w:val="16"/>
              </w:rPr>
            </w:pPr>
            <w:r w:rsidRPr="009D45B5">
              <w:rPr>
                <w:rFonts w:ascii="Arial Narrow" w:hAnsi="Arial Narrow"/>
                <w:color w:val="000000"/>
                <w:sz w:val="16"/>
                <w:szCs w:val="16"/>
              </w:rPr>
              <w:t>% z dávok spolu</w:t>
            </w:r>
          </w:p>
        </w:tc>
        <w:tc>
          <w:tcPr>
            <w:tcW w:w="850" w:type="dxa"/>
            <w:tcBorders>
              <w:top w:val="nil"/>
              <w:left w:val="nil"/>
              <w:bottom w:val="nil"/>
              <w:right w:val="single" w:sz="4" w:space="0" w:color="FF0000"/>
            </w:tcBorders>
            <w:shd w:val="clear" w:color="000000" w:fill="A9D08E"/>
            <w:vAlign w:val="center"/>
            <w:hideMark/>
          </w:tcPr>
          <w:p w:rsidR="007952AE" w:rsidRDefault="007952AE">
            <w:pPr>
              <w:jc w:val="center"/>
              <w:rPr>
                <w:rFonts w:ascii="Arial Narrow" w:hAnsi="Arial Narrow"/>
                <w:color w:val="000000"/>
                <w:sz w:val="16"/>
                <w:szCs w:val="16"/>
              </w:rPr>
            </w:pPr>
            <w:r>
              <w:rPr>
                <w:rFonts w:ascii="Arial Narrow" w:hAnsi="Arial Narrow"/>
                <w:color w:val="000000"/>
                <w:sz w:val="16"/>
                <w:szCs w:val="16"/>
              </w:rPr>
              <w:t>EUR na obyv. s.c.2010</w:t>
            </w:r>
          </w:p>
        </w:tc>
        <w:tc>
          <w:tcPr>
            <w:tcW w:w="742" w:type="dxa"/>
            <w:tcBorders>
              <w:top w:val="nil"/>
              <w:left w:val="nil"/>
              <w:bottom w:val="nil"/>
              <w:right w:val="single" w:sz="4" w:space="0" w:color="FF0000"/>
            </w:tcBorders>
            <w:shd w:val="clear" w:color="000000" w:fill="A9D08E"/>
            <w:vAlign w:val="center"/>
            <w:hideMark/>
          </w:tcPr>
          <w:p w:rsidR="007952AE" w:rsidRDefault="007952AE">
            <w:pPr>
              <w:jc w:val="center"/>
              <w:rPr>
                <w:rFonts w:ascii="Arial Narrow" w:hAnsi="Arial Narrow"/>
                <w:color w:val="000000"/>
                <w:sz w:val="16"/>
                <w:szCs w:val="16"/>
              </w:rPr>
            </w:pPr>
            <w:r>
              <w:rPr>
                <w:rFonts w:ascii="Arial Narrow" w:hAnsi="Arial Narrow"/>
                <w:color w:val="000000"/>
                <w:sz w:val="16"/>
                <w:szCs w:val="16"/>
              </w:rPr>
              <w:t>PPS na obyv.</w:t>
            </w:r>
          </w:p>
        </w:tc>
        <w:tc>
          <w:tcPr>
            <w:tcW w:w="540" w:type="dxa"/>
            <w:tcBorders>
              <w:top w:val="nil"/>
              <w:left w:val="nil"/>
              <w:bottom w:val="nil"/>
              <w:right w:val="nil"/>
            </w:tcBorders>
            <w:shd w:val="clear" w:color="000000" w:fill="A9D08E"/>
            <w:vAlign w:val="center"/>
            <w:hideMark/>
          </w:tcPr>
          <w:p w:rsidR="007952AE" w:rsidRDefault="007952AE">
            <w:pPr>
              <w:jc w:val="center"/>
              <w:rPr>
                <w:rFonts w:ascii="Arial Narrow" w:hAnsi="Arial Narrow"/>
                <w:color w:val="000000"/>
                <w:sz w:val="16"/>
                <w:szCs w:val="16"/>
              </w:rPr>
            </w:pPr>
            <w:r>
              <w:rPr>
                <w:rFonts w:ascii="Arial Narrow" w:hAnsi="Arial Narrow"/>
                <w:color w:val="000000"/>
                <w:sz w:val="16"/>
                <w:szCs w:val="16"/>
              </w:rPr>
              <w:t>% HDP</w:t>
            </w:r>
          </w:p>
        </w:tc>
        <w:tc>
          <w:tcPr>
            <w:tcW w:w="839" w:type="dxa"/>
            <w:tcBorders>
              <w:top w:val="nil"/>
              <w:left w:val="single" w:sz="4" w:space="0" w:color="FF0000"/>
              <w:bottom w:val="single" w:sz="4" w:space="0" w:color="FF0000"/>
              <w:right w:val="nil"/>
            </w:tcBorders>
            <w:shd w:val="clear" w:color="000000" w:fill="A9D08E"/>
            <w:vAlign w:val="center"/>
            <w:hideMark/>
          </w:tcPr>
          <w:p w:rsidR="007952AE" w:rsidRDefault="00EC46B2">
            <w:pPr>
              <w:jc w:val="center"/>
              <w:rPr>
                <w:rFonts w:ascii="Arial Narrow" w:hAnsi="Arial Narrow"/>
                <w:sz w:val="16"/>
                <w:szCs w:val="16"/>
              </w:rPr>
            </w:pPr>
            <w:r>
              <w:rPr>
                <w:rFonts w:ascii="Arial Narrow" w:hAnsi="Arial Narrow"/>
                <w:sz w:val="16"/>
                <w:szCs w:val="16"/>
              </w:rPr>
              <w:t>Index 2019</w:t>
            </w:r>
            <w:r w:rsidR="007952AE">
              <w:rPr>
                <w:rFonts w:ascii="Arial Narrow" w:hAnsi="Arial Narrow"/>
                <w:sz w:val="16"/>
                <w:szCs w:val="16"/>
              </w:rPr>
              <w:t>/2018</w:t>
            </w:r>
          </w:p>
        </w:tc>
      </w:tr>
      <w:tr w:rsidR="000A36E9" w:rsidTr="00EF1D32">
        <w:trPr>
          <w:trHeight w:val="255"/>
        </w:trPr>
        <w:tc>
          <w:tcPr>
            <w:tcW w:w="4520" w:type="dxa"/>
            <w:gridSpan w:val="5"/>
            <w:tcBorders>
              <w:top w:val="single" w:sz="4" w:space="0" w:color="FF0000"/>
              <w:left w:val="nil"/>
              <w:bottom w:val="nil"/>
              <w:right w:val="single" w:sz="4" w:space="0" w:color="FF0000"/>
            </w:tcBorders>
            <w:shd w:val="clear" w:color="auto" w:fill="A8D08D" w:themeFill="accent6" w:themeFillTint="99"/>
            <w:noWrap/>
            <w:vAlign w:val="center"/>
            <w:hideMark/>
          </w:tcPr>
          <w:p w:rsidR="000A36E9" w:rsidRDefault="000A36E9" w:rsidP="000A36E9">
            <w:pPr>
              <w:rPr>
                <w:rFonts w:ascii="Arial Narrow" w:hAnsi="Arial Narrow"/>
                <w:b/>
                <w:bCs/>
                <w:sz w:val="18"/>
                <w:szCs w:val="18"/>
              </w:rPr>
            </w:pPr>
            <w:r>
              <w:rPr>
                <w:rFonts w:ascii="Arial Narrow" w:hAnsi="Arial Narrow"/>
                <w:b/>
                <w:bCs/>
                <w:sz w:val="18"/>
                <w:szCs w:val="18"/>
              </w:rPr>
              <w:t>Dávky sociálnej ochrany</w:t>
            </w:r>
          </w:p>
        </w:tc>
        <w:tc>
          <w:tcPr>
            <w:tcW w:w="756" w:type="dxa"/>
            <w:tcBorders>
              <w:top w:val="single" w:sz="4" w:space="0" w:color="FF0000"/>
              <w:left w:val="nil"/>
              <w:bottom w:val="nil"/>
              <w:right w:val="single" w:sz="4" w:space="0" w:color="FF0000"/>
            </w:tcBorders>
            <w:shd w:val="clear" w:color="auto" w:fill="A8D08D" w:themeFill="accent6" w:themeFillTint="99"/>
            <w:noWrap/>
            <w:vAlign w:val="bottom"/>
            <w:hideMark/>
          </w:tcPr>
          <w:p w:rsidR="000A36E9" w:rsidRPr="000A36E9" w:rsidRDefault="000A36E9" w:rsidP="000A36E9">
            <w:pPr>
              <w:jc w:val="right"/>
              <w:rPr>
                <w:rFonts w:ascii="Arial Narrow" w:hAnsi="Arial Narrow" w:cs="Calibri"/>
                <w:b/>
                <w:bCs/>
                <w:sz w:val="18"/>
                <w:szCs w:val="18"/>
                <w:lang w:eastAsia="sk-SK"/>
              </w:rPr>
            </w:pPr>
            <w:r w:rsidRPr="000A36E9">
              <w:rPr>
                <w:rFonts w:ascii="Arial Narrow" w:hAnsi="Arial Narrow" w:cs="Calibri"/>
                <w:b/>
                <w:bCs/>
                <w:sz w:val="18"/>
                <w:szCs w:val="18"/>
              </w:rPr>
              <w:t>6 660,1</w:t>
            </w:r>
          </w:p>
        </w:tc>
        <w:tc>
          <w:tcPr>
            <w:tcW w:w="678" w:type="dxa"/>
            <w:tcBorders>
              <w:top w:val="single" w:sz="4" w:space="0" w:color="FF0000"/>
              <w:left w:val="nil"/>
              <w:bottom w:val="nil"/>
              <w:right w:val="single" w:sz="4" w:space="0" w:color="FF0000"/>
            </w:tcBorders>
            <w:shd w:val="clear" w:color="auto" w:fill="A8D08D" w:themeFill="accent6" w:themeFillTint="99"/>
            <w:noWrap/>
            <w:vAlign w:val="bottom"/>
            <w:hideMark/>
          </w:tcPr>
          <w:p w:rsidR="000A36E9" w:rsidRPr="000A36E9" w:rsidRDefault="000A36E9" w:rsidP="000A36E9">
            <w:pPr>
              <w:jc w:val="right"/>
              <w:rPr>
                <w:rFonts w:ascii="Arial Narrow" w:hAnsi="Arial Narrow" w:cs="Calibri"/>
                <w:b/>
                <w:bCs/>
                <w:sz w:val="18"/>
                <w:szCs w:val="18"/>
              </w:rPr>
            </w:pPr>
            <w:r w:rsidRPr="000A36E9">
              <w:rPr>
                <w:rFonts w:ascii="Arial Narrow" w:hAnsi="Arial Narrow" w:cs="Calibri"/>
                <w:b/>
                <w:bCs/>
                <w:sz w:val="18"/>
                <w:szCs w:val="18"/>
              </w:rPr>
              <w:t>100,0</w:t>
            </w:r>
          </w:p>
        </w:tc>
        <w:tc>
          <w:tcPr>
            <w:tcW w:w="850" w:type="dxa"/>
            <w:tcBorders>
              <w:top w:val="single" w:sz="4" w:space="0" w:color="FF0000"/>
              <w:left w:val="nil"/>
              <w:bottom w:val="nil"/>
              <w:right w:val="single" w:sz="4" w:space="0" w:color="FF0000"/>
            </w:tcBorders>
            <w:shd w:val="clear" w:color="auto" w:fill="A8D08D" w:themeFill="accent6" w:themeFillTint="99"/>
            <w:noWrap/>
            <w:vAlign w:val="bottom"/>
            <w:hideMark/>
          </w:tcPr>
          <w:p w:rsidR="000A36E9" w:rsidRPr="000A36E9" w:rsidRDefault="000A36E9" w:rsidP="000A36E9">
            <w:pPr>
              <w:jc w:val="right"/>
              <w:rPr>
                <w:rFonts w:ascii="Arial Narrow" w:hAnsi="Arial Narrow" w:cs="Calibri"/>
                <w:b/>
                <w:bCs/>
                <w:sz w:val="18"/>
                <w:szCs w:val="18"/>
              </w:rPr>
            </w:pPr>
            <w:r w:rsidRPr="000A36E9">
              <w:rPr>
                <w:rFonts w:ascii="Arial Narrow" w:hAnsi="Arial Narrow" w:cs="Calibri"/>
                <w:b/>
                <w:bCs/>
                <w:sz w:val="18"/>
                <w:szCs w:val="18"/>
              </w:rPr>
              <w:t>1 054,1</w:t>
            </w:r>
          </w:p>
        </w:tc>
        <w:tc>
          <w:tcPr>
            <w:tcW w:w="742" w:type="dxa"/>
            <w:tcBorders>
              <w:top w:val="single" w:sz="4" w:space="0" w:color="FF0000"/>
              <w:left w:val="nil"/>
              <w:bottom w:val="nil"/>
              <w:right w:val="single" w:sz="4" w:space="0" w:color="FF0000"/>
            </w:tcBorders>
            <w:shd w:val="clear" w:color="auto" w:fill="A8D08D" w:themeFill="accent6" w:themeFillTint="99"/>
            <w:noWrap/>
            <w:vAlign w:val="bottom"/>
            <w:hideMark/>
          </w:tcPr>
          <w:p w:rsidR="000A36E9" w:rsidRPr="000A36E9" w:rsidRDefault="000A36E9" w:rsidP="000A36E9">
            <w:pPr>
              <w:jc w:val="right"/>
              <w:rPr>
                <w:rFonts w:ascii="Arial Narrow" w:hAnsi="Arial Narrow" w:cs="Calibri"/>
                <w:b/>
                <w:bCs/>
                <w:sz w:val="18"/>
                <w:szCs w:val="18"/>
              </w:rPr>
            </w:pPr>
            <w:r w:rsidRPr="000A36E9">
              <w:rPr>
                <w:rFonts w:ascii="Arial Narrow" w:hAnsi="Arial Narrow" w:cs="Calibri"/>
                <w:b/>
                <w:bCs/>
                <w:sz w:val="18"/>
                <w:szCs w:val="18"/>
              </w:rPr>
              <w:t>1 681,4</w:t>
            </w:r>
          </w:p>
        </w:tc>
        <w:tc>
          <w:tcPr>
            <w:tcW w:w="540" w:type="dxa"/>
            <w:tcBorders>
              <w:top w:val="single" w:sz="4" w:space="0" w:color="FF0000"/>
              <w:left w:val="nil"/>
              <w:bottom w:val="nil"/>
              <w:right w:val="nil"/>
            </w:tcBorders>
            <w:shd w:val="clear" w:color="auto" w:fill="A8D08D" w:themeFill="accent6" w:themeFillTint="99"/>
            <w:noWrap/>
            <w:vAlign w:val="bottom"/>
            <w:hideMark/>
          </w:tcPr>
          <w:p w:rsidR="000A36E9" w:rsidRPr="000A36E9" w:rsidRDefault="000A36E9" w:rsidP="000A36E9">
            <w:pPr>
              <w:jc w:val="right"/>
              <w:rPr>
                <w:rFonts w:ascii="Arial Narrow" w:hAnsi="Arial Narrow" w:cs="Calibri"/>
                <w:b/>
                <w:bCs/>
                <w:sz w:val="18"/>
                <w:szCs w:val="18"/>
              </w:rPr>
            </w:pPr>
            <w:r w:rsidRPr="000A36E9">
              <w:rPr>
                <w:rFonts w:ascii="Arial Narrow" w:hAnsi="Arial Narrow" w:cs="Calibri"/>
                <w:b/>
                <w:bCs/>
                <w:sz w:val="18"/>
                <w:szCs w:val="18"/>
              </w:rPr>
              <w:t>7,1</w:t>
            </w:r>
          </w:p>
        </w:tc>
        <w:tc>
          <w:tcPr>
            <w:tcW w:w="839" w:type="dxa"/>
            <w:tcBorders>
              <w:top w:val="nil"/>
              <w:left w:val="single" w:sz="4" w:space="0" w:color="FF0000"/>
              <w:bottom w:val="nil"/>
              <w:right w:val="nil"/>
            </w:tcBorders>
            <w:shd w:val="clear" w:color="auto" w:fill="A8D08D" w:themeFill="accent6" w:themeFillTint="99"/>
            <w:noWrap/>
            <w:vAlign w:val="bottom"/>
            <w:hideMark/>
          </w:tcPr>
          <w:p w:rsidR="000A36E9" w:rsidRPr="000A36E9" w:rsidRDefault="000A36E9" w:rsidP="000A36E9">
            <w:pPr>
              <w:jc w:val="right"/>
              <w:rPr>
                <w:rFonts w:ascii="Arial Narrow" w:hAnsi="Arial Narrow" w:cs="Arial"/>
                <w:b/>
                <w:bCs/>
                <w:sz w:val="18"/>
                <w:szCs w:val="18"/>
              </w:rPr>
            </w:pPr>
            <w:r w:rsidRPr="000A36E9">
              <w:rPr>
                <w:rFonts w:ascii="Arial Narrow" w:hAnsi="Arial Narrow" w:cs="Arial"/>
                <w:b/>
                <w:bCs/>
                <w:sz w:val="18"/>
                <w:szCs w:val="18"/>
              </w:rPr>
              <w:t>104,6</w:t>
            </w:r>
          </w:p>
        </w:tc>
      </w:tr>
      <w:tr w:rsidR="00764F18" w:rsidTr="00EF1D32">
        <w:trPr>
          <w:trHeight w:val="255"/>
        </w:trPr>
        <w:tc>
          <w:tcPr>
            <w:tcW w:w="182" w:type="dxa"/>
            <w:tcBorders>
              <w:top w:val="nil"/>
              <w:left w:val="nil"/>
              <w:bottom w:val="nil"/>
              <w:right w:val="nil"/>
            </w:tcBorders>
            <w:shd w:val="clear" w:color="auto" w:fill="C5E0B3" w:themeFill="accent6" w:themeFillTint="66"/>
            <w:noWrap/>
            <w:vAlign w:val="center"/>
            <w:hideMark/>
          </w:tcPr>
          <w:p w:rsidR="00764F18" w:rsidRDefault="00764F18" w:rsidP="00764F18">
            <w:pPr>
              <w:rPr>
                <w:rFonts w:ascii="Arial Narrow" w:hAnsi="Arial Narrow"/>
                <w:b/>
                <w:bCs/>
                <w:sz w:val="18"/>
                <w:szCs w:val="18"/>
              </w:rPr>
            </w:pPr>
            <w:r>
              <w:rPr>
                <w:rFonts w:ascii="Arial Narrow" w:hAnsi="Arial Narrow"/>
                <w:b/>
                <w:bCs/>
                <w:sz w:val="18"/>
                <w:szCs w:val="18"/>
              </w:rPr>
              <w:t> </w:t>
            </w:r>
          </w:p>
        </w:tc>
        <w:tc>
          <w:tcPr>
            <w:tcW w:w="4338" w:type="dxa"/>
            <w:gridSpan w:val="4"/>
            <w:tcBorders>
              <w:top w:val="nil"/>
              <w:left w:val="nil"/>
              <w:bottom w:val="nil"/>
              <w:right w:val="single" w:sz="4" w:space="0" w:color="FF0000"/>
            </w:tcBorders>
            <w:shd w:val="clear" w:color="auto" w:fill="C5E0B3" w:themeFill="accent6" w:themeFillTint="66"/>
            <w:noWrap/>
            <w:vAlign w:val="center"/>
            <w:hideMark/>
          </w:tcPr>
          <w:p w:rsidR="00764F18" w:rsidRDefault="00764F18" w:rsidP="00764F18">
            <w:pPr>
              <w:rPr>
                <w:rFonts w:ascii="Arial Narrow" w:hAnsi="Arial Narrow"/>
                <w:b/>
                <w:bCs/>
                <w:sz w:val="18"/>
                <w:szCs w:val="18"/>
              </w:rPr>
            </w:pPr>
            <w:r>
              <w:rPr>
                <w:rFonts w:ascii="Arial Narrow" w:hAnsi="Arial Narrow"/>
                <w:b/>
                <w:bCs/>
                <w:sz w:val="18"/>
                <w:szCs w:val="18"/>
              </w:rPr>
              <w:t>Netestované dávky na príjem</w:t>
            </w:r>
          </w:p>
        </w:tc>
        <w:tc>
          <w:tcPr>
            <w:tcW w:w="756" w:type="dxa"/>
            <w:tcBorders>
              <w:top w:val="nil"/>
              <w:left w:val="nil"/>
              <w:bottom w:val="nil"/>
              <w:right w:val="single" w:sz="4" w:space="0" w:color="FF0000"/>
            </w:tcBorders>
            <w:shd w:val="clear" w:color="auto" w:fill="C5E0B3" w:themeFill="accent6" w:themeFillTint="66"/>
            <w:noWrap/>
            <w:vAlign w:val="bottom"/>
            <w:hideMark/>
          </w:tcPr>
          <w:p w:rsidR="00764F18" w:rsidRDefault="00764F18" w:rsidP="00764F18">
            <w:pPr>
              <w:jc w:val="right"/>
              <w:rPr>
                <w:rFonts w:ascii="Arial Narrow" w:hAnsi="Arial Narrow" w:cs="Calibri"/>
                <w:b/>
                <w:bCs/>
                <w:sz w:val="18"/>
                <w:szCs w:val="18"/>
                <w:lang w:eastAsia="sk-SK"/>
              </w:rPr>
            </w:pPr>
            <w:r>
              <w:rPr>
                <w:rFonts w:ascii="Arial Narrow" w:hAnsi="Arial Narrow" w:cs="Calibri"/>
                <w:b/>
                <w:bCs/>
                <w:sz w:val="18"/>
                <w:szCs w:val="18"/>
              </w:rPr>
              <w:t>6 495,1</w:t>
            </w:r>
          </w:p>
        </w:tc>
        <w:tc>
          <w:tcPr>
            <w:tcW w:w="678" w:type="dxa"/>
            <w:tcBorders>
              <w:top w:val="nil"/>
              <w:left w:val="nil"/>
              <w:bottom w:val="nil"/>
              <w:right w:val="single" w:sz="4" w:space="0" w:color="FF0000"/>
            </w:tcBorders>
            <w:shd w:val="clear" w:color="auto" w:fill="C5E0B3" w:themeFill="accent6" w:themeFillTint="66"/>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97,5</w:t>
            </w:r>
          </w:p>
        </w:tc>
        <w:tc>
          <w:tcPr>
            <w:tcW w:w="850" w:type="dxa"/>
            <w:tcBorders>
              <w:top w:val="nil"/>
              <w:left w:val="nil"/>
              <w:bottom w:val="nil"/>
              <w:right w:val="single" w:sz="4" w:space="0" w:color="FF0000"/>
            </w:tcBorders>
            <w:shd w:val="clear" w:color="auto" w:fill="C5E0B3" w:themeFill="accent6" w:themeFillTint="66"/>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1 027,9</w:t>
            </w:r>
          </w:p>
        </w:tc>
        <w:tc>
          <w:tcPr>
            <w:tcW w:w="742" w:type="dxa"/>
            <w:tcBorders>
              <w:top w:val="nil"/>
              <w:left w:val="nil"/>
              <w:bottom w:val="nil"/>
              <w:right w:val="single" w:sz="4" w:space="0" w:color="FF0000"/>
            </w:tcBorders>
            <w:shd w:val="clear" w:color="auto" w:fill="C5E0B3" w:themeFill="accent6" w:themeFillTint="66"/>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1 639,8</w:t>
            </w:r>
          </w:p>
        </w:tc>
        <w:tc>
          <w:tcPr>
            <w:tcW w:w="540" w:type="dxa"/>
            <w:tcBorders>
              <w:top w:val="nil"/>
              <w:left w:val="nil"/>
              <w:bottom w:val="nil"/>
              <w:right w:val="nil"/>
            </w:tcBorders>
            <w:shd w:val="clear" w:color="auto" w:fill="C5E0B3" w:themeFill="accent6" w:themeFillTint="66"/>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6,9</w:t>
            </w:r>
          </w:p>
        </w:tc>
        <w:tc>
          <w:tcPr>
            <w:tcW w:w="839" w:type="dxa"/>
            <w:tcBorders>
              <w:top w:val="nil"/>
              <w:left w:val="single" w:sz="4" w:space="0" w:color="FF0000"/>
              <w:bottom w:val="nil"/>
              <w:right w:val="nil"/>
            </w:tcBorders>
            <w:shd w:val="clear" w:color="auto" w:fill="C5E0B3" w:themeFill="accent6" w:themeFillTint="66"/>
            <w:noWrap/>
            <w:vAlign w:val="bottom"/>
            <w:hideMark/>
          </w:tcPr>
          <w:p w:rsidR="00764F18" w:rsidRPr="00764F18" w:rsidRDefault="00764F18" w:rsidP="00764F18">
            <w:pPr>
              <w:jc w:val="right"/>
              <w:rPr>
                <w:rFonts w:ascii="Arial Narrow" w:hAnsi="Arial Narrow" w:cs="Arial"/>
                <w:b/>
                <w:bCs/>
                <w:sz w:val="18"/>
                <w:szCs w:val="18"/>
              </w:rPr>
            </w:pPr>
            <w:r w:rsidRPr="00764F18">
              <w:rPr>
                <w:rFonts w:ascii="Arial Narrow" w:hAnsi="Arial Narrow" w:cs="Arial"/>
                <w:b/>
                <w:bCs/>
                <w:sz w:val="18"/>
                <w:szCs w:val="18"/>
              </w:rPr>
              <w:t>104,6</w:t>
            </w:r>
          </w:p>
        </w:tc>
      </w:tr>
      <w:tr w:rsidR="00764F18" w:rsidTr="000A36E9">
        <w:trPr>
          <w:trHeight w:val="255"/>
        </w:trPr>
        <w:tc>
          <w:tcPr>
            <w:tcW w:w="182" w:type="dxa"/>
            <w:tcBorders>
              <w:top w:val="nil"/>
              <w:left w:val="nil"/>
              <w:bottom w:val="nil"/>
              <w:right w:val="nil"/>
            </w:tcBorders>
            <w:shd w:val="clear" w:color="000000" w:fill="E2EFDA"/>
            <w:noWrap/>
            <w:vAlign w:val="center"/>
            <w:hideMark/>
          </w:tcPr>
          <w:p w:rsidR="00764F18" w:rsidRDefault="00764F18" w:rsidP="00764F18">
            <w:pPr>
              <w:rPr>
                <w:rFonts w:ascii="Arial Narrow" w:hAnsi="Arial Narrow"/>
                <w:b/>
                <w:bCs/>
                <w:sz w:val="18"/>
                <w:szCs w:val="18"/>
              </w:rPr>
            </w:pPr>
            <w:r>
              <w:rPr>
                <w:rFonts w:ascii="Arial Narrow" w:hAnsi="Arial Narrow"/>
                <w:b/>
                <w:bCs/>
                <w:sz w:val="18"/>
                <w:szCs w:val="18"/>
              </w:rPr>
              <w:t> </w:t>
            </w:r>
          </w:p>
        </w:tc>
        <w:tc>
          <w:tcPr>
            <w:tcW w:w="182" w:type="dxa"/>
            <w:tcBorders>
              <w:top w:val="nil"/>
              <w:left w:val="nil"/>
              <w:bottom w:val="nil"/>
              <w:right w:val="nil"/>
            </w:tcBorders>
            <w:shd w:val="clear" w:color="000000" w:fill="E2EFDA"/>
            <w:noWrap/>
            <w:vAlign w:val="center"/>
            <w:hideMark/>
          </w:tcPr>
          <w:p w:rsidR="00764F18" w:rsidRDefault="00764F18" w:rsidP="00764F18">
            <w:pPr>
              <w:rPr>
                <w:rFonts w:ascii="Arial Narrow" w:hAnsi="Arial Narrow"/>
                <w:b/>
                <w:bCs/>
                <w:sz w:val="18"/>
                <w:szCs w:val="18"/>
              </w:rPr>
            </w:pPr>
            <w:r>
              <w:rPr>
                <w:rFonts w:ascii="Arial Narrow" w:hAnsi="Arial Narrow"/>
                <w:b/>
                <w:bCs/>
                <w:sz w:val="18"/>
                <w:szCs w:val="18"/>
              </w:rPr>
              <w:t> </w:t>
            </w:r>
          </w:p>
        </w:tc>
        <w:tc>
          <w:tcPr>
            <w:tcW w:w="4156" w:type="dxa"/>
            <w:gridSpan w:val="3"/>
            <w:tcBorders>
              <w:top w:val="nil"/>
              <w:left w:val="nil"/>
              <w:bottom w:val="nil"/>
              <w:right w:val="single" w:sz="4" w:space="0" w:color="FF0000"/>
            </w:tcBorders>
            <w:shd w:val="clear" w:color="000000" w:fill="E2EFDA"/>
            <w:noWrap/>
            <w:vAlign w:val="center"/>
            <w:hideMark/>
          </w:tcPr>
          <w:p w:rsidR="00764F18" w:rsidRDefault="00764F18" w:rsidP="00764F18">
            <w:pPr>
              <w:rPr>
                <w:rFonts w:ascii="Arial Narrow" w:hAnsi="Arial Narrow"/>
                <w:b/>
                <w:bCs/>
                <w:sz w:val="18"/>
                <w:szCs w:val="18"/>
              </w:rPr>
            </w:pPr>
            <w:r>
              <w:rPr>
                <w:rFonts w:ascii="Arial Narrow" w:hAnsi="Arial Narrow"/>
                <w:b/>
                <w:bCs/>
                <w:sz w:val="18"/>
                <w:szCs w:val="18"/>
              </w:rPr>
              <w:t>Peňažné dávky</w:t>
            </w:r>
          </w:p>
        </w:tc>
        <w:tc>
          <w:tcPr>
            <w:tcW w:w="756" w:type="dxa"/>
            <w:tcBorders>
              <w:top w:val="nil"/>
              <w:left w:val="nil"/>
              <w:bottom w:val="nil"/>
              <w:right w:val="single" w:sz="4" w:space="0" w:color="FF0000"/>
            </w:tcBorders>
            <w:shd w:val="clear" w:color="000000" w:fill="E2EFDA"/>
            <w:noWrap/>
            <w:vAlign w:val="bottom"/>
            <w:hideMark/>
          </w:tcPr>
          <w:p w:rsidR="00764F18" w:rsidRDefault="00764F18" w:rsidP="00764F18">
            <w:pPr>
              <w:jc w:val="right"/>
              <w:rPr>
                <w:rFonts w:ascii="Arial Narrow" w:hAnsi="Arial Narrow" w:cs="Calibri"/>
                <w:b/>
                <w:bCs/>
                <w:sz w:val="18"/>
                <w:szCs w:val="18"/>
                <w:lang w:eastAsia="sk-SK"/>
              </w:rPr>
            </w:pPr>
            <w:r>
              <w:rPr>
                <w:rFonts w:ascii="Arial Narrow" w:hAnsi="Arial Narrow" w:cs="Calibri"/>
                <w:b/>
                <w:bCs/>
                <w:sz w:val="18"/>
                <w:szCs w:val="18"/>
              </w:rPr>
              <w:t>6 229,8</w:t>
            </w:r>
          </w:p>
        </w:tc>
        <w:tc>
          <w:tcPr>
            <w:tcW w:w="678" w:type="dxa"/>
            <w:tcBorders>
              <w:top w:val="nil"/>
              <w:left w:val="nil"/>
              <w:bottom w:val="nil"/>
              <w:right w:val="single" w:sz="4" w:space="0" w:color="FF0000"/>
            </w:tcBorders>
            <w:shd w:val="clear" w:color="000000" w:fill="E2EFDA"/>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93,5</w:t>
            </w:r>
          </w:p>
        </w:tc>
        <w:tc>
          <w:tcPr>
            <w:tcW w:w="850" w:type="dxa"/>
            <w:tcBorders>
              <w:top w:val="nil"/>
              <w:left w:val="nil"/>
              <w:bottom w:val="nil"/>
              <w:right w:val="single" w:sz="4" w:space="0" w:color="FF0000"/>
            </w:tcBorders>
            <w:shd w:val="clear" w:color="000000" w:fill="E2EFDA"/>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986,0</w:t>
            </w:r>
          </w:p>
        </w:tc>
        <w:tc>
          <w:tcPr>
            <w:tcW w:w="742" w:type="dxa"/>
            <w:tcBorders>
              <w:top w:val="nil"/>
              <w:left w:val="nil"/>
              <w:bottom w:val="nil"/>
              <w:right w:val="single" w:sz="4" w:space="0" w:color="FF0000"/>
            </w:tcBorders>
            <w:shd w:val="clear" w:color="000000" w:fill="E2EFDA"/>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1 572,8</w:t>
            </w:r>
          </w:p>
        </w:tc>
        <w:tc>
          <w:tcPr>
            <w:tcW w:w="540" w:type="dxa"/>
            <w:tcBorders>
              <w:top w:val="nil"/>
              <w:left w:val="nil"/>
              <w:bottom w:val="nil"/>
              <w:right w:val="nil"/>
            </w:tcBorders>
            <w:shd w:val="clear" w:color="000000" w:fill="E2EFDA"/>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6,6</w:t>
            </w:r>
          </w:p>
        </w:tc>
        <w:tc>
          <w:tcPr>
            <w:tcW w:w="839" w:type="dxa"/>
            <w:tcBorders>
              <w:top w:val="nil"/>
              <w:left w:val="single" w:sz="4" w:space="0" w:color="FF0000"/>
              <w:bottom w:val="nil"/>
              <w:right w:val="nil"/>
            </w:tcBorders>
            <w:shd w:val="clear" w:color="000000" w:fill="E2EFDA"/>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104,8</w:t>
            </w:r>
          </w:p>
        </w:tc>
      </w:tr>
      <w:tr w:rsidR="00764F18" w:rsidTr="000A36E9">
        <w:trPr>
          <w:trHeight w:val="255"/>
        </w:trPr>
        <w:tc>
          <w:tcPr>
            <w:tcW w:w="182" w:type="dxa"/>
            <w:tcBorders>
              <w:top w:val="nil"/>
              <w:left w:val="nil"/>
              <w:bottom w:val="nil"/>
              <w:right w:val="nil"/>
            </w:tcBorders>
            <w:shd w:val="clear" w:color="auto" w:fill="auto"/>
            <w:noWrap/>
            <w:vAlign w:val="center"/>
            <w:hideMark/>
          </w:tcPr>
          <w:p w:rsidR="00764F18" w:rsidRDefault="00764F18" w:rsidP="00764F18">
            <w:pPr>
              <w:jc w:val="right"/>
              <w:rPr>
                <w:rFonts w:ascii="Arial" w:hAnsi="Arial" w:cs="Arial"/>
                <w:b/>
                <w:bCs/>
                <w:sz w:val="18"/>
                <w:szCs w:val="18"/>
              </w:rPr>
            </w:pPr>
          </w:p>
        </w:tc>
        <w:tc>
          <w:tcPr>
            <w:tcW w:w="182" w:type="dxa"/>
            <w:tcBorders>
              <w:top w:val="nil"/>
              <w:left w:val="nil"/>
              <w:bottom w:val="nil"/>
              <w:right w:val="nil"/>
            </w:tcBorders>
            <w:shd w:val="clear" w:color="auto" w:fill="auto"/>
            <w:noWrap/>
            <w:vAlign w:val="center"/>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center"/>
            <w:hideMark/>
          </w:tcPr>
          <w:p w:rsidR="00764F18" w:rsidRDefault="00764F18" w:rsidP="00764F18">
            <w:pPr>
              <w:rPr>
                <w:sz w:val="20"/>
                <w:szCs w:val="20"/>
              </w:rPr>
            </w:pPr>
          </w:p>
        </w:tc>
        <w:tc>
          <w:tcPr>
            <w:tcW w:w="4010" w:type="dxa"/>
            <w:gridSpan w:val="2"/>
            <w:tcBorders>
              <w:top w:val="nil"/>
              <w:left w:val="nil"/>
              <w:bottom w:val="nil"/>
              <w:right w:val="single" w:sz="4" w:space="0" w:color="FF0000"/>
            </w:tcBorders>
            <w:shd w:val="clear" w:color="auto" w:fill="auto"/>
            <w:noWrap/>
            <w:vAlign w:val="center"/>
            <w:hideMark/>
          </w:tcPr>
          <w:p w:rsidR="00764F18" w:rsidRDefault="00764F18" w:rsidP="00764F18">
            <w:pPr>
              <w:rPr>
                <w:rFonts w:ascii="Arial Narrow" w:hAnsi="Arial Narrow"/>
                <w:b/>
                <w:bCs/>
                <w:sz w:val="18"/>
                <w:szCs w:val="18"/>
              </w:rPr>
            </w:pPr>
            <w:r>
              <w:rPr>
                <w:rFonts w:ascii="Arial Narrow" w:hAnsi="Arial Narrow"/>
                <w:b/>
                <w:bCs/>
                <w:sz w:val="18"/>
                <w:szCs w:val="18"/>
              </w:rPr>
              <w:t xml:space="preserve"> Periodické</w:t>
            </w:r>
          </w:p>
        </w:tc>
        <w:tc>
          <w:tcPr>
            <w:tcW w:w="756"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b/>
                <w:bCs/>
                <w:sz w:val="18"/>
                <w:szCs w:val="18"/>
                <w:lang w:eastAsia="sk-SK"/>
              </w:rPr>
            </w:pPr>
            <w:r>
              <w:rPr>
                <w:rFonts w:ascii="Arial Narrow" w:hAnsi="Arial Narrow" w:cs="Calibri"/>
                <w:b/>
                <w:bCs/>
                <w:sz w:val="18"/>
                <w:szCs w:val="18"/>
              </w:rPr>
              <w:t>6 142,8</w:t>
            </w:r>
          </w:p>
        </w:tc>
        <w:tc>
          <w:tcPr>
            <w:tcW w:w="678"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92,2</w:t>
            </w:r>
          </w:p>
        </w:tc>
        <w:tc>
          <w:tcPr>
            <w:tcW w:w="850"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972,2</w:t>
            </w:r>
          </w:p>
        </w:tc>
        <w:tc>
          <w:tcPr>
            <w:tcW w:w="742"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1 550,8</w:t>
            </w:r>
          </w:p>
        </w:tc>
        <w:tc>
          <w:tcPr>
            <w:tcW w:w="540" w:type="dxa"/>
            <w:tcBorders>
              <w:top w:val="nil"/>
              <w:left w:val="nil"/>
              <w:bottom w:val="nil"/>
              <w:right w:val="nil"/>
            </w:tcBorders>
            <w:shd w:val="clear" w:color="auto" w:fill="auto"/>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6,5</w:t>
            </w:r>
          </w:p>
        </w:tc>
        <w:tc>
          <w:tcPr>
            <w:tcW w:w="839" w:type="dxa"/>
            <w:tcBorders>
              <w:top w:val="nil"/>
              <w:left w:val="single" w:sz="4" w:space="0" w:color="FF0000"/>
              <w:bottom w:val="nil"/>
              <w:right w:val="nil"/>
            </w:tcBorders>
            <w:shd w:val="clear" w:color="auto" w:fill="auto"/>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105,0</w:t>
            </w:r>
          </w:p>
        </w:tc>
      </w:tr>
      <w:tr w:rsidR="00764F18" w:rsidTr="000A36E9">
        <w:trPr>
          <w:trHeight w:val="255"/>
        </w:trPr>
        <w:tc>
          <w:tcPr>
            <w:tcW w:w="182" w:type="dxa"/>
            <w:tcBorders>
              <w:top w:val="nil"/>
              <w:left w:val="nil"/>
              <w:bottom w:val="nil"/>
              <w:right w:val="nil"/>
            </w:tcBorders>
            <w:shd w:val="clear" w:color="auto" w:fill="auto"/>
            <w:noWrap/>
            <w:vAlign w:val="bottom"/>
            <w:hideMark/>
          </w:tcPr>
          <w:p w:rsidR="00764F18" w:rsidRDefault="00764F18" w:rsidP="00764F18">
            <w:pPr>
              <w:jc w:val="right"/>
              <w:rPr>
                <w:rFonts w:ascii="Arial" w:hAnsi="Arial" w:cs="Arial"/>
                <w:b/>
                <w:bCs/>
                <w:sz w:val="18"/>
                <w:szCs w:val="18"/>
              </w:rPr>
            </w:pPr>
          </w:p>
        </w:tc>
        <w:tc>
          <w:tcPr>
            <w:tcW w:w="182"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3864" w:type="dxa"/>
            <w:tcBorders>
              <w:top w:val="nil"/>
              <w:left w:val="nil"/>
              <w:bottom w:val="nil"/>
              <w:right w:val="single" w:sz="4" w:space="0" w:color="FF0000"/>
            </w:tcBorders>
            <w:shd w:val="clear" w:color="auto" w:fill="auto"/>
            <w:noWrap/>
            <w:vAlign w:val="center"/>
            <w:hideMark/>
          </w:tcPr>
          <w:p w:rsidR="00764F18" w:rsidRDefault="00764F18" w:rsidP="00764F18">
            <w:pPr>
              <w:rPr>
                <w:rFonts w:ascii="Arial Narrow" w:hAnsi="Arial Narrow"/>
                <w:sz w:val="18"/>
                <w:szCs w:val="18"/>
              </w:rPr>
            </w:pPr>
            <w:r>
              <w:rPr>
                <w:rFonts w:ascii="Arial Narrow" w:hAnsi="Arial Narrow"/>
                <w:sz w:val="18"/>
                <w:szCs w:val="18"/>
              </w:rPr>
              <w:t>Starobný dôchodok</w:t>
            </w:r>
          </w:p>
        </w:tc>
        <w:tc>
          <w:tcPr>
            <w:tcW w:w="756"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lang w:eastAsia="sk-SK"/>
              </w:rPr>
            </w:pPr>
            <w:r>
              <w:rPr>
                <w:rFonts w:ascii="Arial Narrow" w:hAnsi="Arial Narrow" w:cs="Calibri"/>
                <w:sz w:val="18"/>
                <w:szCs w:val="18"/>
              </w:rPr>
              <w:t>5 909,5</w:t>
            </w:r>
          </w:p>
        </w:tc>
        <w:tc>
          <w:tcPr>
            <w:tcW w:w="678"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88,7</w:t>
            </w:r>
          </w:p>
        </w:tc>
        <w:tc>
          <w:tcPr>
            <w:tcW w:w="850"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935,3</w:t>
            </w:r>
          </w:p>
        </w:tc>
        <w:tc>
          <w:tcPr>
            <w:tcW w:w="742"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1 491,9</w:t>
            </w:r>
          </w:p>
        </w:tc>
        <w:tc>
          <w:tcPr>
            <w:tcW w:w="540" w:type="dxa"/>
            <w:tcBorders>
              <w:top w:val="nil"/>
              <w:left w:val="nil"/>
              <w:bottom w:val="nil"/>
              <w:right w:val="nil"/>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6,3</w:t>
            </w:r>
          </w:p>
        </w:tc>
        <w:tc>
          <w:tcPr>
            <w:tcW w:w="839" w:type="dxa"/>
            <w:tcBorders>
              <w:top w:val="nil"/>
              <w:left w:val="single" w:sz="4" w:space="0" w:color="FF0000"/>
              <w:bottom w:val="nil"/>
              <w:right w:val="nil"/>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105,3</w:t>
            </w:r>
          </w:p>
        </w:tc>
      </w:tr>
      <w:tr w:rsidR="00764F18" w:rsidTr="000A36E9">
        <w:trPr>
          <w:trHeight w:val="255"/>
        </w:trPr>
        <w:tc>
          <w:tcPr>
            <w:tcW w:w="182" w:type="dxa"/>
            <w:tcBorders>
              <w:top w:val="nil"/>
              <w:left w:val="nil"/>
              <w:bottom w:val="nil"/>
              <w:right w:val="nil"/>
            </w:tcBorders>
            <w:shd w:val="clear" w:color="auto" w:fill="auto"/>
            <w:noWrap/>
            <w:vAlign w:val="bottom"/>
            <w:hideMark/>
          </w:tcPr>
          <w:p w:rsidR="00764F18" w:rsidRDefault="00764F18" w:rsidP="00764F18">
            <w:pPr>
              <w:jc w:val="right"/>
              <w:rPr>
                <w:rFonts w:ascii="Arial" w:hAnsi="Arial" w:cs="Arial"/>
                <w:sz w:val="18"/>
                <w:szCs w:val="18"/>
              </w:rPr>
            </w:pPr>
          </w:p>
        </w:tc>
        <w:tc>
          <w:tcPr>
            <w:tcW w:w="182"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3864" w:type="dxa"/>
            <w:tcBorders>
              <w:top w:val="nil"/>
              <w:left w:val="nil"/>
              <w:bottom w:val="nil"/>
              <w:right w:val="single" w:sz="4" w:space="0" w:color="FF0000"/>
            </w:tcBorders>
            <w:shd w:val="clear" w:color="auto" w:fill="auto"/>
            <w:noWrap/>
            <w:vAlign w:val="center"/>
            <w:hideMark/>
          </w:tcPr>
          <w:p w:rsidR="00764F18" w:rsidRDefault="00764F18" w:rsidP="00764F18">
            <w:pPr>
              <w:rPr>
                <w:rFonts w:ascii="Arial Narrow" w:hAnsi="Arial Narrow"/>
                <w:sz w:val="18"/>
                <w:szCs w:val="18"/>
              </w:rPr>
            </w:pPr>
            <w:r>
              <w:rPr>
                <w:rFonts w:ascii="Arial Narrow" w:hAnsi="Arial Narrow"/>
                <w:sz w:val="18"/>
                <w:szCs w:val="18"/>
              </w:rPr>
              <w:t>Očakávaný starobný dôchodok</w:t>
            </w:r>
          </w:p>
        </w:tc>
        <w:tc>
          <w:tcPr>
            <w:tcW w:w="756"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lang w:eastAsia="sk-SK"/>
              </w:rPr>
            </w:pPr>
            <w:r>
              <w:rPr>
                <w:rFonts w:ascii="Arial Narrow" w:hAnsi="Arial Narrow" w:cs="Calibri"/>
                <w:sz w:val="18"/>
                <w:szCs w:val="18"/>
              </w:rPr>
              <w:t>192,7</w:t>
            </w:r>
          </w:p>
        </w:tc>
        <w:tc>
          <w:tcPr>
            <w:tcW w:w="678"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2,9</w:t>
            </w:r>
          </w:p>
        </w:tc>
        <w:tc>
          <w:tcPr>
            <w:tcW w:w="850"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30,5</w:t>
            </w:r>
          </w:p>
        </w:tc>
        <w:tc>
          <w:tcPr>
            <w:tcW w:w="742"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48,7</w:t>
            </w:r>
          </w:p>
        </w:tc>
        <w:tc>
          <w:tcPr>
            <w:tcW w:w="540" w:type="dxa"/>
            <w:tcBorders>
              <w:top w:val="nil"/>
              <w:left w:val="nil"/>
              <w:bottom w:val="nil"/>
              <w:right w:val="nil"/>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0,2</w:t>
            </w:r>
          </w:p>
        </w:tc>
        <w:tc>
          <w:tcPr>
            <w:tcW w:w="839" w:type="dxa"/>
            <w:tcBorders>
              <w:top w:val="nil"/>
              <w:left w:val="single" w:sz="4" w:space="0" w:color="FF0000"/>
              <w:bottom w:val="nil"/>
              <w:right w:val="nil"/>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95,1</w:t>
            </w:r>
          </w:p>
        </w:tc>
      </w:tr>
      <w:tr w:rsidR="007952AE" w:rsidTr="000A36E9">
        <w:trPr>
          <w:trHeight w:val="255"/>
        </w:trPr>
        <w:tc>
          <w:tcPr>
            <w:tcW w:w="182" w:type="dxa"/>
            <w:tcBorders>
              <w:top w:val="nil"/>
              <w:left w:val="nil"/>
              <w:bottom w:val="nil"/>
              <w:right w:val="nil"/>
            </w:tcBorders>
            <w:shd w:val="clear" w:color="auto" w:fill="auto"/>
            <w:noWrap/>
            <w:vAlign w:val="bottom"/>
            <w:hideMark/>
          </w:tcPr>
          <w:p w:rsidR="007952AE" w:rsidRDefault="007952AE">
            <w:pPr>
              <w:jc w:val="right"/>
              <w:rPr>
                <w:rFonts w:ascii="Arial" w:hAnsi="Arial" w:cs="Arial"/>
                <w:sz w:val="18"/>
                <w:szCs w:val="18"/>
              </w:rPr>
            </w:pPr>
          </w:p>
        </w:tc>
        <w:tc>
          <w:tcPr>
            <w:tcW w:w="182" w:type="dxa"/>
            <w:tcBorders>
              <w:top w:val="nil"/>
              <w:left w:val="nil"/>
              <w:bottom w:val="nil"/>
              <w:right w:val="nil"/>
            </w:tcBorders>
            <w:shd w:val="clear" w:color="auto" w:fill="auto"/>
            <w:noWrap/>
            <w:vAlign w:val="bottom"/>
            <w:hideMark/>
          </w:tcPr>
          <w:p w:rsidR="007952AE" w:rsidRDefault="007952AE">
            <w:pPr>
              <w:rPr>
                <w:sz w:val="20"/>
                <w:szCs w:val="20"/>
              </w:rPr>
            </w:pPr>
          </w:p>
        </w:tc>
        <w:tc>
          <w:tcPr>
            <w:tcW w:w="146" w:type="dxa"/>
            <w:tcBorders>
              <w:top w:val="nil"/>
              <w:left w:val="nil"/>
              <w:bottom w:val="nil"/>
              <w:right w:val="nil"/>
            </w:tcBorders>
            <w:shd w:val="clear" w:color="auto" w:fill="auto"/>
            <w:noWrap/>
            <w:vAlign w:val="bottom"/>
            <w:hideMark/>
          </w:tcPr>
          <w:p w:rsidR="007952AE" w:rsidRDefault="007952AE">
            <w:pPr>
              <w:rPr>
                <w:sz w:val="20"/>
                <w:szCs w:val="20"/>
              </w:rPr>
            </w:pPr>
          </w:p>
        </w:tc>
        <w:tc>
          <w:tcPr>
            <w:tcW w:w="146" w:type="dxa"/>
            <w:tcBorders>
              <w:top w:val="nil"/>
              <w:left w:val="nil"/>
              <w:bottom w:val="nil"/>
              <w:right w:val="nil"/>
            </w:tcBorders>
            <w:shd w:val="clear" w:color="auto" w:fill="auto"/>
            <w:noWrap/>
            <w:vAlign w:val="bottom"/>
            <w:hideMark/>
          </w:tcPr>
          <w:p w:rsidR="007952AE" w:rsidRDefault="007952AE">
            <w:pPr>
              <w:rPr>
                <w:sz w:val="20"/>
                <w:szCs w:val="20"/>
              </w:rPr>
            </w:pPr>
          </w:p>
        </w:tc>
        <w:tc>
          <w:tcPr>
            <w:tcW w:w="3864" w:type="dxa"/>
            <w:tcBorders>
              <w:top w:val="nil"/>
              <w:left w:val="nil"/>
              <w:bottom w:val="nil"/>
              <w:right w:val="single" w:sz="4" w:space="0" w:color="FF0000"/>
            </w:tcBorders>
            <w:shd w:val="clear" w:color="auto" w:fill="auto"/>
            <w:noWrap/>
            <w:vAlign w:val="center"/>
            <w:hideMark/>
          </w:tcPr>
          <w:p w:rsidR="007952AE" w:rsidRDefault="007952AE">
            <w:pPr>
              <w:rPr>
                <w:rFonts w:ascii="Arial Narrow" w:hAnsi="Arial Narrow"/>
                <w:sz w:val="18"/>
                <w:szCs w:val="18"/>
              </w:rPr>
            </w:pPr>
            <w:r>
              <w:rPr>
                <w:rFonts w:ascii="Arial Narrow" w:hAnsi="Arial Narrow"/>
                <w:sz w:val="18"/>
                <w:szCs w:val="18"/>
              </w:rPr>
              <w:t>Čiastočný dôchodok</w:t>
            </w:r>
          </w:p>
        </w:tc>
        <w:tc>
          <w:tcPr>
            <w:tcW w:w="756" w:type="dxa"/>
            <w:tcBorders>
              <w:top w:val="nil"/>
              <w:left w:val="nil"/>
              <w:bottom w:val="nil"/>
              <w:right w:val="single" w:sz="4" w:space="0" w:color="FF0000"/>
            </w:tcBorders>
            <w:shd w:val="clear" w:color="auto" w:fill="auto"/>
            <w:noWrap/>
            <w:vAlign w:val="bottom"/>
            <w:hideMark/>
          </w:tcPr>
          <w:p w:rsidR="007952AE" w:rsidRPr="000A36E9" w:rsidRDefault="007952AE">
            <w:pPr>
              <w:jc w:val="right"/>
              <w:rPr>
                <w:rFonts w:ascii="Arial Narrow" w:hAnsi="Arial Narrow"/>
                <w:sz w:val="18"/>
                <w:szCs w:val="18"/>
              </w:rPr>
            </w:pPr>
            <w:r w:rsidRPr="000A36E9">
              <w:rPr>
                <w:rFonts w:ascii="Arial Narrow" w:hAnsi="Arial Narrow"/>
                <w:sz w:val="18"/>
                <w:szCs w:val="18"/>
              </w:rPr>
              <w:t>0,0</w:t>
            </w:r>
          </w:p>
        </w:tc>
        <w:tc>
          <w:tcPr>
            <w:tcW w:w="678" w:type="dxa"/>
            <w:tcBorders>
              <w:top w:val="nil"/>
              <w:left w:val="nil"/>
              <w:bottom w:val="nil"/>
              <w:right w:val="single" w:sz="4" w:space="0" w:color="FF0000"/>
            </w:tcBorders>
            <w:shd w:val="clear" w:color="auto" w:fill="auto"/>
            <w:noWrap/>
            <w:vAlign w:val="bottom"/>
            <w:hideMark/>
          </w:tcPr>
          <w:p w:rsidR="007952AE" w:rsidRPr="000A36E9" w:rsidRDefault="007952AE">
            <w:pPr>
              <w:jc w:val="right"/>
              <w:rPr>
                <w:rFonts w:ascii="Arial Narrow" w:hAnsi="Arial Narrow"/>
                <w:sz w:val="18"/>
                <w:szCs w:val="18"/>
              </w:rPr>
            </w:pPr>
            <w:r w:rsidRPr="000A36E9">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7952AE" w:rsidRPr="000A36E9" w:rsidRDefault="007952AE">
            <w:pPr>
              <w:jc w:val="right"/>
              <w:rPr>
                <w:rFonts w:ascii="Arial Narrow" w:hAnsi="Arial Narrow"/>
                <w:sz w:val="18"/>
                <w:szCs w:val="18"/>
              </w:rPr>
            </w:pPr>
            <w:r w:rsidRPr="000A36E9">
              <w:rPr>
                <w:rFonts w:ascii="Arial Narrow" w:hAnsi="Arial Narrow"/>
                <w:sz w:val="18"/>
                <w:szCs w:val="18"/>
              </w:rPr>
              <w:t>0,0</w:t>
            </w:r>
          </w:p>
        </w:tc>
        <w:tc>
          <w:tcPr>
            <w:tcW w:w="742" w:type="dxa"/>
            <w:tcBorders>
              <w:top w:val="nil"/>
              <w:left w:val="nil"/>
              <w:bottom w:val="nil"/>
              <w:right w:val="single" w:sz="4" w:space="0" w:color="FF0000"/>
            </w:tcBorders>
            <w:shd w:val="clear" w:color="auto" w:fill="auto"/>
            <w:noWrap/>
            <w:vAlign w:val="bottom"/>
            <w:hideMark/>
          </w:tcPr>
          <w:p w:rsidR="007952AE" w:rsidRPr="000A36E9" w:rsidRDefault="007952AE">
            <w:pPr>
              <w:jc w:val="right"/>
              <w:rPr>
                <w:rFonts w:ascii="Arial Narrow" w:hAnsi="Arial Narrow"/>
                <w:sz w:val="18"/>
                <w:szCs w:val="18"/>
              </w:rPr>
            </w:pPr>
            <w:r w:rsidRPr="000A36E9">
              <w:rPr>
                <w:rFonts w:ascii="Arial Narrow" w:hAnsi="Arial Narrow"/>
                <w:sz w:val="18"/>
                <w:szCs w:val="18"/>
              </w:rPr>
              <w:t>0,0</w:t>
            </w:r>
          </w:p>
        </w:tc>
        <w:tc>
          <w:tcPr>
            <w:tcW w:w="540" w:type="dxa"/>
            <w:tcBorders>
              <w:top w:val="nil"/>
              <w:left w:val="nil"/>
              <w:bottom w:val="nil"/>
              <w:right w:val="nil"/>
            </w:tcBorders>
            <w:shd w:val="clear" w:color="auto" w:fill="auto"/>
            <w:noWrap/>
            <w:vAlign w:val="bottom"/>
            <w:hideMark/>
          </w:tcPr>
          <w:p w:rsidR="007952AE" w:rsidRPr="000A36E9" w:rsidRDefault="007952AE">
            <w:pPr>
              <w:jc w:val="right"/>
              <w:rPr>
                <w:rFonts w:ascii="Arial Narrow" w:hAnsi="Arial Narrow"/>
                <w:sz w:val="18"/>
                <w:szCs w:val="18"/>
              </w:rPr>
            </w:pPr>
            <w:r w:rsidRPr="000A36E9">
              <w:rPr>
                <w:rFonts w:ascii="Arial Narrow" w:hAnsi="Arial Narrow"/>
                <w:sz w:val="18"/>
                <w:szCs w:val="18"/>
              </w:rPr>
              <w:t>0,0</w:t>
            </w:r>
          </w:p>
        </w:tc>
        <w:tc>
          <w:tcPr>
            <w:tcW w:w="839" w:type="dxa"/>
            <w:tcBorders>
              <w:top w:val="nil"/>
              <w:left w:val="single" w:sz="4" w:space="0" w:color="FF0000"/>
              <w:bottom w:val="nil"/>
              <w:right w:val="nil"/>
            </w:tcBorders>
            <w:shd w:val="clear" w:color="auto" w:fill="auto"/>
            <w:noWrap/>
            <w:vAlign w:val="bottom"/>
            <w:hideMark/>
          </w:tcPr>
          <w:p w:rsidR="007952AE" w:rsidRPr="000A36E9" w:rsidRDefault="007952AE">
            <w:pPr>
              <w:jc w:val="right"/>
              <w:rPr>
                <w:rFonts w:ascii="Arial Narrow" w:hAnsi="Arial Narrow" w:cs="Arial"/>
                <w:sz w:val="18"/>
                <w:szCs w:val="18"/>
              </w:rPr>
            </w:pPr>
            <w:r w:rsidRPr="000A36E9">
              <w:rPr>
                <w:rFonts w:ascii="Arial Narrow" w:hAnsi="Arial Narrow" w:cs="Arial"/>
                <w:sz w:val="18"/>
                <w:szCs w:val="18"/>
              </w:rPr>
              <w:t>x</w:t>
            </w:r>
          </w:p>
        </w:tc>
      </w:tr>
      <w:tr w:rsidR="007952AE" w:rsidTr="000A36E9">
        <w:trPr>
          <w:trHeight w:val="255"/>
        </w:trPr>
        <w:tc>
          <w:tcPr>
            <w:tcW w:w="182" w:type="dxa"/>
            <w:tcBorders>
              <w:top w:val="nil"/>
              <w:left w:val="nil"/>
              <w:bottom w:val="nil"/>
              <w:right w:val="nil"/>
            </w:tcBorders>
            <w:shd w:val="clear" w:color="auto" w:fill="auto"/>
            <w:noWrap/>
            <w:vAlign w:val="bottom"/>
            <w:hideMark/>
          </w:tcPr>
          <w:p w:rsidR="007952AE" w:rsidRDefault="007952AE">
            <w:pPr>
              <w:jc w:val="right"/>
              <w:rPr>
                <w:rFonts w:ascii="Arial" w:hAnsi="Arial" w:cs="Arial"/>
                <w:sz w:val="18"/>
                <w:szCs w:val="18"/>
              </w:rPr>
            </w:pPr>
          </w:p>
        </w:tc>
        <w:tc>
          <w:tcPr>
            <w:tcW w:w="182" w:type="dxa"/>
            <w:tcBorders>
              <w:top w:val="nil"/>
              <w:left w:val="nil"/>
              <w:bottom w:val="nil"/>
              <w:right w:val="nil"/>
            </w:tcBorders>
            <w:shd w:val="clear" w:color="auto" w:fill="auto"/>
            <w:noWrap/>
            <w:vAlign w:val="bottom"/>
            <w:hideMark/>
          </w:tcPr>
          <w:p w:rsidR="007952AE" w:rsidRDefault="007952AE">
            <w:pPr>
              <w:rPr>
                <w:sz w:val="20"/>
                <w:szCs w:val="20"/>
              </w:rPr>
            </w:pPr>
          </w:p>
        </w:tc>
        <w:tc>
          <w:tcPr>
            <w:tcW w:w="146" w:type="dxa"/>
            <w:tcBorders>
              <w:top w:val="nil"/>
              <w:left w:val="nil"/>
              <w:bottom w:val="nil"/>
              <w:right w:val="nil"/>
            </w:tcBorders>
            <w:shd w:val="clear" w:color="auto" w:fill="auto"/>
            <w:noWrap/>
            <w:vAlign w:val="bottom"/>
            <w:hideMark/>
          </w:tcPr>
          <w:p w:rsidR="007952AE" w:rsidRDefault="007952AE">
            <w:pPr>
              <w:rPr>
                <w:sz w:val="20"/>
                <w:szCs w:val="20"/>
              </w:rPr>
            </w:pPr>
          </w:p>
        </w:tc>
        <w:tc>
          <w:tcPr>
            <w:tcW w:w="146" w:type="dxa"/>
            <w:tcBorders>
              <w:top w:val="nil"/>
              <w:left w:val="nil"/>
              <w:bottom w:val="nil"/>
              <w:right w:val="nil"/>
            </w:tcBorders>
            <w:shd w:val="clear" w:color="auto" w:fill="auto"/>
            <w:noWrap/>
            <w:vAlign w:val="bottom"/>
            <w:hideMark/>
          </w:tcPr>
          <w:p w:rsidR="007952AE" w:rsidRDefault="007952AE">
            <w:pPr>
              <w:rPr>
                <w:sz w:val="20"/>
                <w:szCs w:val="20"/>
              </w:rPr>
            </w:pPr>
          </w:p>
        </w:tc>
        <w:tc>
          <w:tcPr>
            <w:tcW w:w="3864" w:type="dxa"/>
            <w:tcBorders>
              <w:top w:val="nil"/>
              <w:left w:val="nil"/>
              <w:bottom w:val="nil"/>
              <w:right w:val="single" w:sz="4" w:space="0" w:color="FF0000"/>
            </w:tcBorders>
            <w:shd w:val="clear" w:color="auto" w:fill="auto"/>
            <w:noWrap/>
            <w:vAlign w:val="center"/>
            <w:hideMark/>
          </w:tcPr>
          <w:p w:rsidR="007952AE" w:rsidRDefault="007952AE">
            <w:pPr>
              <w:rPr>
                <w:rFonts w:ascii="Arial Narrow" w:hAnsi="Arial Narrow"/>
                <w:sz w:val="18"/>
                <w:szCs w:val="18"/>
              </w:rPr>
            </w:pPr>
            <w:r>
              <w:rPr>
                <w:rFonts w:ascii="Arial Narrow" w:hAnsi="Arial Narrow"/>
                <w:sz w:val="18"/>
                <w:szCs w:val="18"/>
              </w:rPr>
              <w:t>Prídavok na starostlivosť</w:t>
            </w:r>
          </w:p>
        </w:tc>
        <w:tc>
          <w:tcPr>
            <w:tcW w:w="756" w:type="dxa"/>
            <w:tcBorders>
              <w:top w:val="nil"/>
              <w:left w:val="nil"/>
              <w:bottom w:val="nil"/>
              <w:right w:val="single" w:sz="4" w:space="0" w:color="FF0000"/>
            </w:tcBorders>
            <w:shd w:val="clear" w:color="auto" w:fill="auto"/>
            <w:noWrap/>
            <w:vAlign w:val="bottom"/>
            <w:hideMark/>
          </w:tcPr>
          <w:p w:rsidR="007952AE" w:rsidRPr="000A36E9" w:rsidRDefault="007952AE">
            <w:pPr>
              <w:jc w:val="right"/>
              <w:rPr>
                <w:rFonts w:ascii="Arial Narrow" w:hAnsi="Arial Narrow"/>
                <w:sz w:val="18"/>
                <w:szCs w:val="18"/>
              </w:rPr>
            </w:pPr>
            <w:r w:rsidRPr="000A36E9">
              <w:rPr>
                <w:rFonts w:ascii="Arial Narrow" w:hAnsi="Arial Narrow"/>
                <w:sz w:val="18"/>
                <w:szCs w:val="18"/>
              </w:rPr>
              <w:t>0,0</w:t>
            </w:r>
          </w:p>
        </w:tc>
        <w:tc>
          <w:tcPr>
            <w:tcW w:w="678" w:type="dxa"/>
            <w:tcBorders>
              <w:top w:val="nil"/>
              <w:left w:val="nil"/>
              <w:bottom w:val="nil"/>
              <w:right w:val="single" w:sz="4" w:space="0" w:color="FF0000"/>
            </w:tcBorders>
            <w:shd w:val="clear" w:color="auto" w:fill="auto"/>
            <w:noWrap/>
            <w:vAlign w:val="bottom"/>
            <w:hideMark/>
          </w:tcPr>
          <w:p w:rsidR="007952AE" w:rsidRPr="000A36E9" w:rsidRDefault="007952AE">
            <w:pPr>
              <w:jc w:val="right"/>
              <w:rPr>
                <w:rFonts w:ascii="Arial Narrow" w:hAnsi="Arial Narrow"/>
                <w:sz w:val="18"/>
                <w:szCs w:val="18"/>
              </w:rPr>
            </w:pPr>
            <w:r w:rsidRPr="000A36E9">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7952AE" w:rsidRPr="000A36E9" w:rsidRDefault="007952AE">
            <w:pPr>
              <w:jc w:val="right"/>
              <w:rPr>
                <w:rFonts w:ascii="Arial Narrow" w:hAnsi="Arial Narrow"/>
                <w:sz w:val="18"/>
                <w:szCs w:val="18"/>
              </w:rPr>
            </w:pPr>
            <w:r w:rsidRPr="000A36E9">
              <w:rPr>
                <w:rFonts w:ascii="Arial Narrow" w:hAnsi="Arial Narrow"/>
                <w:sz w:val="18"/>
                <w:szCs w:val="18"/>
              </w:rPr>
              <w:t>0,0</w:t>
            </w:r>
          </w:p>
        </w:tc>
        <w:tc>
          <w:tcPr>
            <w:tcW w:w="742" w:type="dxa"/>
            <w:tcBorders>
              <w:top w:val="nil"/>
              <w:left w:val="nil"/>
              <w:bottom w:val="nil"/>
              <w:right w:val="single" w:sz="4" w:space="0" w:color="FF0000"/>
            </w:tcBorders>
            <w:shd w:val="clear" w:color="auto" w:fill="auto"/>
            <w:noWrap/>
            <w:vAlign w:val="bottom"/>
            <w:hideMark/>
          </w:tcPr>
          <w:p w:rsidR="007952AE" w:rsidRPr="000A36E9" w:rsidRDefault="007952AE">
            <w:pPr>
              <w:jc w:val="right"/>
              <w:rPr>
                <w:rFonts w:ascii="Arial Narrow" w:hAnsi="Arial Narrow"/>
                <w:sz w:val="18"/>
                <w:szCs w:val="18"/>
              </w:rPr>
            </w:pPr>
            <w:r w:rsidRPr="000A36E9">
              <w:rPr>
                <w:rFonts w:ascii="Arial Narrow" w:hAnsi="Arial Narrow"/>
                <w:sz w:val="18"/>
                <w:szCs w:val="18"/>
              </w:rPr>
              <w:t>0,0</w:t>
            </w:r>
          </w:p>
        </w:tc>
        <w:tc>
          <w:tcPr>
            <w:tcW w:w="540" w:type="dxa"/>
            <w:tcBorders>
              <w:top w:val="nil"/>
              <w:left w:val="nil"/>
              <w:bottom w:val="nil"/>
              <w:right w:val="nil"/>
            </w:tcBorders>
            <w:shd w:val="clear" w:color="auto" w:fill="auto"/>
            <w:noWrap/>
            <w:vAlign w:val="bottom"/>
            <w:hideMark/>
          </w:tcPr>
          <w:p w:rsidR="007952AE" w:rsidRPr="000A36E9" w:rsidRDefault="007952AE">
            <w:pPr>
              <w:jc w:val="right"/>
              <w:rPr>
                <w:rFonts w:ascii="Arial Narrow" w:hAnsi="Arial Narrow"/>
                <w:sz w:val="18"/>
                <w:szCs w:val="18"/>
              </w:rPr>
            </w:pPr>
            <w:r w:rsidRPr="000A36E9">
              <w:rPr>
                <w:rFonts w:ascii="Arial Narrow" w:hAnsi="Arial Narrow"/>
                <w:sz w:val="18"/>
                <w:szCs w:val="18"/>
              </w:rPr>
              <w:t>0,0</w:t>
            </w:r>
          </w:p>
        </w:tc>
        <w:tc>
          <w:tcPr>
            <w:tcW w:w="839" w:type="dxa"/>
            <w:tcBorders>
              <w:top w:val="nil"/>
              <w:left w:val="single" w:sz="4" w:space="0" w:color="FF0000"/>
              <w:bottom w:val="nil"/>
              <w:right w:val="nil"/>
            </w:tcBorders>
            <w:shd w:val="clear" w:color="auto" w:fill="auto"/>
            <w:noWrap/>
            <w:vAlign w:val="bottom"/>
            <w:hideMark/>
          </w:tcPr>
          <w:p w:rsidR="007952AE" w:rsidRPr="000A36E9" w:rsidRDefault="007952AE">
            <w:pPr>
              <w:jc w:val="right"/>
              <w:rPr>
                <w:rFonts w:ascii="Arial Narrow" w:hAnsi="Arial Narrow" w:cs="Arial"/>
                <w:sz w:val="18"/>
                <w:szCs w:val="18"/>
              </w:rPr>
            </w:pPr>
            <w:r w:rsidRPr="000A36E9">
              <w:rPr>
                <w:rFonts w:ascii="Arial Narrow" w:hAnsi="Arial Narrow" w:cs="Arial"/>
                <w:sz w:val="18"/>
                <w:szCs w:val="18"/>
              </w:rPr>
              <w:t>x</w:t>
            </w:r>
          </w:p>
        </w:tc>
      </w:tr>
      <w:tr w:rsidR="00764F18" w:rsidTr="000A36E9">
        <w:trPr>
          <w:trHeight w:val="255"/>
        </w:trPr>
        <w:tc>
          <w:tcPr>
            <w:tcW w:w="182" w:type="dxa"/>
            <w:tcBorders>
              <w:top w:val="nil"/>
              <w:left w:val="nil"/>
              <w:bottom w:val="nil"/>
              <w:right w:val="nil"/>
            </w:tcBorders>
            <w:shd w:val="clear" w:color="auto" w:fill="auto"/>
            <w:noWrap/>
            <w:vAlign w:val="bottom"/>
            <w:hideMark/>
          </w:tcPr>
          <w:p w:rsidR="00764F18" w:rsidRDefault="00764F18" w:rsidP="00764F18">
            <w:pPr>
              <w:jc w:val="right"/>
              <w:rPr>
                <w:rFonts w:ascii="Arial" w:hAnsi="Arial" w:cs="Arial"/>
                <w:sz w:val="18"/>
                <w:szCs w:val="18"/>
              </w:rPr>
            </w:pPr>
          </w:p>
        </w:tc>
        <w:tc>
          <w:tcPr>
            <w:tcW w:w="182"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3864" w:type="dxa"/>
            <w:tcBorders>
              <w:top w:val="nil"/>
              <w:left w:val="nil"/>
              <w:bottom w:val="nil"/>
              <w:right w:val="single" w:sz="4" w:space="0" w:color="FF0000"/>
            </w:tcBorders>
            <w:shd w:val="clear" w:color="auto" w:fill="auto"/>
            <w:noWrap/>
            <w:vAlign w:val="center"/>
            <w:hideMark/>
          </w:tcPr>
          <w:p w:rsidR="00764F18" w:rsidRDefault="00764F18" w:rsidP="00764F18">
            <w:pPr>
              <w:rPr>
                <w:rFonts w:ascii="Arial Narrow" w:hAnsi="Arial Narrow"/>
                <w:sz w:val="18"/>
                <w:szCs w:val="18"/>
              </w:rPr>
            </w:pPr>
            <w:r>
              <w:rPr>
                <w:rFonts w:ascii="Arial Narrow" w:hAnsi="Arial Narrow"/>
                <w:sz w:val="18"/>
                <w:szCs w:val="18"/>
              </w:rPr>
              <w:t>Iné peňažné periodické dávky</w:t>
            </w:r>
          </w:p>
        </w:tc>
        <w:tc>
          <w:tcPr>
            <w:tcW w:w="756"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lang w:eastAsia="sk-SK"/>
              </w:rPr>
            </w:pPr>
            <w:r>
              <w:rPr>
                <w:rFonts w:ascii="Arial Narrow" w:hAnsi="Arial Narrow" w:cs="Calibri"/>
                <w:sz w:val="18"/>
                <w:szCs w:val="18"/>
              </w:rPr>
              <w:t>40,5</w:t>
            </w:r>
          </w:p>
        </w:tc>
        <w:tc>
          <w:tcPr>
            <w:tcW w:w="678"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0,6</w:t>
            </w:r>
          </w:p>
        </w:tc>
        <w:tc>
          <w:tcPr>
            <w:tcW w:w="850"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6,4</w:t>
            </w:r>
          </w:p>
        </w:tc>
        <w:tc>
          <w:tcPr>
            <w:tcW w:w="742"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10,2</w:t>
            </w:r>
          </w:p>
        </w:tc>
        <w:tc>
          <w:tcPr>
            <w:tcW w:w="540" w:type="dxa"/>
            <w:tcBorders>
              <w:top w:val="nil"/>
              <w:left w:val="nil"/>
              <w:bottom w:val="nil"/>
              <w:right w:val="nil"/>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0,0</w:t>
            </w:r>
          </w:p>
        </w:tc>
        <w:tc>
          <w:tcPr>
            <w:tcW w:w="839" w:type="dxa"/>
            <w:tcBorders>
              <w:top w:val="nil"/>
              <w:left w:val="single" w:sz="4" w:space="0" w:color="FF0000"/>
              <w:bottom w:val="nil"/>
              <w:right w:val="nil"/>
            </w:tcBorders>
            <w:shd w:val="clear" w:color="auto" w:fill="auto"/>
            <w:noWrap/>
            <w:vAlign w:val="bottom"/>
            <w:hideMark/>
          </w:tcPr>
          <w:p w:rsidR="00764F18" w:rsidRDefault="009D45B5" w:rsidP="00764F18">
            <w:pPr>
              <w:jc w:val="right"/>
              <w:rPr>
                <w:rFonts w:ascii="Arial Narrow" w:hAnsi="Arial Narrow" w:cs="Calibri"/>
                <w:sz w:val="18"/>
                <w:szCs w:val="18"/>
              </w:rPr>
            </w:pPr>
            <w:r>
              <w:rPr>
                <w:rFonts w:ascii="Arial Narrow" w:hAnsi="Arial Narrow" w:cs="Calibri"/>
                <w:sz w:val="18"/>
                <w:szCs w:val="18"/>
              </w:rPr>
              <w:t>104,4</w:t>
            </w:r>
          </w:p>
        </w:tc>
      </w:tr>
      <w:tr w:rsidR="00764F18" w:rsidTr="000A36E9">
        <w:trPr>
          <w:trHeight w:val="255"/>
        </w:trPr>
        <w:tc>
          <w:tcPr>
            <w:tcW w:w="182" w:type="dxa"/>
            <w:tcBorders>
              <w:top w:val="nil"/>
              <w:left w:val="nil"/>
              <w:bottom w:val="nil"/>
              <w:right w:val="nil"/>
            </w:tcBorders>
            <w:shd w:val="clear" w:color="auto" w:fill="auto"/>
            <w:noWrap/>
            <w:vAlign w:val="bottom"/>
            <w:hideMark/>
          </w:tcPr>
          <w:p w:rsidR="00764F18" w:rsidRDefault="00764F18" w:rsidP="00764F18">
            <w:pPr>
              <w:jc w:val="right"/>
              <w:rPr>
                <w:rFonts w:ascii="Arial" w:hAnsi="Arial" w:cs="Arial"/>
                <w:sz w:val="18"/>
                <w:szCs w:val="18"/>
              </w:rPr>
            </w:pPr>
          </w:p>
        </w:tc>
        <w:tc>
          <w:tcPr>
            <w:tcW w:w="182"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4010" w:type="dxa"/>
            <w:gridSpan w:val="2"/>
            <w:tcBorders>
              <w:top w:val="nil"/>
              <w:left w:val="nil"/>
              <w:bottom w:val="nil"/>
              <w:right w:val="single" w:sz="4" w:space="0" w:color="FF0000"/>
            </w:tcBorders>
            <w:shd w:val="clear" w:color="auto" w:fill="auto"/>
            <w:noWrap/>
            <w:vAlign w:val="center"/>
            <w:hideMark/>
          </w:tcPr>
          <w:p w:rsidR="00764F18" w:rsidRDefault="00764F18" w:rsidP="00764F18">
            <w:pPr>
              <w:rPr>
                <w:rFonts w:ascii="Arial Narrow" w:hAnsi="Arial Narrow"/>
                <w:b/>
                <w:bCs/>
                <w:sz w:val="18"/>
                <w:szCs w:val="18"/>
              </w:rPr>
            </w:pPr>
            <w:r>
              <w:rPr>
                <w:rFonts w:ascii="Arial Narrow" w:hAnsi="Arial Narrow"/>
                <w:b/>
                <w:bCs/>
                <w:sz w:val="18"/>
                <w:szCs w:val="18"/>
              </w:rPr>
              <w:t>Jednorazové</w:t>
            </w:r>
          </w:p>
        </w:tc>
        <w:tc>
          <w:tcPr>
            <w:tcW w:w="756"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b/>
                <w:bCs/>
                <w:sz w:val="18"/>
                <w:szCs w:val="18"/>
                <w:lang w:eastAsia="sk-SK"/>
              </w:rPr>
            </w:pPr>
            <w:r>
              <w:rPr>
                <w:rFonts w:ascii="Arial Narrow" w:hAnsi="Arial Narrow" w:cs="Calibri"/>
                <w:b/>
                <w:bCs/>
                <w:sz w:val="18"/>
                <w:szCs w:val="18"/>
              </w:rPr>
              <w:t>87,1</w:t>
            </w:r>
          </w:p>
        </w:tc>
        <w:tc>
          <w:tcPr>
            <w:tcW w:w="678"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1,3</w:t>
            </w:r>
          </w:p>
        </w:tc>
        <w:tc>
          <w:tcPr>
            <w:tcW w:w="850"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13,8</w:t>
            </w:r>
          </w:p>
        </w:tc>
        <w:tc>
          <w:tcPr>
            <w:tcW w:w="742"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22,0</w:t>
            </w:r>
          </w:p>
        </w:tc>
        <w:tc>
          <w:tcPr>
            <w:tcW w:w="540" w:type="dxa"/>
            <w:tcBorders>
              <w:top w:val="nil"/>
              <w:left w:val="nil"/>
              <w:bottom w:val="nil"/>
              <w:right w:val="nil"/>
            </w:tcBorders>
            <w:shd w:val="clear" w:color="auto" w:fill="auto"/>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0,1</w:t>
            </w:r>
          </w:p>
        </w:tc>
        <w:tc>
          <w:tcPr>
            <w:tcW w:w="839" w:type="dxa"/>
            <w:tcBorders>
              <w:top w:val="nil"/>
              <w:left w:val="single" w:sz="4" w:space="0" w:color="FF0000"/>
              <w:bottom w:val="nil"/>
              <w:right w:val="nil"/>
            </w:tcBorders>
            <w:shd w:val="clear" w:color="auto" w:fill="auto"/>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95,2</w:t>
            </w:r>
          </w:p>
        </w:tc>
      </w:tr>
      <w:tr w:rsidR="00764F18" w:rsidTr="000A36E9">
        <w:trPr>
          <w:trHeight w:val="255"/>
        </w:trPr>
        <w:tc>
          <w:tcPr>
            <w:tcW w:w="182" w:type="dxa"/>
            <w:tcBorders>
              <w:top w:val="nil"/>
              <w:left w:val="nil"/>
              <w:bottom w:val="nil"/>
              <w:right w:val="nil"/>
            </w:tcBorders>
            <w:shd w:val="clear" w:color="auto" w:fill="auto"/>
            <w:noWrap/>
            <w:vAlign w:val="bottom"/>
            <w:hideMark/>
          </w:tcPr>
          <w:p w:rsidR="00764F18" w:rsidRDefault="00764F18" w:rsidP="00764F18">
            <w:pPr>
              <w:jc w:val="right"/>
              <w:rPr>
                <w:rFonts w:ascii="Arial" w:hAnsi="Arial" w:cs="Arial"/>
                <w:b/>
                <w:bCs/>
                <w:sz w:val="18"/>
                <w:szCs w:val="18"/>
              </w:rPr>
            </w:pPr>
          </w:p>
        </w:tc>
        <w:tc>
          <w:tcPr>
            <w:tcW w:w="182"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3864" w:type="dxa"/>
            <w:tcBorders>
              <w:top w:val="nil"/>
              <w:left w:val="nil"/>
              <w:bottom w:val="nil"/>
              <w:right w:val="single" w:sz="4" w:space="0" w:color="FF0000"/>
            </w:tcBorders>
            <w:shd w:val="clear" w:color="auto" w:fill="auto"/>
            <w:noWrap/>
            <w:vAlign w:val="center"/>
            <w:hideMark/>
          </w:tcPr>
          <w:p w:rsidR="00764F18" w:rsidRDefault="00764F18" w:rsidP="00764F18">
            <w:pPr>
              <w:rPr>
                <w:rFonts w:ascii="Arial Narrow" w:hAnsi="Arial Narrow"/>
                <w:sz w:val="18"/>
                <w:szCs w:val="18"/>
              </w:rPr>
            </w:pPr>
            <w:r>
              <w:rPr>
                <w:rFonts w:ascii="Arial Narrow" w:hAnsi="Arial Narrow"/>
                <w:sz w:val="18"/>
                <w:szCs w:val="18"/>
              </w:rPr>
              <w:t>Iné jednorazové dávky</w:t>
            </w:r>
          </w:p>
        </w:tc>
        <w:tc>
          <w:tcPr>
            <w:tcW w:w="756"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lang w:eastAsia="sk-SK"/>
              </w:rPr>
            </w:pPr>
            <w:r>
              <w:rPr>
                <w:rFonts w:ascii="Arial Narrow" w:hAnsi="Arial Narrow" w:cs="Calibri"/>
                <w:sz w:val="18"/>
                <w:szCs w:val="18"/>
              </w:rPr>
              <w:t>87,1</w:t>
            </w:r>
          </w:p>
        </w:tc>
        <w:tc>
          <w:tcPr>
            <w:tcW w:w="678"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1,3</w:t>
            </w:r>
          </w:p>
        </w:tc>
        <w:tc>
          <w:tcPr>
            <w:tcW w:w="850"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13,8</w:t>
            </w:r>
          </w:p>
        </w:tc>
        <w:tc>
          <w:tcPr>
            <w:tcW w:w="742" w:type="dxa"/>
            <w:tcBorders>
              <w:top w:val="nil"/>
              <w:left w:val="nil"/>
              <w:bottom w:val="nil"/>
              <w:right w:val="single" w:sz="4" w:space="0" w:color="FF0000"/>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22,0</w:t>
            </w:r>
          </w:p>
        </w:tc>
        <w:tc>
          <w:tcPr>
            <w:tcW w:w="540" w:type="dxa"/>
            <w:tcBorders>
              <w:top w:val="nil"/>
              <w:left w:val="nil"/>
              <w:bottom w:val="nil"/>
              <w:right w:val="nil"/>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0,1</w:t>
            </w:r>
          </w:p>
        </w:tc>
        <w:tc>
          <w:tcPr>
            <w:tcW w:w="839" w:type="dxa"/>
            <w:tcBorders>
              <w:top w:val="nil"/>
              <w:left w:val="single" w:sz="4" w:space="0" w:color="FF0000"/>
              <w:bottom w:val="nil"/>
              <w:right w:val="nil"/>
            </w:tcBorders>
            <w:shd w:val="clear" w:color="auto" w:fill="auto"/>
            <w:noWrap/>
            <w:vAlign w:val="bottom"/>
            <w:hideMark/>
          </w:tcPr>
          <w:p w:rsidR="00764F18" w:rsidRDefault="00764F18" w:rsidP="00764F18">
            <w:pPr>
              <w:jc w:val="right"/>
              <w:rPr>
                <w:rFonts w:ascii="Arial Narrow" w:hAnsi="Arial Narrow" w:cs="Calibri"/>
                <w:sz w:val="18"/>
                <w:szCs w:val="18"/>
              </w:rPr>
            </w:pPr>
            <w:r>
              <w:rPr>
                <w:rFonts w:ascii="Arial Narrow" w:hAnsi="Arial Narrow" w:cs="Calibri"/>
                <w:sz w:val="18"/>
                <w:szCs w:val="18"/>
              </w:rPr>
              <w:t>95,2</w:t>
            </w:r>
          </w:p>
        </w:tc>
      </w:tr>
      <w:tr w:rsidR="00764F18" w:rsidTr="000A36E9">
        <w:trPr>
          <w:trHeight w:val="255"/>
        </w:trPr>
        <w:tc>
          <w:tcPr>
            <w:tcW w:w="182" w:type="dxa"/>
            <w:tcBorders>
              <w:top w:val="nil"/>
              <w:left w:val="nil"/>
              <w:bottom w:val="nil"/>
              <w:right w:val="nil"/>
            </w:tcBorders>
            <w:shd w:val="clear" w:color="000000" w:fill="E2EFDA"/>
            <w:noWrap/>
            <w:vAlign w:val="bottom"/>
            <w:hideMark/>
          </w:tcPr>
          <w:p w:rsidR="00764F18" w:rsidRDefault="00764F18" w:rsidP="00764F18">
            <w:pPr>
              <w:rPr>
                <w:rFonts w:ascii="Arial Narrow" w:hAnsi="Arial Narrow"/>
                <w:b/>
                <w:bCs/>
                <w:color w:val="FFFFFF"/>
                <w:sz w:val="18"/>
                <w:szCs w:val="18"/>
              </w:rPr>
            </w:pPr>
            <w:r>
              <w:rPr>
                <w:rFonts w:ascii="Arial Narrow" w:hAnsi="Arial Narrow"/>
                <w:b/>
                <w:bCs/>
                <w:color w:val="FFFFFF"/>
                <w:sz w:val="18"/>
                <w:szCs w:val="18"/>
              </w:rPr>
              <w:t> </w:t>
            </w:r>
          </w:p>
        </w:tc>
        <w:tc>
          <w:tcPr>
            <w:tcW w:w="182" w:type="dxa"/>
            <w:tcBorders>
              <w:top w:val="nil"/>
              <w:left w:val="nil"/>
              <w:bottom w:val="nil"/>
              <w:right w:val="nil"/>
            </w:tcBorders>
            <w:shd w:val="clear" w:color="000000" w:fill="E2EFDA"/>
            <w:noWrap/>
            <w:vAlign w:val="bottom"/>
            <w:hideMark/>
          </w:tcPr>
          <w:p w:rsidR="00764F18" w:rsidRDefault="00764F18" w:rsidP="00764F18">
            <w:pPr>
              <w:rPr>
                <w:rFonts w:ascii="Arial Narrow" w:hAnsi="Arial Narrow"/>
                <w:b/>
                <w:bCs/>
                <w:color w:val="FFFFFF"/>
                <w:sz w:val="18"/>
                <w:szCs w:val="18"/>
              </w:rPr>
            </w:pPr>
            <w:r>
              <w:rPr>
                <w:rFonts w:ascii="Arial Narrow" w:hAnsi="Arial Narrow"/>
                <w:b/>
                <w:bCs/>
                <w:color w:val="FFFFFF"/>
                <w:sz w:val="18"/>
                <w:szCs w:val="18"/>
              </w:rPr>
              <w:t> </w:t>
            </w:r>
          </w:p>
        </w:tc>
        <w:tc>
          <w:tcPr>
            <w:tcW w:w="4156" w:type="dxa"/>
            <w:gridSpan w:val="3"/>
            <w:tcBorders>
              <w:top w:val="nil"/>
              <w:left w:val="nil"/>
              <w:bottom w:val="nil"/>
              <w:right w:val="single" w:sz="4" w:space="0" w:color="FF0000"/>
            </w:tcBorders>
            <w:shd w:val="clear" w:color="000000" w:fill="E2EFDA"/>
            <w:noWrap/>
            <w:vAlign w:val="center"/>
            <w:hideMark/>
          </w:tcPr>
          <w:p w:rsidR="00764F18" w:rsidRDefault="00764F18" w:rsidP="00764F18">
            <w:pPr>
              <w:rPr>
                <w:rFonts w:ascii="Arial Narrow" w:hAnsi="Arial Narrow"/>
                <w:b/>
                <w:bCs/>
                <w:sz w:val="18"/>
                <w:szCs w:val="18"/>
              </w:rPr>
            </w:pPr>
            <w:r>
              <w:rPr>
                <w:rFonts w:ascii="Arial Narrow" w:hAnsi="Arial Narrow"/>
                <w:b/>
                <w:bCs/>
                <w:sz w:val="18"/>
                <w:szCs w:val="18"/>
              </w:rPr>
              <w:t>Vecné dávky</w:t>
            </w:r>
          </w:p>
        </w:tc>
        <w:tc>
          <w:tcPr>
            <w:tcW w:w="756" w:type="dxa"/>
            <w:tcBorders>
              <w:top w:val="nil"/>
              <w:left w:val="nil"/>
              <w:bottom w:val="nil"/>
              <w:right w:val="single" w:sz="4" w:space="0" w:color="FF0000"/>
            </w:tcBorders>
            <w:shd w:val="clear" w:color="000000" w:fill="E2EFDA"/>
            <w:noWrap/>
            <w:vAlign w:val="bottom"/>
            <w:hideMark/>
          </w:tcPr>
          <w:p w:rsidR="00764F18" w:rsidRPr="00764F18" w:rsidRDefault="00764F18" w:rsidP="00764F18">
            <w:pPr>
              <w:jc w:val="right"/>
              <w:rPr>
                <w:rFonts w:ascii="Arial Narrow" w:hAnsi="Arial Narrow" w:cs="Calibri"/>
                <w:b/>
                <w:bCs/>
                <w:sz w:val="18"/>
                <w:szCs w:val="18"/>
                <w:lang w:eastAsia="sk-SK"/>
              </w:rPr>
            </w:pPr>
            <w:r w:rsidRPr="00764F18">
              <w:rPr>
                <w:rFonts w:ascii="Arial Narrow" w:hAnsi="Arial Narrow" w:cs="Calibri"/>
                <w:b/>
                <w:bCs/>
                <w:sz w:val="18"/>
                <w:szCs w:val="18"/>
              </w:rPr>
              <w:t>265,2</w:t>
            </w:r>
          </w:p>
        </w:tc>
        <w:tc>
          <w:tcPr>
            <w:tcW w:w="678" w:type="dxa"/>
            <w:tcBorders>
              <w:top w:val="nil"/>
              <w:left w:val="nil"/>
              <w:bottom w:val="nil"/>
              <w:right w:val="single" w:sz="4" w:space="0" w:color="FF0000"/>
            </w:tcBorders>
            <w:shd w:val="clear" w:color="000000" w:fill="E2EFDA"/>
            <w:noWrap/>
            <w:vAlign w:val="bottom"/>
            <w:hideMark/>
          </w:tcPr>
          <w:p w:rsidR="00764F18" w:rsidRPr="00764F18" w:rsidRDefault="00764F18" w:rsidP="00764F18">
            <w:pPr>
              <w:jc w:val="right"/>
              <w:rPr>
                <w:rFonts w:ascii="Arial Narrow" w:hAnsi="Arial Narrow" w:cs="Calibri"/>
                <w:b/>
                <w:bCs/>
                <w:sz w:val="18"/>
                <w:szCs w:val="18"/>
              </w:rPr>
            </w:pPr>
            <w:r w:rsidRPr="00764F18">
              <w:rPr>
                <w:rFonts w:ascii="Arial Narrow" w:hAnsi="Arial Narrow" w:cs="Calibri"/>
                <w:b/>
                <w:bCs/>
                <w:sz w:val="18"/>
                <w:szCs w:val="18"/>
              </w:rPr>
              <w:t>4,0</w:t>
            </w:r>
          </w:p>
        </w:tc>
        <w:tc>
          <w:tcPr>
            <w:tcW w:w="850" w:type="dxa"/>
            <w:tcBorders>
              <w:top w:val="nil"/>
              <w:left w:val="nil"/>
              <w:bottom w:val="nil"/>
              <w:right w:val="single" w:sz="4" w:space="0" w:color="FF0000"/>
            </w:tcBorders>
            <w:shd w:val="clear" w:color="000000" w:fill="E2EFDA"/>
            <w:noWrap/>
            <w:vAlign w:val="bottom"/>
            <w:hideMark/>
          </w:tcPr>
          <w:p w:rsidR="00764F18" w:rsidRPr="00764F18" w:rsidRDefault="00764F18" w:rsidP="00764F18">
            <w:pPr>
              <w:jc w:val="right"/>
              <w:rPr>
                <w:rFonts w:ascii="Arial Narrow" w:hAnsi="Arial Narrow" w:cs="Calibri"/>
                <w:b/>
                <w:bCs/>
                <w:sz w:val="18"/>
                <w:szCs w:val="18"/>
              </w:rPr>
            </w:pPr>
            <w:r w:rsidRPr="00764F18">
              <w:rPr>
                <w:rFonts w:ascii="Arial Narrow" w:hAnsi="Arial Narrow" w:cs="Calibri"/>
                <w:b/>
                <w:bCs/>
                <w:sz w:val="18"/>
                <w:szCs w:val="18"/>
              </w:rPr>
              <w:t>42,0</w:t>
            </w:r>
          </w:p>
        </w:tc>
        <w:tc>
          <w:tcPr>
            <w:tcW w:w="742" w:type="dxa"/>
            <w:tcBorders>
              <w:top w:val="nil"/>
              <w:left w:val="nil"/>
              <w:bottom w:val="nil"/>
              <w:right w:val="single" w:sz="4" w:space="0" w:color="FF0000"/>
            </w:tcBorders>
            <w:shd w:val="clear" w:color="000000" w:fill="E2EFDA"/>
            <w:noWrap/>
            <w:vAlign w:val="bottom"/>
            <w:hideMark/>
          </w:tcPr>
          <w:p w:rsidR="00764F18" w:rsidRPr="00764F18" w:rsidRDefault="00764F18" w:rsidP="00764F18">
            <w:pPr>
              <w:jc w:val="right"/>
              <w:rPr>
                <w:rFonts w:ascii="Arial Narrow" w:hAnsi="Arial Narrow" w:cs="Calibri"/>
                <w:b/>
                <w:bCs/>
                <w:sz w:val="18"/>
                <w:szCs w:val="18"/>
              </w:rPr>
            </w:pPr>
            <w:r w:rsidRPr="00764F18">
              <w:rPr>
                <w:rFonts w:ascii="Arial Narrow" w:hAnsi="Arial Narrow" w:cs="Calibri"/>
                <w:b/>
                <w:bCs/>
                <w:sz w:val="18"/>
                <w:szCs w:val="18"/>
              </w:rPr>
              <w:t>67,0</w:t>
            </w:r>
          </w:p>
        </w:tc>
        <w:tc>
          <w:tcPr>
            <w:tcW w:w="540" w:type="dxa"/>
            <w:tcBorders>
              <w:top w:val="nil"/>
              <w:left w:val="nil"/>
              <w:bottom w:val="nil"/>
              <w:right w:val="nil"/>
            </w:tcBorders>
            <w:shd w:val="clear" w:color="000000" w:fill="E2EFDA"/>
            <w:noWrap/>
            <w:vAlign w:val="bottom"/>
            <w:hideMark/>
          </w:tcPr>
          <w:p w:rsidR="00764F18" w:rsidRPr="00764F18" w:rsidRDefault="00764F18" w:rsidP="00764F18">
            <w:pPr>
              <w:jc w:val="right"/>
              <w:rPr>
                <w:rFonts w:ascii="Arial Narrow" w:hAnsi="Arial Narrow" w:cs="Calibri"/>
                <w:b/>
                <w:bCs/>
                <w:sz w:val="18"/>
                <w:szCs w:val="18"/>
              </w:rPr>
            </w:pPr>
            <w:r w:rsidRPr="00764F18">
              <w:rPr>
                <w:rFonts w:ascii="Arial Narrow" w:hAnsi="Arial Narrow" w:cs="Calibri"/>
                <w:b/>
                <w:bCs/>
                <w:sz w:val="18"/>
                <w:szCs w:val="18"/>
              </w:rPr>
              <w:t>0,3</w:t>
            </w:r>
          </w:p>
        </w:tc>
        <w:tc>
          <w:tcPr>
            <w:tcW w:w="839" w:type="dxa"/>
            <w:tcBorders>
              <w:top w:val="nil"/>
              <w:left w:val="single" w:sz="4" w:space="0" w:color="FF0000"/>
              <w:bottom w:val="nil"/>
              <w:right w:val="nil"/>
            </w:tcBorders>
            <w:shd w:val="clear" w:color="000000" w:fill="E2EFDA"/>
            <w:noWrap/>
            <w:vAlign w:val="bottom"/>
            <w:hideMark/>
          </w:tcPr>
          <w:p w:rsidR="00764F18" w:rsidRPr="00764F18" w:rsidRDefault="009D45B5" w:rsidP="00764F18">
            <w:pPr>
              <w:jc w:val="right"/>
              <w:rPr>
                <w:rFonts w:ascii="Arial Narrow" w:hAnsi="Arial Narrow" w:cs="Calibri"/>
                <w:b/>
                <w:sz w:val="18"/>
                <w:szCs w:val="18"/>
              </w:rPr>
            </w:pPr>
            <w:r>
              <w:rPr>
                <w:rFonts w:ascii="Arial Narrow" w:hAnsi="Arial Narrow" w:cs="Calibri"/>
                <w:b/>
                <w:sz w:val="18"/>
                <w:szCs w:val="18"/>
              </w:rPr>
              <w:t>100,8</w:t>
            </w:r>
          </w:p>
        </w:tc>
      </w:tr>
      <w:tr w:rsidR="00764F18" w:rsidTr="000A36E9">
        <w:trPr>
          <w:trHeight w:val="255"/>
        </w:trPr>
        <w:tc>
          <w:tcPr>
            <w:tcW w:w="182" w:type="dxa"/>
            <w:tcBorders>
              <w:top w:val="nil"/>
              <w:left w:val="nil"/>
              <w:bottom w:val="nil"/>
              <w:right w:val="nil"/>
            </w:tcBorders>
            <w:shd w:val="clear" w:color="auto" w:fill="auto"/>
            <w:noWrap/>
            <w:vAlign w:val="bottom"/>
            <w:hideMark/>
          </w:tcPr>
          <w:p w:rsidR="00764F18" w:rsidRDefault="00764F18" w:rsidP="00764F18">
            <w:pPr>
              <w:jc w:val="right"/>
              <w:rPr>
                <w:rFonts w:ascii="Arial" w:hAnsi="Arial" w:cs="Arial"/>
                <w:sz w:val="18"/>
                <w:szCs w:val="18"/>
              </w:rPr>
            </w:pPr>
          </w:p>
        </w:tc>
        <w:tc>
          <w:tcPr>
            <w:tcW w:w="182"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4010" w:type="dxa"/>
            <w:gridSpan w:val="2"/>
            <w:tcBorders>
              <w:top w:val="nil"/>
              <w:left w:val="nil"/>
              <w:bottom w:val="nil"/>
              <w:right w:val="single" w:sz="4" w:space="0" w:color="FF0000"/>
            </w:tcBorders>
            <w:shd w:val="clear" w:color="auto" w:fill="auto"/>
            <w:noWrap/>
            <w:vAlign w:val="center"/>
            <w:hideMark/>
          </w:tcPr>
          <w:p w:rsidR="00764F18" w:rsidRDefault="00764F18" w:rsidP="00764F18">
            <w:pPr>
              <w:rPr>
                <w:rFonts w:ascii="Arial Narrow" w:hAnsi="Arial Narrow"/>
                <w:sz w:val="18"/>
                <w:szCs w:val="18"/>
              </w:rPr>
            </w:pPr>
            <w:r>
              <w:rPr>
                <w:rFonts w:ascii="Arial Narrow" w:hAnsi="Arial Narrow"/>
                <w:sz w:val="18"/>
                <w:szCs w:val="18"/>
              </w:rPr>
              <w:t>Ubytovanie</w:t>
            </w:r>
          </w:p>
        </w:tc>
        <w:tc>
          <w:tcPr>
            <w:tcW w:w="756"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lang w:eastAsia="sk-SK"/>
              </w:rPr>
            </w:pPr>
            <w:r w:rsidRPr="00764F18">
              <w:rPr>
                <w:rFonts w:ascii="Arial Narrow" w:hAnsi="Arial Narrow" w:cs="Calibri"/>
                <w:bCs/>
                <w:sz w:val="18"/>
                <w:szCs w:val="18"/>
              </w:rPr>
              <w:t>194,2</w:t>
            </w:r>
          </w:p>
        </w:tc>
        <w:tc>
          <w:tcPr>
            <w:tcW w:w="678"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2,9</w:t>
            </w:r>
          </w:p>
        </w:tc>
        <w:tc>
          <w:tcPr>
            <w:tcW w:w="850"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30,7</w:t>
            </w:r>
          </w:p>
        </w:tc>
        <w:tc>
          <w:tcPr>
            <w:tcW w:w="742"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49,0</w:t>
            </w:r>
          </w:p>
        </w:tc>
        <w:tc>
          <w:tcPr>
            <w:tcW w:w="540" w:type="dxa"/>
            <w:tcBorders>
              <w:top w:val="nil"/>
              <w:left w:val="nil"/>
              <w:bottom w:val="nil"/>
              <w:right w:val="nil"/>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0,2</w:t>
            </w:r>
          </w:p>
        </w:tc>
        <w:tc>
          <w:tcPr>
            <w:tcW w:w="839" w:type="dxa"/>
            <w:tcBorders>
              <w:top w:val="nil"/>
              <w:left w:val="single" w:sz="4" w:space="0" w:color="FF0000"/>
              <w:bottom w:val="nil"/>
              <w:right w:val="nil"/>
            </w:tcBorders>
            <w:shd w:val="clear" w:color="auto" w:fill="auto"/>
            <w:noWrap/>
            <w:vAlign w:val="bottom"/>
            <w:hideMark/>
          </w:tcPr>
          <w:p w:rsidR="00764F18" w:rsidRPr="00764F18" w:rsidRDefault="00764F18" w:rsidP="00764F18">
            <w:pPr>
              <w:jc w:val="right"/>
              <w:rPr>
                <w:rFonts w:ascii="Arial Narrow" w:hAnsi="Arial Narrow" w:cs="Calibri"/>
                <w:sz w:val="18"/>
                <w:szCs w:val="18"/>
              </w:rPr>
            </w:pPr>
            <w:r w:rsidRPr="00764F18">
              <w:rPr>
                <w:rFonts w:ascii="Arial Narrow" w:hAnsi="Arial Narrow" w:cs="Calibri"/>
                <w:sz w:val="18"/>
                <w:szCs w:val="18"/>
              </w:rPr>
              <w:t>101,8</w:t>
            </w:r>
          </w:p>
        </w:tc>
      </w:tr>
      <w:tr w:rsidR="007952AE" w:rsidTr="000A36E9">
        <w:trPr>
          <w:trHeight w:val="255"/>
        </w:trPr>
        <w:tc>
          <w:tcPr>
            <w:tcW w:w="182" w:type="dxa"/>
            <w:tcBorders>
              <w:top w:val="nil"/>
              <w:left w:val="nil"/>
              <w:bottom w:val="nil"/>
              <w:right w:val="nil"/>
            </w:tcBorders>
            <w:shd w:val="clear" w:color="auto" w:fill="auto"/>
            <w:noWrap/>
            <w:vAlign w:val="bottom"/>
            <w:hideMark/>
          </w:tcPr>
          <w:p w:rsidR="007952AE" w:rsidRDefault="007952AE">
            <w:pPr>
              <w:jc w:val="right"/>
              <w:rPr>
                <w:rFonts w:ascii="Arial" w:hAnsi="Arial" w:cs="Arial"/>
                <w:sz w:val="18"/>
                <w:szCs w:val="18"/>
              </w:rPr>
            </w:pPr>
          </w:p>
        </w:tc>
        <w:tc>
          <w:tcPr>
            <w:tcW w:w="182" w:type="dxa"/>
            <w:tcBorders>
              <w:top w:val="nil"/>
              <w:left w:val="nil"/>
              <w:bottom w:val="nil"/>
              <w:right w:val="nil"/>
            </w:tcBorders>
            <w:shd w:val="clear" w:color="auto" w:fill="auto"/>
            <w:noWrap/>
            <w:vAlign w:val="bottom"/>
            <w:hideMark/>
          </w:tcPr>
          <w:p w:rsidR="007952AE" w:rsidRDefault="007952AE">
            <w:pPr>
              <w:rPr>
                <w:sz w:val="20"/>
                <w:szCs w:val="20"/>
              </w:rPr>
            </w:pPr>
          </w:p>
        </w:tc>
        <w:tc>
          <w:tcPr>
            <w:tcW w:w="146" w:type="dxa"/>
            <w:tcBorders>
              <w:top w:val="nil"/>
              <w:left w:val="nil"/>
              <w:bottom w:val="nil"/>
              <w:right w:val="nil"/>
            </w:tcBorders>
            <w:shd w:val="clear" w:color="auto" w:fill="auto"/>
            <w:noWrap/>
            <w:vAlign w:val="bottom"/>
            <w:hideMark/>
          </w:tcPr>
          <w:p w:rsidR="007952AE" w:rsidRDefault="007952AE">
            <w:pPr>
              <w:rPr>
                <w:sz w:val="20"/>
                <w:szCs w:val="20"/>
              </w:rPr>
            </w:pPr>
          </w:p>
        </w:tc>
        <w:tc>
          <w:tcPr>
            <w:tcW w:w="4010" w:type="dxa"/>
            <w:gridSpan w:val="2"/>
            <w:tcBorders>
              <w:top w:val="nil"/>
              <w:left w:val="nil"/>
              <w:bottom w:val="nil"/>
              <w:right w:val="single" w:sz="4" w:space="0" w:color="FF0000"/>
            </w:tcBorders>
            <w:shd w:val="clear" w:color="auto" w:fill="auto"/>
            <w:vAlign w:val="center"/>
            <w:hideMark/>
          </w:tcPr>
          <w:p w:rsidR="007952AE" w:rsidRDefault="007952AE">
            <w:pPr>
              <w:rPr>
                <w:rFonts w:ascii="Arial Narrow" w:hAnsi="Arial Narrow"/>
                <w:sz w:val="18"/>
                <w:szCs w:val="18"/>
              </w:rPr>
            </w:pPr>
            <w:r>
              <w:rPr>
                <w:rFonts w:ascii="Arial Narrow" w:hAnsi="Arial Narrow"/>
                <w:sz w:val="18"/>
                <w:szCs w:val="18"/>
              </w:rPr>
              <w:t>Pomoc pri vykonávaní každodenných činností</w:t>
            </w:r>
          </w:p>
        </w:tc>
        <w:tc>
          <w:tcPr>
            <w:tcW w:w="756" w:type="dxa"/>
            <w:tcBorders>
              <w:top w:val="nil"/>
              <w:left w:val="nil"/>
              <w:bottom w:val="nil"/>
              <w:right w:val="single" w:sz="4" w:space="0" w:color="FF0000"/>
            </w:tcBorders>
            <w:shd w:val="clear" w:color="auto" w:fill="auto"/>
            <w:noWrap/>
            <w:vAlign w:val="bottom"/>
            <w:hideMark/>
          </w:tcPr>
          <w:p w:rsidR="007952AE" w:rsidRPr="00764F18" w:rsidRDefault="007952AE">
            <w:pPr>
              <w:jc w:val="right"/>
              <w:rPr>
                <w:rFonts w:ascii="Arial Narrow" w:hAnsi="Arial Narrow"/>
                <w:bCs/>
                <w:sz w:val="18"/>
                <w:szCs w:val="18"/>
              </w:rPr>
            </w:pPr>
            <w:r w:rsidRPr="00764F18">
              <w:rPr>
                <w:rFonts w:ascii="Arial Narrow" w:hAnsi="Arial Narrow"/>
                <w:bCs/>
                <w:sz w:val="18"/>
                <w:szCs w:val="18"/>
              </w:rPr>
              <w:t>0,0</w:t>
            </w:r>
          </w:p>
        </w:tc>
        <w:tc>
          <w:tcPr>
            <w:tcW w:w="678" w:type="dxa"/>
            <w:tcBorders>
              <w:top w:val="nil"/>
              <w:left w:val="nil"/>
              <w:bottom w:val="nil"/>
              <w:right w:val="single" w:sz="4" w:space="0" w:color="FF0000"/>
            </w:tcBorders>
            <w:shd w:val="clear" w:color="auto" w:fill="auto"/>
            <w:noWrap/>
            <w:vAlign w:val="bottom"/>
            <w:hideMark/>
          </w:tcPr>
          <w:p w:rsidR="007952AE" w:rsidRPr="00764F18" w:rsidRDefault="007952AE">
            <w:pPr>
              <w:jc w:val="right"/>
              <w:rPr>
                <w:rFonts w:ascii="Arial Narrow" w:hAnsi="Arial Narrow"/>
                <w:bCs/>
                <w:sz w:val="18"/>
                <w:szCs w:val="18"/>
              </w:rPr>
            </w:pPr>
            <w:r w:rsidRPr="00764F18">
              <w:rPr>
                <w:rFonts w:ascii="Arial Narrow" w:hAnsi="Arial Narrow"/>
                <w:bCs/>
                <w:sz w:val="18"/>
                <w:szCs w:val="18"/>
              </w:rPr>
              <w:t>0,0</w:t>
            </w:r>
          </w:p>
        </w:tc>
        <w:tc>
          <w:tcPr>
            <w:tcW w:w="850" w:type="dxa"/>
            <w:tcBorders>
              <w:top w:val="nil"/>
              <w:left w:val="nil"/>
              <w:bottom w:val="nil"/>
              <w:right w:val="single" w:sz="4" w:space="0" w:color="FF0000"/>
            </w:tcBorders>
            <w:shd w:val="clear" w:color="auto" w:fill="auto"/>
            <w:noWrap/>
            <w:vAlign w:val="bottom"/>
            <w:hideMark/>
          </w:tcPr>
          <w:p w:rsidR="007952AE" w:rsidRPr="00764F18" w:rsidRDefault="007952AE">
            <w:pPr>
              <w:jc w:val="right"/>
              <w:rPr>
                <w:rFonts w:ascii="Arial Narrow" w:hAnsi="Arial Narrow"/>
                <w:bCs/>
                <w:sz w:val="18"/>
                <w:szCs w:val="18"/>
              </w:rPr>
            </w:pPr>
            <w:r w:rsidRPr="00764F18">
              <w:rPr>
                <w:rFonts w:ascii="Arial Narrow" w:hAnsi="Arial Narrow"/>
                <w:bCs/>
                <w:sz w:val="18"/>
                <w:szCs w:val="18"/>
              </w:rPr>
              <w:t>0,0</w:t>
            </w:r>
          </w:p>
        </w:tc>
        <w:tc>
          <w:tcPr>
            <w:tcW w:w="742" w:type="dxa"/>
            <w:tcBorders>
              <w:top w:val="nil"/>
              <w:left w:val="nil"/>
              <w:bottom w:val="nil"/>
              <w:right w:val="single" w:sz="4" w:space="0" w:color="FF0000"/>
            </w:tcBorders>
            <w:shd w:val="clear" w:color="auto" w:fill="auto"/>
            <w:noWrap/>
            <w:vAlign w:val="bottom"/>
            <w:hideMark/>
          </w:tcPr>
          <w:p w:rsidR="007952AE" w:rsidRPr="00764F18" w:rsidRDefault="007952AE">
            <w:pPr>
              <w:jc w:val="right"/>
              <w:rPr>
                <w:rFonts w:ascii="Arial Narrow" w:hAnsi="Arial Narrow"/>
                <w:bCs/>
                <w:sz w:val="18"/>
                <w:szCs w:val="18"/>
              </w:rPr>
            </w:pPr>
            <w:r w:rsidRPr="00764F18">
              <w:rPr>
                <w:rFonts w:ascii="Arial Narrow" w:hAnsi="Arial Narrow"/>
                <w:bCs/>
                <w:sz w:val="18"/>
                <w:szCs w:val="18"/>
              </w:rPr>
              <w:t>0,0</w:t>
            </w:r>
          </w:p>
        </w:tc>
        <w:tc>
          <w:tcPr>
            <w:tcW w:w="540" w:type="dxa"/>
            <w:tcBorders>
              <w:top w:val="nil"/>
              <w:left w:val="nil"/>
              <w:bottom w:val="nil"/>
              <w:right w:val="nil"/>
            </w:tcBorders>
            <w:shd w:val="clear" w:color="auto" w:fill="auto"/>
            <w:noWrap/>
            <w:vAlign w:val="bottom"/>
            <w:hideMark/>
          </w:tcPr>
          <w:p w:rsidR="007952AE" w:rsidRPr="00764F18" w:rsidRDefault="007952AE">
            <w:pPr>
              <w:jc w:val="right"/>
              <w:rPr>
                <w:rFonts w:ascii="Arial Narrow" w:hAnsi="Arial Narrow"/>
                <w:bCs/>
                <w:sz w:val="18"/>
                <w:szCs w:val="18"/>
              </w:rPr>
            </w:pPr>
            <w:r w:rsidRPr="00764F18">
              <w:rPr>
                <w:rFonts w:ascii="Arial Narrow" w:hAnsi="Arial Narrow"/>
                <w:bCs/>
                <w:sz w:val="18"/>
                <w:szCs w:val="18"/>
              </w:rPr>
              <w:t>0,0</w:t>
            </w:r>
          </w:p>
        </w:tc>
        <w:tc>
          <w:tcPr>
            <w:tcW w:w="839" w:type="dxa"/>
            <w:tcBorders>
              <w:top w:val="nil"/>
              <w:left w:val="single" w:sz="4" w:space="0" w:color="FF0000"/>
              <w:bottom w:val="nil"/>
              <w:right w:val="nil"/>
            </w:tcBorders>
            <w:shd w:val="clear" w:color="auto" w:fill="auto"/>
            <w:noWrap/>
            <w:vAlign w:val="bottom"/>
            <w:hideMark/>
          </w:tcPr>
          <w:p w:rsidR="007952AE" w:rsidRPr="00764F18" w:rsidRDefault="007B7FAB">
            <w:pPr>
              <w:jc w:val="right"/>
              <w:rPr>
                <w:rFonts w:ascii="Arial Narrow" w:hAnsi="Arial Narrow" w:cs="Arial"/>
                <w:sz w:val="18"/>
                <w:szCs w:val="18"/>
              </w:rPr>
            </w:pPr>
            <w:r>
              <w:rPr>
                <w:rFonts w:ascii="Arial Narrow" w:hAnsi="Arial Narrow" w:cs="Arial"/>
                <w:sz w:val="18"/>
                <w:szCs w:val="18"/>
              </w:rPr>
              <w:t>x</w:t>
            </w:r>
          </w:p>
        </w:tc>
      </w:tr>
      <w:tr w:rsidR="00764F18" w:rsidTr="000A36E9">
        <w:trPr>
          <w:trHeight w:val="255"/>
        </w:trPr>
        <w:tc>
          <w:tcPr>
            <w:tcW w:w="182" w:type="dxa"/>
            <w:tcBorders>
              <w:top w:val="nil"/>
              <w:left w:val="nil"/>
              <w:bottom w:val="nil"/>
              <w:right w:val="nil"/>
            </w:tcBorders>
            <w:shd w:val="clear" w:color="auto" w:fill="auto"/>
            <w:noWrap/>
            <w:vAlign w:val="bottom"/>
            <w:hideMark/>
          </w:tcPr>
          <w:p w:rsidR="00764F18" w:rsidRDefault="00764F18" w:rsidP="00764F18">
            <w:pPr>
              <w:jc w:val="right"/>
              <w:rPr>
                <w:rFonts w:ascii="Arial" w:hAnsi="Arial" w:cs="Arial"/>
                <w:sz w:val="18"/>
                <w:szCs w:val="18"/>
              </w:rPr>
            </w:pPr>
          </w:p>
        </w:tc>
        <w:tc>
          <w:tcPr>
            <w:tcW w:w="182"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146"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4010" w:type="dxa"/>
            <w:gridSpan w:val="2"/>
            <w:tcBorders>
              <w:top w:val="nil"/>
              <w:left w:val="nil"/>
              <w:bottom w:val="nil"/>
              <w:right w:val="single" w:sz="4" w:space="0" w:color="FF0000"/>
            </w:tcBorders>
            <w:shd w:val="clear" w:color="auto" w:fill="auto"/>
            <w:noWrap/>
            <w:vAlign w:val="center"/>
            <w:hideMark/>
          </w:tcPr>
          <w:p w:rsidR="00764F18" w:rsidRDefault="00764F18" w:rsidP="00764F18">
            <w:pPr>
              <w:rPr>
                <w:rFonts w:ascii="Arial Narrow" w:hAnsi="Arial Narrow"/>
                <w:sz w:val="18"/>
                <w:szCs w:val="18"/>
              </w:rPr>
            </w:pPr>
            <w:r>
              <w:rPr>
                <w:rFonts w:ascii="Arial Narrow" w:hAnsi="Arial Narrow"/>
                <w:sz w:val="18"/>
                <w:szCs w:val="18"/>
              </w:rPr>
              <w:t>Iné vecné dávky</w:t>
            </w:r>
          </w:p>
        </w:tc>
        <w:tc>
          <w:tcPr>
            <w:tcW w:w="756"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lang w:eastAsia="sk-SK"/>
              </w:rPr>
            </w:pPr>
            <w:r w:rsidRPr="00764F18">
              <w:rPr>
                <w:rFonts w:ascii="Arial Narrow" w:hAnsi="Arial Narrow" w:cs="Calibri"/>
                <w:bCs/>
                <w:sz w:val="18"/>
                <w:szCs w:val="18"/>
              </w:rPr>
              <w:t>71,1</w:t>
            </w:r>
          </w:p>
        </w:tc>
        <w:tc>
          <w:tcPr>
            <w:tcW w:w="678"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1,1</w:t>
            </w:r>
          </w:p>
        </w:tc>
        <w:tc>
          <w:tcPr>
            <w:tcW w:w="850"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11,3</w:t>
            </w:r>
          </w:p>
        </w:tc>
        <w:tc>
          <w:tcPr>
            <w:tcW w:w="742"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17,9</w:t>
            </w:r>
          </w:p>
        </w:tc>
        <w:tc>
          <w:tcPr>
            <w:tcW w:w="540" w:type="dxa"/>
            <w:tcBorders>
              <w:top w:val="nil"/>
              <w:left w:val="nil"/>
              <w:bottom w:val="nil"/>
              <w:right w:val="nil"/>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0,1</w:t>
            </w:r>
          </w:p>
        </w:tc>
        <w:tc>
          <w:tcPr>
            <w:tcW w:w="839" w:type="dxa"/>
            <w:tcBorders>
              <w:top w:val="nil"/>
              <w:left w:val="single" w:sz="4" w:space="0" w:color="FF0000"/>
              <w:bottom w:val="nil"/>
              <w:right w:val="nil"/>
            </w:tcBorders>
            <w:shd w:val="clear" w:color="auto" w:fill="auto"/>
            <w:noWrap/>
            <w:vAlign w:val="bottom"/>
            <w:hideMark/>
          </w:tcPr>
          <w:p w:rsidR="00764F18" w:rsidRPr="00764F18" w:rsidRDefault="009D45B5" w:rsidP="00764F18">
            <w:pPr>
              <w:jc w:val="right"/>
              <w:rPr>
                <w:rFonts w:ascii="Arial Narrow" w:hAnsi="Arial Narrow" w:cs="Calibri"/>
                <w:sz w:val="18"/>
                <w:szCs w:val="18"/>
              </w:rPr>
            </w:pPr>
            <w:r>
              <w:rPr>
                <w:rFonts w:ascii="Arial Narrow" w:hAnsi="Arial Narrow" w:cs="Calibri"/>
                <w:sz w:val="18"/>
                <w:szCs w:val="18"/>
              </w:rPr>
              <w:t>98,5</w:t>
            </w:r>
          </w:p>
        </w:tc>
      </w:tr>
      <w:tr w:rsidR="00764F18" w:rsidTr="00EF1D32">
        <w:trPr>
          <w:trHeight w:val="255"/>
        </w:trPr>
        <w:tc>
          <w:tcPr>
            <w:tcW w:w="182" w:type="dxa"/>
            <w:tcBorders>
              <w:top w:val="nil"/>
              <w:left w:val="nil"/>
              <w:bottom w:val="nil"/>
              <w:right w:val="nil"/>
            </w:tcBorders>
            <w:shd w:val="clear" w:color="auto" w:fill="C5E0B3" w:themeFill="accent6" w:themeFillTint="66"/>
            <w:noWrap/>
            <w:vAlign w:val="bottom"/>
            <w:hideMark/>
          </w:tcPr>
          <w:p w:rsidR="00764F18" w:rsidRDefault="00764F18" w:rsidP="00764F18">
            <w:pPr>
              <w:rPr>
                <w:rFonts w:ascii="Arial Narrow" w:hAnsi="Arial Narrow"/>
                <w:b/>
                <w:bCs/>
                <w:color w:val="FFFFFF"/>
                <w:sz w:val="18"/>
                <w:szCs w:val="18"/>
              </w:rPr>
            </w:pPr>
            <w:r>
              <w:rPr>
                <w:rFonts w:ascii="Arial Narrow" w:hAnsi="Arial Narrow"/>
                <w:b/>
                <w:bCs/>
                <w:color w:val="FFFFFF"/>
                <w:sz w:val="18"/>
                <w:szCs w:val="18"/>
              </w:rPr>
              <w:t> </w:t>
            </w:r>
          </w:p>
        </w:tc>
        <w:tc>
          <w:tcPr>
            <w:tcW w:w="4338" w:type="dxa"/>
            <w:gridSpan w:val="4"/>
            <w:tcBorders>
              <w:top w:val="nil"/>
              <w:left w:val="nil"/>
              <w:bottom w:val="nil"/>
              <w:right w:val="single" w:sz="4" w:space="0" w:color="FF0000"/>
            </w:tcBorders>
            <w:shd w:val="clear" w:color="auto" w:fill="C5E0B3" w:themeFill="accent6" w:themeFillTint="66"/>
            <w:noWrap/>
            <w:vAlign w:val="center"/>
            <w:hideMark/>
          </w:tcPr>
          <w:p w:rsidR="00764F18" w:rsidRDefault="00764F18" w:rsidP="00764F18">
            <w:pPr>
              <w:rPr>
                <w:rFonts w:ascii="Arial Narrow" w:hAnsi="Arial Narrow"/>
                <w:b/>
                <w:bCs/>
                <w:sz w:val="18"/>
                <w:szCs w:val="18"/>
              </w:rPr>
            </w:pPr>
            <w:r>
              <w:rPr>
                <w:rFonts w:ascii="Arial Narrow" w:hAnsi="Arial Narrow"/>
                <w:b/>
                <w:bCs/>
                <w:sz w:val="18"/>
                <w:szCs w:val="18"/>
              </w:rPr>
              <w:t>Testované dávky na príjem</w:t>
            </w:r>
          </w:p>
        </w:tc>
        <w:tc>
          <w:tcPr>
            <w:tcW w:w="756" w:type="dxa"/>
            <w:tcBorders>
              <w:top w:val="nil"/>
              <w:left w:val="nil"/>
              <w:bottom w:val="nil"/>
              <w:right w:val="single" w:sz="4" w:space="0" w:color="FF0000"/>
            </w:tcBorders>
            <w:shd w:val="clear" w:color="auto" w:fill="C5E0B3" w:themeFill="accent6" w:themeFillTint="66"/>
            <w:noWrap/>
            <w:vAlign w:val="bottom"/>
            <w:hideMark/>
          </w:tcPr>
          <w:p w:rsidR="00764F18" w:rsidRDefault="00764F18" w:rsidP="00764F18">
            <w:pPr>
              <w:jc w:val="right"/>
              <w:rPr>
                <w:rFonts w:ascii="Arial Narrow" w:hAnsi="Arial Narrow" w:cs="Calibri"/>
                <w:b/>
                <w:bCs/>
                <w:sz w:val="18"/>
                <w:szCs w:val="18"/>
                <w:lang w:eastAsia="sk-SK"/>
              </w:rPr>
            </w:pPr>
            <w:r>
              <w:rPr>
                <w:rFonts w:ascii="Arial Narrow" w:hAnsi="Arial Narrow" w:cs="Calibri"/>
                <w:b/>
                <w:bCs/>
                <w:sz w:val="18"/>
                <w:szCs w:val="18"/>
              </w:rPr>
              <w:t>165,0</w:t>
            </w:r>
          </w:p>
        </w:tc>
        <w:tc>
          <w:tcPr>
            <w:tcW w:w="678" w:type="dxa"/>
            <w:tcBorders>
              <w:top w:val="nil"/>
              <w:left w:val="nil"/>
              <w:bottom w:val="nil"/>
              <w:right w:val="single" w:sz="4" w:space="0" w:color="FF0000"/>
            </w:tcBorders>
            <w:shd w:val="clear" w:color="auto" w:fill="C5E0B3" w:themeFill="accent6" w:themeFillTint="66"/>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2,5</w:t>
            </w:r>
          </w:p>
        </w:tc>
        <w:tc>
          <w:tcPr>
            <w:tcW w:w="850" w:type="dxa"/>
            <w:tcBorders>
              <w:top w:val="nil"/>
              <w:left w:val="nil"/>
              <w:bottom w:val="nil"/>
              <w:right w:val="single" w:sz="4" w:space="0" w:color="FF0000"/>
            </w:tcBorders>
            <w:shd w:val="clear" w:color="auto" w:fill="C5E0B3" w:themeFill="accent6" w:themeFillTint="66"/>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26,1</w:t>
            </w:r>
          </w:p>
        </w:tc>
        <w:tc>
          <w:tcPr>
            <w:tcW w:w="742" w:type="dxa"/>
            <w:tcBorders>
              <w:top w:val="nil"/>
              <w:left w:val="nil"/>
              <w:bottom w:val="nil"/>
              <w:right w:val="single" w:sz="4" w:space="0" w:color="FF0000"/>
            </w:tcBorders>
            <w:shd w:val="clear" w:color="auto" w:fill="C5E0B3" w:themeFill="accent6" w:themeFillTint="66"/>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41,7</w:t>
            </w:r>
          </w:p>
        </w:tc>
        <w:tc>
          <w:tcPr>
            <w:tcW w:w="540" w:type="dxa"/>
            <w:tcBorders>
              <w:top w:val="nil"/>
              <w:left w:val="nil"/>
              <w:bottom w:val="nil"/>
              <w:right w:val="nil"/>
            </w:tcBorders>
            <w:shd w:val="clear" w:color="auto" w:fill="C5E0B3" w:themeFill="accent6" w:themeFillTint="66"/>
            <w:noWrap/>
            <w:vAlign w:val="bottom"/>
            <w:hideMark/>
          </w:tcPr>
          <w:p w:rsidR="00764F18" w:rsidRDefault="00764F18" w:rsidP="00764F18">
            <w:pPr>
              <w:jc w:val="right"/>
              <w:rPr>
                <w:rFonts w:ascii="Arial Narrow" w:hAnsi="Arial Narrow" w:cs="Calibri"/>
                <w:b/>
                <w:bCs/>
                <w:sz w:val="18"/>
                <w:szCs w:val="18"/>
              </w:rPr>
            </w:pPr>
            <w:r>
              <w:rPr>
                <w:rFonts w:ascii="Arial Narrow" w:hAnsi="Arial Narrow" w:cs="Calibri"/>
                <w:b/>
                <w:bCs/>
                <w:sz w:val="18"/>
                <w:szCs w:val="18"/>
              </w:rPr>
              <w:t>0,2</w:t>
            </w:r>
          </w:p>
        </w:tc>
        <w:tc>
          <w:tcPr>
            <w:tcW w:w="839" w:type="dxa"/>
            <w:tcBorders>
              <w:top w:val="nil"/>
              <w:left w:val="single" w:sz="4" w:space="0" w:color="FF0000"/>
              <w:bottom w:val="nil"/>
              <w:right w:val="nil"/>
            </w:tcBorders>
            <w:shd w:val="clear" w:color="auto" w:fill="C5E0B3" w:themeFill="accent6" w:themeFillTint="66"/>
            <w:noWrap/>
            <w:vAlign w:val="bottom"/>
            <w:hideMark/>
          </w:tcPr>
          <w:p w:rsidR="00764F18" w:rsidRPr="00764F18" w:rsidRDefault="00764F18" w:rsidP="00764F18">
            <w:pPr>
              <w:jc w:val="right"/>
              <w:rPr>
                <w:rFonts w:ascii="Arial Narrow" w:hAnsi="Arial Narrow" w:cs="Calibri"/>
                <w:b/>
                <w:sz w:val="18"/>
                <w:szCs w:val="18"/>
              </w:rPr>
            </w:pPr>
            <w:r w:rsidRPr="00764F18">
              <w:rPr>
                <w:rFonts w:ascii="Arial Narrow" w:hAnsi="Arial Narrow" w:cs="Calibri"/>
                <w:b/>
                <w:sz w:val="18"/>
                <w:szCs w:val="18"/>
              </w:rPr>
              <w:t>102,8</w:t>
            </w:r>
          </w:p>
        </w:tc>
      </w:tr>
      <w:tr w:rsidR="00764F18" w:rsidTr="000A36E9">
        <w:trPr>
          <w:trHeight w:val="255"/>
        </w:trPr>
        <w:tc>
          <w:tcPr>
            <w:tcW w:w="182" w:type="dxa"/>
            <w:tcBorders>
              <w:top w:val="nil"/>
              <w:left w:val="nil"/>
              <w:bottom w:val="nil"/>
              <w:right w:val="nil"/>
            </w:tcBorders>
            <w:shd w:val="clear" w:color="auto" w:fill="auto"/>
            <w:noWrap/>
            <w:vAlign w:val="bottom"/>
            <w:hideMark/>
          </w:tcPr>
          <w:p w:rsidR="00764F18" w:rsidRDefault="00764F18" w:rsidP="00764F18">
            <w:pPr>
              <w:jc w:val="right"/>
              <w:rPr>
                <w:rFonts w:ascii="Arial" w:hAnsi="Arial" w:cs="Arial"/>
                <w:sz w:val="18"/>
                <w:szCs w:val="18"/>
              </w:rPr>
            </w:pPr>
          </w:p>
        </w:tc>
        <w:tc>
          <w:tcPr>
            <w:tcW w:w="182"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4156" w:type="dxa"/>
            <w:gridSpan w:val="3"/>
            <w:tcBorders>
              <w:top w:val="nil"/>
              <w:left w:val="nil"/>
              <w:bottom w:val="nil"/>
              <w:right w:val="single" w:sz="4" w:space="0" w:color="FF0000"/>
            </w:tcBorders>
            <w:shd w:val="clear" w:color="auto" w:fill="auto"/>
            <w:noWrap/>
            <w:vAlign w:val="center"/>
            <w:hideMark/>
          </w:tcPr>
          <w:p w:rsidR="00764F18" w:rsidRDefault="00764F18" w:rsidP="00764F18">
            <w:pPr>
              <w:rPr>
                <w:rFonts w:ascii="Arial Narrow" w:hAnsi="Arial Narrow"/>
                <w:sz w:val="18"/>
                <w:szCs w:val="18"/>
              </w:rPr>
            </w:pPr>
            <w:r>
              <w:rPr>
                <w:rFonts w:ascii="Arial Narrow" w:hAnsi="Arial Narrow"/>
                <w:sz w:val="18"/>
                <w:szCs w:val="18"/>
              </w:rPr>
              <w:t>Peňažné dávky</w:t>
            </w:r>
          </w:p>
        </w:tc>
        <w:tc>
          <w:tcPr>
            <w:tcW w:w="756"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lang w:eastAsia="sk-SK"/>
              </w:rPr>
            </w:pPr>
            <w:r w:rsidRPr="00764F18">
              <w:rPr>
                <w:rFonts w:ascii="Arial Narrow" w:hAnsi="Arial Narrow" w:cs="Calibri"/>
                <w:bCs/>
                <w:sz w:val="18"/>
                <w:szCs w:val="18"/>
              </w:rPr>
              <w:t>4,8</w:t>
            </w:r>
          </w:p>
        </w:tc>
        <w:tc>
          <w:tcPr>
            <w:tcW w:w="678"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0,1</w:t>
            </w:r>
          </w:p>
        </w:tc>
        <w:tc>
          <w:tcPr>
            <w:tcW w:w="850"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0,8</w:t>
            </w:r>
          </w:p>
        </w:tc>
        <w:tc>
          <w:tcPr>
            <w:tcW w:w="742"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1,2</w:t>
            </w:r>
          </w:p>
        </w:tc>
        <w:tc>
          <w:tcPr>
            <w:tcW w:w="540" w:type="dxa"/>
            <w:tcBorders>
              <w:top w:val="nil"/>
              <w:left w:val="nil"/>
              <w:bottom w:val="nil"/>
              <w:right w:val="nil"/>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0,0</w:t>
            </w:r>
          </w:p>
        </w:tc>
        <w:tc>
          <w:tcPr>
            <w:tcW w:w="839" w:type="dxa"/>
            <w:tcBorders>
              <w:top w:val="nil"/>
              <w:left w:val="single" w:sz="4" w:space="0" w:color="FF0000"/>
              <w:bottom w:val="nil"/>
              <w:right w:val="nil"/>
            </w:tcBorders>
            <w:shd w:val="clear" w:color="auto" w:fill="auto"/>
            <w:noWrap/>
            <w:vAlign w:val="bottom"/>
            <w:hideMark/>
          </w:tcPr>
          <w:p w:rsidR="00764F18" w:rsidRPr="00764F18" w:rsidRDefault="009D45B5" w:rsidP="00764F18">
            <w:pPr>
              <w:jc w:val="right"/>
              <w:rPr>
                <w:rFonts w:ascii="Arial Narrow" w:hAnsi="Arial Narrow" w:cs="Calibri"/>
                <w:sz w:val="18"/>
                <w:szCs w:val="18"/>
              </w:rPr>
            </w:pPr>
            <w:r>
              <w:rPr>
                <w:rFonts w:ascii="Arial Narrow" w:hAnsi="Arial Narrow" w:cs="Calibri"/>
                <w:sz w:val="18"/>
                <w:szCs w:val="18"/>
              </w:rPr>
              <w:t>102,1</w:t>
            </w:r>
          </w:p>
        </w:tc>
      </w:tr>
      <w:tr w:rsidR="00764F18" w:rsidTr="000A36E9">
        <w:trPr>
          <w:trHeight w:val="255"/>
        </w:trPr>
        <w:tc>
          <w:tcPr>
            <w:tcW w:w="182" w:type="dxa"/>
            <w:tcBorders>
              <w:top w:val="nil"/>
              <w:left w:val="nil"/>
              <w:bottom w:val="nil"/>
              <w:right w:val="nil"/>
            </w:tcBorders>
            <w:shd w:val="clear" w:color="auto" w:fill="auto"/>
            <w:noWrap/>
            <w:vAlign w:val="bottom"/>
            <w:hideMark/>
          </w:tcPr>
          <w:p w:rsidR="00764F18" w:rsidRDefault="00764F18" w:rsidP="00764F18">
            <w:pPr>
              <w:jc w:val="right"/>
              <w:rPr>
                <w:rFonts w:ascii="Arial" w:hAnsi="Arial" w:cs="Arial"/>
                <w:sz w:val="18"/>
                <w:szCs w:val="18"/>
              </w:rPr>
            </w:pPr>
          </w:p>
        </w:tc>
        <w:tc>
          <w:tcPr>
            <w:tcW w:w="182" w:type="dxa"/>
            <w:tcBorders>
              <w:top w:val="nil"/>
              <w:left w:val="nil"/>
              <w:bottom w:val="nil"/>
              <w:right w:val="nil"/>
            </w:tcBorders>
            <w:shd w:val="clear" w:color="auto" w:fill="auto"/>
            <w:noWrap/>
            <w:vAlign w:val="bottom"/>
            <w:hideMark/>
          </w:tcPr>
          <w:p w:rsidR="00764F18" w:rsidRDefault="00764F18" w:rsidP="00764F18">
            <w:pPr>
              <w:rPr>
                <w:sz w:val="20"/>
                <w:szCs w:val="20"/>
              </w:rPr>
            </w:pPr>
          </w:p>
        </w:tc>
        <w:tc>
          <w:tcPr>
            <w:tcW w:w="4156" w:type="dxa"/>
            <w:gridSpan w:val="3"/>
            <w:tcBorders>
              <w:top w:val="nil"/>
              <w:left w:val="nil"/>
              <w:bottom w:val="nil"/>
              <w:right w:val="single" w:sz="4" w:space="0" w:color="FF0000"/>
            </w:tcBorders>
            <w:shd w:val="clear" w:color="auto" w:fill="auto"/>
            <w:noWrap/>
            <w:vAlign w:val="center"/>
            <w:hideMark/>
          </w:tcPr>
          <w:p w:rsidR="00764F18" w:rsidRDefault="00764F18" w:rsidP="00764F18">
            <w:pPr>
              <w:rPr>
                <w:rFonts w:ascii="Arial Narrow" w:hAnsi="Arial Narrow"/>
                <w:sz w:val="18"/>
                <w:szCs w:val="18"/>
              </w:rPr>
            </w:pPr>
            <w:r>
              <w:rPr>
                <w:rFonts w:ascii="Arial Narrow" w:hAnsi="Arial Narrow"/>
                <w:sz w:val="18"/>
                <w:szCs w:val="18"/>
              </w:rPr>
              <w:t>Vecné dávky/Pomoc pri vykonávaní každodenných činností</w:t>
            </w:r>
          </w:p>
        </w:tc>
        <w:tc>
          <w:tcPr>
            <w:tcW w:w="756"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lang w:eastAsia="sk-SK"/>
              </w:rPr>
            </w:pPr>
            <w:r w:rsidRPr="00764F18">
              <w:rPr>
                <w:rFonts w:ascii="Arial Narrow" w:hAnsi="Arial Narrow" w:cs="Calibri"/>
                <w:bCs/>
                <w:sz w:val="18"/>
                <w:szCs w:val="18"/>
              </w:rPr>
              <w:t>160,3</w:t>
            </w:r>
          </w:p>
        </w:tc>
        <w:tc>
          <w:tcPr>
            <w:tcW w:w="678"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2,4</w:t>
            </w:r>
          </w:p>
        </w:tc>
        <w:tc>
          <w:tcPr>
            <w:tcW w:w="850"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25,4</w:t>
            </w:r>
          </w:p>
        </w:tc>
        <w:tc>
          <w:tcPr>
            <w:tcW w:w="742" w:type="dxa"/>
            <w:tcBorders>
              <w:top w:val="nil"/>
              <w:left w:val="nil"/>
              <w:bottom w:val="nil"/>
              <w:right w:val="single" w:sz="4" w:space="0" w:color="FF0000"/>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40,5</w:t>
            </w:r>
          </w:p>
        </w:tc>
        <w:tc>
          <w:tcPr>
            <w:tcW w:w="540" w:type="dxa"/>
            <w:tcBorders>
              <w:top w:val="nil"/>
              <w:left w:val="nil"/>
              <w:bottom w:val="nil"/>
              <w:right w:val="nil"/>
            </w:tcBorders>
            <w:shd w:val="clear" w:color="auto" w:fill="auto"/>
            <w:noWrap/>
            <w:vAlign w:val="bottom"/>
            <w:hideMark/>
          </w:tcPr>
          <w:p w:rsidR="00764F18" w:rsidRPr="00764F18" w:rsidRDefault="00764F18" w:rsidP="00764F18">
            <w:pPr>
              <w:jc w:val="right"/>
              <w:rPr>
                <w:rFonts w:ascii="Arial Narrow" w:hAnsi="Arial Narrow" w:cs="Calibri"/>
                <w:bCs/>
                <w:sz w:val="18"/>
                <w:szCs w:val="18"/>
              </w:rPr>
            </w:pPr>
            <w:r w:rsidRPr="00764F18">
              <w:rPr>
                <w:rFonts w:ascii="Arial Narrow" w:hAnsi="Arial Narrow" w:cs="Calibri"/>
                <w:bCs/>
                <w:sz w:val="18"/>
                <w:szCs w:val="18"/>
              </w:rPr>
              <w:t>0,2</w:t>
            </w:r>
          </w:p>
        </w:tc>
        <w:tc>
          <w:tcPr>
            <w:tcW w:w="839" w:type="dxa"/>
            <w:tcBorders>
              <w:top w:val="nil"/>
              <w:left w:val="single" w:sz="4" w:space="0" w:color="FF0000"/>
              <w:bottom w:val="nil"/>
              <w:right w:val="nil"/>
            </w:tcBorders>
            <w:shd w:val="clear" w:color="auto" w:fill="auto"/>
            <w:noWrap/>
            <w:vAlign w:val="bottom"/>
            <w:hideMark/>
          </w:tcPr>
          <w:p w:rsidR="00764F18" w:rsidRPr="00764F18" w:rsidRDefault="00764F18" w:rsidP="00764F18">
            <w:pPr>
              <w:jc w:val="right"/>
              <w:rPr>
                <w:rFonts w:ascii="Arial Narrow" w:hAnsi="Arial Narrow" w:cs="Calibri"/>
                <w:sz w:val="18"/>
                <w:szCs w:val="18"/>
              </w:rPr>
            </w:pPr>
            <w:r w:rsidRPr="00764F18">
              <w:rPr>
                <w:rFonts w:ascii="Arial Narrow" w:hAnsi="Arial Narrow" w:cs="Calibri"/>
                <w:sz w:val="18"/>
                <w:szCs w:val="18"/>
              </w:rPr>
              <w:t>102,8</w:t>
            </w:r>
          </w:p>
        </w:tc>
      </w:tr>
    </w:tbl>
    <w:p w:rsidR="0042276E" w:rsidRPr="0042276E" w:rsidRDefault="0042276E" w:rsidP="0042276E">
      <w:pPr>
        <w:rPr>
          <w:rFonts w:ascii="Arial" w:hAnsi="Arial" w:cs="Arial"/>
          <w:i/>
          <w:sz w:val="10"/>
          <w:szCs w:val="10"/>
        </w:rPr>
      </w:pPr>
    </w:p>
    <w:p w:rsidR="00581E05" w:rsidRPr="0042276E" w:rsidRDefault="00581E05" w:rsidP="0042276E">
      <w:pPr>
        <w:rPr>
          <w:rFonts w:ascii="Arial Narrow" w:hAnsi="Arial Narrow" w:cs="Arial"/>
          <w:i/>
          <w:sz w:val="15"/>
          <w:szCs w:val="15"/>
        </w:rPr>
      </w:pPr>
      <w:r w:rsidRPr="0042276E">
        <w:rPr>
          <w:rFonts w:ascii="Arial Narrow" w:hAnsi="Arial Narrow" w:cs="Arial"/>
          <w:i/>
          <w:sz w:val="15"/>
          <w:szCs w:val="15"/>
        </w:rPr>
        <w:t>Zdroj: ŠÚ SR – ESSPROS</w:t>
      </w:r>
    </w:p>
    <w:p w:rsidR="00581E05" w:rsidRDefault="00581E05" w:rsidP="005747E6">
      <w:pPr>
        <w:ind w:firstLine="708"/>
        <w:jc w:val="both"/>
        <w:rPr>
          <w:rFonts w:ascii="Arial Narrow" w:hAnsi="Arial Narrow"/>
          <w:sz w:val="20"/>
          <w:szCs w:val="20"/>
          <w:highlight w:val="cyan"/>
        </w:rPr>
      </w:pPr>
    </w:p>
    <w:p w:rsidR="00E87055" w:rsidRPr="00EF1D32" w:rsidRDefault="00E87055" w:rsidP="00EF1D32">
      <w:pPr>
        <w:ind w:firstLine="708"/>
        <w:jc w:val="both"/>
        <w:rPr>
          <w:rFonts w:ascii="Arial Narrow" w:hAnsi="Arial Narrow"/>
          <w:sz w:val="22"/>
          <w:szCs w:val="22"/>
        </w:rPr>
      </w:pPr>
      <w:r w:rsidRPr="0042276E">
        <w:rPr>
          <w:rFonts w:ascii="Arial Narrow" w:hAnsi="Arial Narrow"/>
          <w:sz w:val="22"/>
          <w:szCs w:val="22"/>
        </w:rPr>
        <w:t xml:space="preserve">Výdavky na účel </w:t>
      </w:r>
      <w:r w:rsidRPr="0042276E">
        <w:rPr>
          <w:rFonts w:ascii="Arial Narrow" w:hAnsi="Arial Narrow"/>
          <w:b/>
          <w:sz w:val="22"/>
          <w:szCs w:val="22"/>
        </w:rPr>
        <w:t>staroba</w:t>
      </w:r>
      <w:r w:rsidRPr="0042276E">
        <w:rPr>
          <w:rFonts w:ascii="Arial Narrow" w:hAnsi="Arial Narrow"/>
          <w:sz w:val="22"/>
          <w:szCs w:val="22"/>
        </w:rPr>
        <w:t xml:space="preserve"> v roku 201</w:t>
      </w:r>
      <w:r w:rsidR="00581E05" w:rsidRPr="0042276E">
        <w:rPr>
          <w:rFonts w:ascii="Arial Narrow" w:hAnsi="Arial Narrow"/>
          <w:sz w:val="22"/>
          <w:szCs w:val="22"/>
        </w:rPr>
        <w:t>9</w:t>
      </w:r>
      <w:r w:rsidRPr="0042276E">
        <w:rPr>
          <w:rFonts w:ascii="Arial Narrow" w:hAnsi="Arial Narrow"/>
          <w:sz w:val="22"/>
          <w:szCs w:val="22"/>
        </w:rPr>
        <w:t xml:space="preserve"> dosiahli </w:t>
      </w:r>
      <w:r w:rsidR="00532F38" w:rsidRPr="0042276E">
        <w:rPr>
          <w:rFonts w:ascii="Arial Narrow" w:hAnsi="Arial Narrow"/>
          <w:sz w:val="22"/>
          <w:szCs w:val="22"/>
        </w:rPr>
        <w:t>6 </w:t>
      </w:r>
      <w:r w:rsidR="00E636D4" w:rsidRPr="0042276E">
        <w:rPr>
          <w:rFonts w:ascii="Arial Narrow" w:hAnsi="Arial Narrow"/>
          <w:sz w:val="22"/>
          <w:szCs w:val="22"/>
        </w:rPr>
        <w:t>660</w:t>
      </w:r>
      <w:r w:rsidR="00532F38" w:rsidRPr="0042276E">
        <w:rPr>
          <w:rFonts w:ascii="Arial Narrow" w:hAnsi="Arial Narrow"/>
          <w:sz w:val="22"/>
          <w:szCs w:val="22"/>
        </w:rPr>
        <w:t>,</w:t>
      </w:r>
      <w:r w:rsidR="00E636D4" w:rsidRPr="0042276E">
        <w:rPr>
          <w:rFonts w:ascii="Arial Narrow" w:hAnsi="Arial Narrow"/>
          <w:sz w:val="22"/>
          <w:szCs w:val="22"/>
        </w:rPr>
        <w:t>1</w:t>
      </w:r>
      <w:r w:rsidR="00532F38" w:rsidRPr="0042276E">
        <w:rPr>
          <w:rFonts w:ascii="Arial Narrow" w:hAnsi="Arial Narrow"/>
          <w:sz w:val="22"/>
          <w:szCs w:val="22"/>
        </w:rPr>
        <w:t xml:space="preserve"> mil. eur a </w:t>
      </w:r>
      <w:r w:rsidRPr="0042276E">
        <w:rPr>
          <w:rFonts w:ascii="Arial Narrow" w:hAnsi="Arial Narrow"/>
          <w:sz w:val="22"/>
          <w:szCs w:val="22"/>
        </w:rPr>
        <w:t>medziročne sa zvýšili o</w:t>
      </w:r>
      <w:r w:rsidR="00532F38" w:rsidRPr="0042276E">
        <w:rPr>
          <w:rFonts w:ascii="Arial Narrow" w:hAnsi="Arial Narrow"/>
          <w:sz w:val="22"/>
          <w:szCs w:val="22"/>
        </w:rPr>
        <w:t> </w:t>
      </w:r>
      <w:r w:rsidR="00E636D4" w:rsidRPr="0042276E">
        <w:rPr>
          <w:rFonts w:ascii="Arial Narrow" w:hAnsi="Arial Narrow"/>
          <w:sz w:val="22"/>
          <w:szCs w:val="22"/>
        </w:rPr>
        <w:t>4</w:t>
      </w:r>
      <w:r w:rsidR="00532F38" w:rsidRPr="0042276E">
        <w:rPr>
          <w:rFonts w:ascii="Arial Narrow" w:hAnsi="Arial Narrow"/>
          <w:sz w:val="22"/>
          <w:szCs w:val="22"/>
        </w:rPr>
        <w:t>,</w:t>
      </w:r>
      <w:r w:rsidR="00E636D4" w:rsidRPr="0042276E">
        <w:rPr>
          <w:rFonts w:ascii="Arial Narrow" w:hAnsi="Arial Narrow"/>
          <w:sz w:val="22"/>
          <w:szCs w:val="22"/>
        </w:rPr>
        <w:t>6</w:t>
      </w:r>
      <w:r w:rsidRPr="0042276E">
        <w:rPr>
          <w:rFonts w:ascii="Arial Narrow" w:hAnsi="Arial Narrow"/>
          <w:sz w:val="22"/>
          <w:szCs w:val="22"/>
        </w:rPr>
        <w:t xml:space="preserve"> %. V roku 201</w:t>
      </w:r>
      <w:r w:rsidR="00E636D4" w:rsidRPr="0042276E">
        <w:rPr>
          <w:rFonts w:ascii="Arial Narrow" w:hAnsi="Arial Narrow"/>
          <w:sz w:val="22"/>
          <w:szCs w:val="22"/>
        </w:rPr>
        <w:t>9</w:t>
      </w:r>
      <w:r w:rsidRPr="0042276E">
        <w:rPr>
          <w:rFonts w:ascii="Arial Narrow" w:hAnsi="Arial Narrow"/>
          <w:sz w:val="22"/>
          <w:szCs w:val="22"/>
        </w:rPr>
        <w:t xml:space="preserve"> sa medziročne zvýšili výdavky na </w:t>
      </w:r>
      <w:r w:rsidRPr="005F6470">
        <w:rPr>
          <w:rFonts w:ascii="Arial Narrow" w:hAnsi="Arial Narrow"/>
          <w:sz w:val="22"/>
          <w:szCs w:val="22"/>
        </w:rPr>
        <w:t>starobný dôchodok o </w:t>
      </w:r>
      <w:r w:rsidR="00E636D4" w:rsidRPr="005F6470">
        <w:rPr>
          <w:rFonts w:ascii="Arial Narrow" w:hAnsi="Arial Narrow"/>
          <w:sz w:val="22"/>
          <w:szCs w:val="22"/>
        </w:rPr>
        <w:t>5</w:t>
      </w:r>
      <w:r w:rsidRPr="005F6470">
        <w:rPr>
          <w:rFonts w:ascii="Arial Narrow" w:hAnsi="Arial Narrow"/>
          <w:sz w:val="22"/>
          <w:szCs w:val="22"/>
        </w:rPr>
        <w:t>,</w:t>
      </w:r>
      <w:r w:rsidR="00E636D4" w:rsidRPr="005F6470">
        <w:rPr>
          <w:rFonts w:ascii="Arial Narrow" w:hAnsi="Arial Narrow"/>
          <w:sz w:val="22"/>
          <w:szCs w:val="22"/>
        </w:rPr>
        <w:t>3 %</w:t>
      </w:r>
      <w:r w:rsidRPr="005F6470">
        <w:rPr>
          <w:rFonts w:ascii="Arial Narrow" w:hAnsi="Arial Narrow"/>
          <w:sz w:val="22"/>
          <w:szCs w:val="22"/>
        </w:rPr>
        <w:t>.</w:t>
      </w:r>
      <w:r w:rsidR="00823867" w:rsidRPr="005F6470">
        <w:rPr>
          <w:rFonts w:ascii="Arial Narrow" w:hAnsi="Arial Narrow"/>
          <w:sz w:val="22"/>
          <w:szCs w:val="22"/>
        </w:rPr>
        <w:t xml:space="preserve"> V</w:t>
      </w:r>
      <w:r w:rsidR="00823867" w:rsidRPr="0042276E">
        <w:rPr>
          <w:rFonts w:ascii="Arial Narrow" w:hAnsi="Arial Narrow"/>
          <w:sz w:val="22"/>
          <w:szCs w:val="22"/>
        </w:rPr>
        <w:t> účele staroba prevládali peňažné dávky</w:t>
      </w:r>
      <w:r w:rsidR="00E636D4" w:rsidRPr="0042276E">
        <w:rPr>
          <w:rFonts w:ascii="Arial Narrow" w:hAnsi="Arial Narrow"/>
          <w:sz w:val="22"/>
          <w:szCs w:val="22"/>
        </w:rPr>
        <w:t xml:space="preserve"> </w:t>
      </w:r>
      <w:r w:rsidR="00823867" w:rsidRPr="0042276E">
        <w:rPr>
          <w:rFonts w:ascii="Arial Narrow" w:hAnsi="Arial Narrow"/>
          <w:sz w:val="22"/>
          <w:szCs w:val="22"/>
        </w:rPr>
        <w:t>financované zo sociálneho poistenia a sociálneho zabezpečenia silových rezortov. V roku 201</w:t>
      </w:r>
      <w:r w:rsidR="00E636D4" w:rsidRPr="0042276E">
        <w:rPr>
          <w:rFonts w:ascii="Arial Narrow" w:hAnsi="Arial Narrow"/>
          <w:sz w:val="22"/>
          <w:szCs w:val="22"/>
        </w:rPr>
        <w:t>9</w:t>
      </w:r>
      <w:r w:rsidR="00823867" w:rsidRPr="0042276E">
        <w:rPr>
          <w:rFonts w:ascii="Arial Narrow" w:hAnsi="Arial Narrow"/>
          <w:sz w:val="22"/>
          <w:szCs w:val="22"/>
        </w:rPr>
        <w:t xml:space="preserve"> bol podiel výdavkov na starobný dôchodok 8</w:t>
      </w:r>
      <w:r w:rsidR="00E636D4" w:rsidRPr="0042276E">
        <w:rPr>
          <w:rFonts w:ascii="Arial Narrow" w:hAnsi="Arial Narrow"/>
          <w:sz w:val="22"/>
          <w:szCs w:val="22"/>
        </w:rPr>
        <w:t>8</w:t>
      </w:r>
      <w:r w:rsidR="00823867" w:rsidRPr="0042276E">
        <w:rPr>
          <w:rFonts w:ascii="Arial Narrow" w:hAnsi="Arial Narrow"/>
          <w:sz w:val="22"/>
          <w:szCs w:val="22"/>
        </w:rPr>
        <w:t>,</w:t>
      </w:r>
      <w:r w:rsidR="00E636D4" w:rsidRPr="0042276E">
        <w:rPr>
          <w:rFonts w:ascii="Arial Narrow" w:hAnsi="Arial Narrow"/>
          <w:sz w:val="22"/>
          <w:szCs w:val="22"/>
        </w:rPr>
        <w:t>7</w:t>
      </w:r>
      <w:r w:rsidR="00823867" w:rsidRPr="0042276E">
        <w:rPr>
          <w:rFonts w:ascii="Arial Narrow" w:hAnsi="Arial Narrow"/>
          <w:sz w:val="22"/>
          <w:szCs w:val="22"/>
        </w:rPr>
        <w:t xml:space="preserve"> %. Podiel výdavkov na domovy dôchodcov (ubytovanie) tvoril </w:t>
      </w:r>
      <w:r w:rsidR="00E636D4" w:rsidRPr="0042276E">
        <w:rPr>
          <w:rFonts w:ascii="Arial Narrow" w:hAnsi="Arial Narrow"/>
          <w:sz w:val="22"/>
          <w:szCs w:val="22"/>
        </w:rPr>
        <w:t>2</w:t>
      </w:r>
      <w:r w:rsidR="00823867" w:rsidRPr="0042276E">
        <w:rPr>
          <w:rFonts w:ascii="Arial Narrow" w:hAnsi="Arial Narrow"/>
          <w:sz w:val="22"/>
          <w:szCs w:val="22"/>
        </w:rPr>
        <w:t>,</w:t>
      </w:r>
      <w:r w:rsidR="00E636D4" w:rsidRPr="0042276E">
        <w:rPr>
          <w:rFonts w:ascii="Arial Narrow" w:hAnsi="Arial Narrow"/>
          <w:sz w:val="22"/>
          <w:szCs w:val="22"/>
        </w:rPr>
        <w:t>9</w:t>
      </w:r>
      <w:r w:rsidR="00823867" w:rsidRPr="0042276E">
        <w:rPr>
          <w:rFonts w:ascii="Arial Narrow" w:hAnsi="Arial Narrow"/>
          <w:sz w:val="22"/>
          <w:szCs w:val="22"/>
        </w:rPr>
        <w:t xml:space="preserve"> %. </w:t>
      </w:r>
    </w:p>
    <w:p w:rsidR="00315C39" w:rsidRPr="0042276E" w:rsidRDefault="00315C39" w:rsidP="00F96D82">
      <w:pPr>
        <w:jc w:val="both"/>
        <w:rPr>
          <w:rFonts w:ascii="Arial Narrow" w:hAnsi="Arial Narrow"/>
          <w:b/>
          <w:sz w:val="22"/>
          <w:szCs w:val="22"/>
          <w:highlight w:val="yellow"/>
        </w:rPr>
      </w:pPr>
    </w:p>
    <w:p w:rsidR="00E5620C" w:rsidRPr="0042276E" w:rsidRDefault="00E5620C" w:rsidP="005F6470">
      <w:pPr>
        <w:ind w:firstLine="708"/>
        <w:jc w:val="both"/>
        <w:rPr>
          <w:rFonts w:ascii="Arial Narrow" w:hAnsi="Arial Narrow"/>
          <w:sz w:val="22"/>
          <w:szCs w:val="22"/>
        </w:rPr>
      </w:pPr>
      <w:r w:rsidRPr="0042276E">
        <w:rPr>
          <w:rFonts w:ascii="Arial Narrow" w:hAnsi="Arial Narrow"/>
          <w:sz w:val="22"/>
          <w:szCs w:val="22"/>
        </w:rPr>
        <w:t>Výdavky na dávky na účel staroba sa pohybovali od 31,1 % (1998) až po 40,</w:t>
      </w:r>
      <w:r w:rsidR="005F6470">
        <w:rPr>
          <w:rFonts w:ascii="Arial Narrow" w:hAnsi="Arial Narrow"/>
          <w:sz w:val="22"/>
          <w:szCs w:val="22"/>
        </w:rPr>
        <w:t>9 % (2017</w:t>
      </w:r>
      <w:r w:rsidR="00E636D4" w:rsidRPr="0042276E">
        <w:rPr>
          <w:rFonts w:ascii="Arial Narrow" w:hAnsi="Arial Narrow"/>
          <w:sz w:val="22"/>
          <w:szCs w:val="22"/>
        </w:rPr>
        <w:t xml:space="preserve">). </w:t>
      </w:r>
      <w:r w:rsidR="005F6470">
        <w:rPr>
          <w:rFonts w:ascii="Arial Narrow" w:hAnsi="Arial Narrow"/>
          <w:sz w:val="22"/>
          <w:szCs w:val="22"/>
        </w:rPr>
        <w:t>Za posledné dva roky (2018-2019) boli výdavky na starobu na úrovni 40,7 % zo všetkých výdavkov.</w:t>
      </w:r>
    </w:p>
    <w:p w:rsidR="00971FA5" w:rsidRPr="005F6470" w:rsidRDefault="005F6470" w:rsidP="005F6470">
      <w:pPr>
        <w:tabs>
          <w:tab w:val="left" w:pos="3330"/>
        </w:tabs>
        <w:jc w:val="both"/>
        <w:rPr>
          <w:rFonts w:ascii="Arial Narrow" w:hAnsi="Arial Narrow"/>
          <w:sz w:val="20"/>
          <w:szCs w:val="20"/>
        </w:rPr>
      </w:pPr>
      <w:r w:rsidRPr="005F6470">
        <w:rPr>
          <w:rFonts w:ascii="Arial Narrow" w:hAnsi="Arial Narrow"/>
          <w:sz w:val="20"/>
          <w:szCs w:val="20"/>
        </w:rPr>
        <w:tab/>
      </w:r>
    </w:p>
    <w:p w:rsidR="00B66D2A" w:rsidRDefault="001871C0" w:rsidP="00B751DE">
      <w:pPr>
        <w:jc w:val="both"/>
        <w:rPr>
          <w:rFonts w:ascii="Arial Narrow" w:hAnsi="Arial Narrow"/>
          <w:b/>
          <w:sz w:val="20"/>
          <w:szCs w:val="20"/>
        </w:rPr>
      </w:pPr>
      <w:r>
        <w:rPr>
          <w:rFonts w:ascii="Arial Narrow" w:hAnsi="Arial Narrow"/>
          <w:b/>
          <w:sz w:val="20"/>
          <w:szCs w:val="20"/>
        </w:rPr>
        <w:t>Graf 1</w:t>
      </w:r>
      <w:r w:rsidR="0074153D">
        <w:rPr>
          <w:rFonts w:ascii="Arial Narrow" w:hAnsi="Arial Narrow"/>
          <w:b/>
          <w:sz w:val="20"/>
          <w:szCs w:val="20"/>
        </w:rPr>
        <w:t>.</w:t>
      </w:r>
      <w:r w:rsidR="007A3D8D">
        <w:rPr>
          <w:rFonts w:ascii="Arial Narrow" w:hAnsi="Arial Narrow"/>
          <w:b/>
          <w:sz w:val="20"/>
          <w:szCs w:val="20"/>
        </w:rPr>
        <w:t>1</w:t>
      </w:r>
      <w:r w:rsidR="002B2256">
        <w:rPr>
          <w:rFonts w:ascii="Arial Narrow" w:hAnsi="Arial Narrow"/>
          <w:b/>
          <w:sz w:val="20"/>
          <w:szCs w:val="20"/>
        </w:rPr>
        <w:t>1</w:t>
      </w:r>
      <w:r w:rsidR="000D74B4">
        <w:rPr>
          <w:rFonts w:ascii="Arial Narrow" w:hAnsi="Arial Narrow"/>
          <w:b/>
          <w:sz w:val="20"/>
          <w:szCs w:val="20"/>
        </w:rPr>
        <w:t xml:space="preserve"> </w:t>
      </w:r>
      <w:r w:rsidR="003165A7" w:rsidRPr="003165A7">
        <w:rPr>
          <w:rFonts w:ascii="Arial Narrow" w:hAnsi="Arial Narrow"/>
          <w:b/>
          <w:sz w:val="20"/>
          <w:szCs w:val="20"/>
        </w:rPr>
        <w:t xml:space="preserve"> Výdavky na sociálne dávky v SR na účel staroba, </w:t>
      </w:r>
      <w:r w:rsidR="000D74B4">
        <w:rPr>
          <w:rFonts w:ascii="Arial Narrow" w:hAnsi="Arial Narrow"/>
          <w:b/>
          <w:sz w:val="20"/>
          <w:szCs w:val="20"/>
        </w:rPr>
        <w:t>199</w:t>
      </w:r>
      <w:r w:rsidR="00510542">
        <w:rPr>
          <w:rFonts w:ascii="Arial Narrow" w:hAnsi="Arial Narrow"/>
          <w:b/>
          <w:sz w:val="20"/>
          <w:szCs w:val="20"/>
        </w:rPr>
        <w:t>8</w:t>
      </w:r>
      <w:r w:rsidR="000D74B4">
        <w:rPr>
          <w:rFonts w:ascii="Arial Narrow" w:hAnsi="Arial Narrow"/>
          <w:b/>
          <w:sz w:val="20"/>
          <w:szCs w:val="20"/>
        </w:rPr>
        <w:t xml:space="preserve"> </w:t>
      </w:r>
      <w:r w:rsidR="0042276E">
        <w:rPr>
          <w:rFonts w:ascii="Arial Narrow" w:hAnsi="Arial Narrow"/>
          <w:b/>
          <w:sz w:val="20"/>
          <w:szCs w:val="20"/>
        </w:rPr>
        <w:t>–</w:t>
      </w:r>
      <w:r w:rsidR="000D74B4">
        <w:rPr>
          <w:rFonts w:ascii="Arial Narrow" w:hAnsi="Arial Narrow"/>
          <w:b/>
          <w:sz w:val="20"/>
          <w:szCs w:val="20"/>
        </w:rPr>
        <w:t xml:space="preserve"> 201</w:t>
      </w:r>
      <w:r w:rsidR="00510542">
        <w:rPr>
          <w:rFonts w:ascii="Arial Narrow" w:hAnsi="Arial Narrow"/>
          <w:b/>
          <w:sz w:val="20"/>
          <w:szCs w:val="20"/>
        </w:rPr>
        <w:t>9</w:t>
      </w:r>
    </w:p>
    <w:p w:rsidR="0042276E" w:rsidRPr="0042276E" w:rsidRDefault="0042276E" w:rsidP="00B751DE">
      <w:pPr>
        <w:jc w:val="both"/>
        <w:rPr>
          <w:rFonts w:ascii="Arial Narrow" w:hAnsi="Arial Narrow"/>
          <w:b/>
          <w:sz w:val="10"/>
          <w:szCs w:val="10"/>
        </w:rPr>
      </w:pPr>
    </w:p>
    <w:p w:rsidR="00B66D2A" w:rsidRDefault="00D74A81" w:rsidP="00B751DE">
      <w:pPr>
        <w:jc w:val="both"/>
        <w:rPr>
          <w:rFonts w:ascii="Arial Narrow" w:hAnsi="Arial Narrow"/>
          <w:b/>
          <w:sz w:val="20"/>
          <w:szCs w:val="20"/>
        </w:rPr>
      </w:pPr>
      <w:r>
        <w:rPr>
          <w:noProof/>
          <w:lang w:eastAsia="sk-SK"/>
        </w:rPr>
        <w:drawing>
          <wp:inline distT="0" distB="0" distL="0" distR="0" wp14:anchorId="1382C70B" wp14:editId="6B57A271">
            <wp:extent cx="5759450" cy="2726690"/>
            <wp:effectExtent l="0" t="0" r="12700" b="16510"/>
            <wp:docPr id="25" name="Graf 25">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2276E" w:rsidRPr="0042276E" w:rsidRDefault="0042276E" w:rsidP="0042276E">
      <w:pPr>
        <w:pStyle w:val="Nadpis6"/>
        <w:jc w:val="both"/>
        <w:rPr>
          <w:rFonts w:ascii="Arial Narrow" w:hAnsi="Arial Narrow"/>
          <w:b w:val="0"/>
          <w:i/>
          <w:sz w:val="10"/>
          <w:szCs w:val="10"/>
        </w:rPr>
      </w:pPr>
    </w:p>
    <w:p w:rsidR="00284224" w:rsidRPr="00E5620C" w:rsidRDefault="00284224" w:rsidP="0042276E">
      <w:pPr>
        <w:pStyle w:val="Nadpis6"/>
        <w:jc w:val="both"/>
        <w:rPr>
          <w:rFonts w:ascii="Arial Narrow" w:hAnsi="Arial Narrow"/>
          <w:b w:val="0"/>
          <w:i/>
          <w:sz w:val="16"/>
          <w:szCs w:val="16"/>
        </w:rPr>
      </w:pPr>
      <w:r w:rsidRPr="00E5620C">
        <w:rPr>
          <w:rFonts w:ascii="Arial Narrow" w:hAnsi="Arial Narrow"/>
          <w:b w:val="0"/>
          <w:i/>
          <w:sz w:val="16"/>
          <w:szCs w:val="16"/>
        </w:rPr>
        <w:t xml:space="preserve">Zdroj: ŠÚ SR </w:t>
      </w:r>
      <w:r w:rsidR="00134B7C" w:rsidRPr="00E5620C">
        <w:rPr>
          <w:rFonts w:ascii="Arial Narrow" w:hAnsi="Arial Narrow"/>
          <w:b w:val="0"/>
          <w:i/>
          <w:sz w:val="16"/>
          <w:szCs w:val="16"/>
        </w:rPr>
        <w:t>-</w:t>
      </w:r>
      <w:r w:rsidRPr="00E5620C">
        <w:rPr>
          <w:rFonts w:ascii="Arial Narrow" w:hAnsi="Arial Narrow"/>
          <w:b w:val="0"/>
          <w:i/>
          <w:sz w:val="16"/>
          <w:szCs w:val="16"/>
        </w:rPr>
        <w:t xml:space="preserve"> ESSPROS</w:t>
      </w:r>
    </w:p>
    <w:p w:rsidR="00FB40F0" w:rsidRDefault="00FB40F0" w:rsidP="00B751DE">
      <w:pPr>
        <w:jc w:val="both"/>
        <w:rPr>
          <w:rFonts w:ascii="Arial Narrow" w:hAnsi="Arial Narrow"/>
          <w:b/>
          <w:sz w:val="20"/>
          <w:szCs w:val="20"/>
        </w:rPr>
      </w:pPr>
    </w:p>
    <w:p w:rsidR="00105D60" w:rsidRDefault="00105D60" w:rsidP="00B751DE">
      <w:pPr>
        <w:jc w:val="both"/>
        <w:rPr>
          <w:rFonts w:ascii="Arial Narrow" w:hAnsi="Arial Narrow"/>
          <w:b/>
          <w:sz w:val="20"/>
          <w:szCs w:val="20"/>
        </w:rPr>
      </w:pPr>
    </w:p>
    <w:p w:rsidR="004E0BD1" w:rsidRPr="00D74A81" w:rsidRDefault="00492F0E" w:rsidP="00D74A81">
      <w:pPr>
        <w:rPr>
          <w:rFonts w:ascii="Arial Narrow" w:hAnsi="Arial Narrow"/>
          <w:b/>
          <w:sz w:val="22"/>
          <w:szCs w:val="22"/>
        </w:rPr>
      </w:pPr>
      <w:r w:rsidRPr="0042276E">
        <w:rPr>
          <w:rFonts w:ascii="Arial Narrow" w:hAnsi="Arial Narrow"/>
          <w:b/>
          <w:szCs w:val="22"/>
        </w:rPr>
        <w:lastRenderedPageBreak/>
        <w:t>1.</w:t>
      </w:r>
      <w:r w:rsidR="00532364" w:rsidRPr="0042276E">
        <w:rPr>
          <w:rFonts w:ascii="Arial Narrow" w:hAnsi="Arial Narrow"/>
          <w:b/>
          <w:szCs w:val="22"/>
        </w:rPr>
        <w:t>2.4</w:t>
      </w:r>
      <w:r w:rsidR="00F96D82" w:rsidRPr="0042276E">
        <w:rPr>
          <w:rFonts w:ascii="Arial Narrow" w:hAnsi="Arial Narrow"/>
          <w:b/>
          <w:szCs w:val="22"/>
        </w:rPr>
        <w:t xml:space="preserve"> </w:t>
      </w:r>
      <w:r w:rsidR="00987BC2" w:rsidRPr="0042276E">
        <w:rPr>
          <w:rFonts w:ascii="Arial Narrow" w:hAnsi="Arial Narrow"/>
          <w:b/>
          <w:szCs w:val="22"/>
        </w:rPr>
        <w:t xml:space="preserve"> </w:t>
      </w:r>
      <w:r w:rsidR="00284224" w:rsidRPr="0042276E">
        <w:rPr>
          <w:rFonts w:ascii="Arial Narrow" w:hAnsi="Arial Narrow"/>
          <w:b/>
          <w:szCs w:val="22"/>
        </w:rPr>
        <w:t>Výdavky na účel pozostalí</w:t>
      </w:r>
      <w:r w:rsidRPr="0042276E">
        <w:rPr>
          <w:rFonts w:ascii="Arial Narrow" w:hAnsi="Arial Narrow"/>
          <w:b/>
          <w:szCs w:val="22"/>
        </w:rPr>
        <w:t xml:space="preserve"> v SR</w:t>
      </w:r>
      <w:r w:rsidR="004E0BD1" w:rsidRPr="0042276E">
        <w:rPr>
          <w:rFonts w:ascii="Arial Narrow" w:hAnsi="Arial Narrow"/>
          <w:b/>
          <w:szCs w:val="22"/>
        </w:rPr>
        <w:t xml:space="preserve"> </w:t>
      </w:r>
      <w:r w:rsidR="00877EBF" w:rsidRPr="0042276E">
        <w:rPr>
          <w:rFonts w:ascii="Arial Narrow" w:hAnsi="Arial Narrow"/>
          <w:szCs w:val="22"/>
        </w:rPr>
        <w:t>(</w:t>
      </w:r>
      <w:r w:rsidR="004E0BD1" w:rsidRPr="0042276E">
        <w:rPr>
          <w:rFonts w:ascii="Arial Narrow" w:hAnsi="Arial Narrow"/>
          <w:szCs w:val="22"/>
        </w:rPr>
        <w:t>Programy sociálnej ochrany č.: 5, 10, 11, 13, 18, 19, 20)</w:t>
      </w:r>
    </w:p>
    <w:p w:rsidR="00284224" w:rsidRPr="00EC20DB" w:rsidRDefault="00284224" w:rsidP="00B751DE">
      <w:pPr>
        <w:jc w:val="both"/>
        <w:rPr>
          <w:rFonts w:ascii="Arial Narrow" w:hAnsi="Arial Narrow"/>
          <w:sz w:val="20"/>
          <w:szCs w:val="20"/>
        </w:rPr>
      </w:pPr>
    </w:p>
    <w:p w:rsidR="00BE55A5" w:rsidRPr="0042276E" w:rsidRDefault="00BE55A5" w:rsidP="00D5246C">
      <w:pPr>
        <w:jc w:val="both"/>
        <w:rPr>
          <w:rFonts w:ascii="Arial Narrow" w:hAnsi="Arial Narrow"/>
          <w:sz w:val="22"/>
          <w:szCs w:val="20"/>
        </w:rPr>
      </w:pPr>
      <w:r w:rsidRPr="0042276E">
        <w:rPr>
          <w:rFonts w:ascii="Arial Narrow" w:hAnsi="Arial Narrow"/>
          <w:sz w:val="22"/>
          <w:szCs w:val="20"/>
        </w:rPr>
        <w:t>Účel pozostalí zahŕňa dávky, ktoré:</w:t>
      </w:r>
    </w:p>
    <w:p w:rsidR="00BE55A5" w:rsidRPr="0042276E" w:rsidRDefault="00BE55A5" w:rsidP="0020351B">
      <w:pPr>
        <w:pStyle w:val="Odsekzoznamu"/>
        <w:numPr>
          <w:ilvl w:val="0"/>
          <w:numId w:val="4"/>
        </w:numPr>
        <w:jc w:val="both"/>
        <w:rPr>
          <w:rFonts w:ascii="Arial Narrow" w:hAnsi="Arial Narrow"/>
          <w:sz w:val="22"/>
          <w:szCs w:val="20"/>
        </w:rPr>
      </w:pPr>
      <w:r w:rsidRPr="0042276E">
        <w:rPr>
          <w:rFonts w:ascii="Arial Narrow" w:hAnsi="Arial Narrow"/>
          <w:sz w:val="22"/>
          <w:szCs w:val="20"/>
        </w:rPr>
        <w:t>poskytujú dočasný alebo stály príjem osobám, ktoré utrpeli stratu manžela/manželky alebo pokrvného príbuzného obvykle vtedy, keď tento predstavoval pre užívateľa hlavného živiteľa</w:t>
      </w:r>
      <w:r w:rsidR="00DC5E5D" w:rsidRPr="0042276E">
        <w:rPr>
          <w:rFonts w:ascii="Arial Narrow" w:hAnsi="Arial Narrow"/>
          <w:sz w:val="22"/>
          <w:szCs w:val="20"/>
          <w:lang w:val="en-US"/>
        </w:rPr>
        <w:t>,</w:t>
      </w:r>
    </w:p>
    <w:p w:rsidR="0020351B" w:rsidRPr="0042276E" w:rsidRDefault="00BE55A5" w:rsidP="0020351B">
      <w:pPr>
        <w:pStyle w:val="Odsekzoznamu"/>
        <w:numPr>
          <w:ilvl w:val="0"/>
          <w:numId w:val="4"/>
        </w:numPr>
        <w:jc w:val="both"/>
        <w:rPr>
          <w:rFonts w:ascii="Arial Narrow" w:hAnsi="Arial Narrow"/>
          <w:sz w:val="22"/>
          <w:szCs w:val="20"/>
        </w:rPr>
      </w:pPr>
      <w:r w:rsidRPr="0042276E">
        <w:rPr>
          <w:rFonts w:ascii="Arial Narrow" w:hAnsi="Arial Narrow"/>
          <w:sz w:val="22"/>
          <w:szCs w:val="20"/>
        </w:rPr>
        <w:t>kompenzujú pozostalým náklady na pohreb alebo ťažkosti spôsobené úmrtím člena rodiny</w:t>
      </w:r>
      <w:r w:rsidR="00DC5E5D" w:rsidRPr="0042276E">
        <w:rPr>
          <w:rFonts w:ascii="Arial Narrow" w:hAnsi="Arial Narrow"/>
          <w:sz w:val="22"/>
          <w:szCs w:val="20"/>
        </w:rPr>
        <w:t>,</w:t>
      </w:r>
    </w:p>
    <w:p w:rsidR="00BE55A5" w:rsidRPr="0042276E" w:rsidRDefault="00BE55A5" w:rsidP="0020351B">
      <w:pPr>
        <w:pStyle w:val="Odsekzoznamu"/>
        <w:numPr>
          <w:ilvl w:val="0"/>
          <w:numId w:val="4"/>
        </w:numPr>
        <w:jc w:val="both"/>
        <w:rPr>
          <w:rFonts w:ascii="Arial Narrow" w:hAnsi="Arial Narrow"/>
          <w:sz w:val="22"/>
          <w:szCs w:val="20"/>
        </w:rPr>
      </w:pPr>
      <w:r w:rsidRPr="0042276E">
        <w:rPr>
          <w:rFonts w:ascii="Arial Narrow" w:hAnsi="Arial Narrow"/>
          <w:sz w:val="22"/>
          <w:szCs w:val="20"/>
        </w:rPr>
        <w:t>poskytujú tovary a služby oprávneným pozostalým.</w:t>
      </w:r>
    </w:p>
    <w:p w:rsidR="00BE55A5" w:rsidRPr="0042276E" w:rsidRDefault="00BE55A5" w:rsidP="00BE55A5">
      <w:pPr>
        <w:jc w:val="both"/>
        <w:rPr>
          <w:rFonts w:ascii="Arial Narrow" w:hAnsi="Arial Narrow"/>
          <w:sz w:val="22"/>
          <w:szCs w:val="20"/>
        </w:rPr>
      </w:pPr>
    </w:p>
    <w:p w:rsidR="00BE55A5" w:rsidRPr="0042276E" w:rsidRDefault="00BE55A5" w:rsidP="00D5246C">
      <w:pPr>
        <w:jc w:val="both"/>
        <w:rPr>
          <w:rFonts w:ascii="Arial Narrow" w:hAnsi="Arial Narrow"/>
          <w:sz w:val="22"/>
          <w:szCs w:val="20"/>
        </w:rPr>
      </w:pPr>
      <w:r w:rsidRPr="0042276E">
        <w:rPr>
          <w:rFonts w:ascii="Arial Narrow" w:hAnsi="Arial Narrow"/>
          <w:b/>
          <w:sz w:val="22"/>
          <w:szCs w:val="20"/>
        </w:rPr>
        <w:t>Vdovský/vdovecký alebo sirotský dôchodok</w:t>
      </w:r>
      <w:r w:rsidRPr="0042276E">
        <w:rPr>
          <w:rFonts w:ascii="Arial Narrow" w:hAnsi="Arial Narrow"/>
          <w:sz w:val="22"/>
          <w:szCs w:val="20"/>
        </w:rPr>
        <w:t>: pravidelné platby osobám, ktorých nárok vyplýva z ich vzťahu k zosnulému chránenému týmto p</w:t>
      </w:r>
      <w:r w:rsidR="00987BC2" w:rsidRPr="0042276E">
        <w:rPr>
          <w:rFonts w:ascii="Arial Narrow" w:hAnsi="Arial Narrow"/>
          <w:sz w:val="22"/>
          <w:szCs w:val="20"/>
        </w:rPr>
        <w:t>rogramom (vdovy, vdovci, siroty</w:t>
      </w:r>
      <w:r w:rsidR="003A4A42" w:rsidRPr="0042276E">
        <w:rPr>
          <w:rFonts w:ascii="Arial Narrow" w:hAnsi="Arial Narrow"/>
          <w:sz w:val="22"/>
          <w:szCs w:val="20"/>
        </w:rPr>
        <w:t xml:space="preserve"> a podobne</w:t>
      </w:r>
      <w:r w:rsidRPr="0042276E">
        <w:rPr>
          <w:rFonts w:ascii="Arial Narrow" w:hAnsi="Arial Narrow"/>
          <w:sz w:val="22"/>
          <w:szCs w:val="20"/>
        </w:rPr>
        <w:t>).</w:t>
      </w:r>
    </w:p>
    <w:p w:rsidR="00BE55A5" w:rsidRPr="0042276E" w:rsidRDefault="00BE55A5" w:rsidP="00BE55A5">
      <w:pPr>
        <w:pStyle w:val="Odsekzoznamu"/>
        <w:ind w:left="1069"/>
        <w:jc w:val="both"/>
        <w:rPr>
          <w:rFonts w:ascii="Arial Narrow" w:hAnsi="Arial Narrow"/>
          <w:sz w:val="22"/>
          <w:szCs w:val="20"/>
        </w:rPr>
      </w:pPr>
    </w:p>
    <w:p w:rsidR="00BE55A5" w:rsidRPr="0042276E" w:rsidRDefault="00BE55A5" w:rsidP="007E79FD">
      <w:pPr>
        <w:jc w:val="both"/>
        <w:rPr>
          <w:rFonts w:ascii="Arial Narrow" w:hAnsi="Arial Narrow"/>
          <w:sz w:val="22"/>
          <w:szCs w:val="20"/>
        </w:rPr>
      </w:pPr>
      <w:r w:rsidRPr="0042276E">
        <w:rPr>
          <w:rFonts w:ascii="Arial Narrow" w:hAnsi="Arial Narrow"/>
          <w:b/>
          <w:sz w:val="22"/>
          <w:szCs w:val="20"/>
        </w:rPr>
        <w:t>Finančná podpora pri úmrtí</w:t>
      </w:r>
      <w:r w:rsidRPr="0042276E">
        <w:rPr>
          <w:rFonts w:ascii="Arial Narrow" w:hAnsi="Arial Narrow"/>
          <w:sz w:val="22"/>
          <w:szCs w:val="20"/>
        </w:rPr>
        <w:t>: jednorazová platba tomu, ktorého nárok vyplýva z </w:t>
      </w:r>
      <w:r w:rsidR="00987BC2" w:rsidRPr="0042276E">
        <w:rPr>
          <w:rFonts w:ascii="Arial Narrow" w:hAnsi="Arial Narrow"/>
          <w:sz w:val="22"/>
          <w:szCs w:val="20"/>
        </w:rPr>
        <w:t xml:space="preserve">jeho vzťahu k zosnulému (vdovy, </w:t>
      </w:r>
      <w:r w:rsidRPr="0042276E">
        <w:rPr>
          <w:rFonts w:ascii="Arial Narrow" w:hAnsi="Arial Narrow"/>
          <w:sz w:val="22"/>
          <w:szCs w:val="20"/>
        </w:rPr>
        <w:t>vdovci, siroty</w:t>
      </w:r>
      <w:r w:rsidR="003A4A42" w:rsidRPr="0042276E">
        <w:rPr>
          <w:rFonts w:ascii="Arial Narrow" w:hAnsi="Arial Narrow"/>
          <w:sz w:val="22"/>
          <w:szCs w:val="20"/>
        </w:rPr>
        <w:t xml:space="preserve"> a podobne</w:t>
      </w:r>
      <w:r w:rsidRPr="0042276E">
        <w:rPr>
          <w:rFonts w:ascii="Arial Narrow" w:hAnsi="Arial Narrow"/>
          <w:sz w:val="22"/>
          <w:szCs w:val="20"/>
        </w:rPr>
        <w:t>).</w:t>
      </w:r>
    </w:p>
    <w:p w:rsidR="00DC5E5D" w:rsidRPr="0042276E" w:rsidRDefault="00DC5E5D" w:rsidP="00BE55A5">
      <w:pPr>
        <w:ind w:left="360"/>
        <w:jc w:val="both"/>
        <w:rPr>
          <w:rFonts w:ascii="Arial Narrow" w:hAnsi="Arial Narrow"/>
          <w:b/>
          <w:sz w:val="22"/>
          <w:szCs w:val="20"/>
        </w:rPr>
      </w:pPr>
    </w:p>
    <w:p w:rsidR="00BE55A5" w:rsidRPr="0042276E" w:rsidRDefault="00BE55A5" w:rsidP="007E79FD">
      <w:pPr>
        <w:jc w:val="both"/>
        <w:rPr>
          <w:rFonts w:ascii="Arial Narrow" w:hAnsi="Arial Narrow"/>
          <w:sz w:val="22"/>
          <w:szCs w:val="20"/>
        </w:rPr>
      </w:pPr>
      <w:r w:rsidRPr="0042276E">
        <w:rPr>
          <w:rFonts w:ascii="Arial Narrow" w:hAnsi="Arial Narrow"/>
          <w:b/>
          <w:sz w:val="22"/>
          <w:szCs w:val="20"/>
        </w:rPr>
        <w:t>Iné peňažné dávky</w:t>
      </w:r>
      <w:r w:rsidRPr="0042276E">
        <w:rPr>
          <w:rFonts w:ascii="Arial Narrow" w:hAnsi="Arial Narrow"/>
          <w:sz w:val="22"/>
          <w:szCs w:val="20"/>
        </w:rPr>
        <w:t>: iné periodické alebo jednorazové platby poskytované pozostalému na základe odvodeného práva.</w:t>
      </w:r>
    </w:p>
    <w:p w:rsidR="00BE55A5" w:rsidRPr="0042276E" w:rsidRDefault="00BE55A5" w:rsidP="00BE55A5">
      <w:pPr>
        <w:pStyle w:val="Odsekzoznamu"/>
        <w:ind w:left="1069"/>
        <w:jc w:val="both"/>
        <w:rPr>
          <w:rFonts w:ascii="Arial Narrow" w:hAnsi="Arial Narrow"/>
          <w:sz w:val="22"/>
          <w:szCs w:val="20"/>
        </w:rPr>
      </w:pPr>
    </w:p>
    <w:p w:rsidR="00BE55A5" w:rsidRPr="0042276E" w:rsidRDefault="00BE55A5" w:rsidP="007E79FD">
      <w:pPr>
        <w:jc w:val="both"/>
        <w:rPr>
          <w:rFonts w:ascii="Arial Narrow" w:hAnsi="Arial Narrow"/>
          <w:sz w:val="22"/>
          <w:szCs w:val="20"/>
        </w:rPr>
      </w:pPr>
      <w:r w:rsidRPr="0042276E">
        <w:rPr>
          <w:rFonts w:ascii="Arial Narrow" w:hAnsi="Arial Narrow"/>
          <w:b/>
          <w:sz w:val="22"/>
          <w:szCs w:val="20"/>
        </w:rPr>
        <w:t>Výdavky na pohreb:</w:t>
      </w:r>
      <w:r w:rsidRPr="0042276E">
        <w:rPr>
          <w:rFonts w:ascii="Arial Narrow" w:hAnsi="Arial Narrow"/>
          <w:sz w:val="22"/>
          <w:szCs w:val="20"/>
        </w:rPr>
        <w:t xml:space="preserve"> čiastky platené na výdavky za pohreb, pochovanie (alebo iné</w:t>
      </w:r>
      <w:r w:rsidR="00987BC2" w:rsidRPr="0042276E">
        <w:rPr>
          <w:rFonts w:ascii="Arial Narrow" w:hAnsi="Arial Narrow"/>
          <w:sz w:val="22"/>
          <w:szCs w:val="20"/>
        </w:rPr>
        <w:t xml:space="preserve"> uloženie pozostatkov) zosnulej </w:t>
      </w:r>
      <w:r w:rsidRPr="0042276E">
        <w:rPr>
          <w:rFonts w:ascii="Arial Narrow" w:hAnsi="Arial Narrow"/>
          <w:sz w:val="22"/>
          <w:szCs w:val="20"/>
        </w:rPr>
        <w:t>osoby chránenej programom. Táto dávka je spravidla poskytovaná osobám, ktoré hradia tieto náklady.</w:t>
      </w:r>
    </w:p>
    <w:p w:rsidR="00284A8E" w:rsidRPr="0042276E" w:rsidRDefault="00284A8E" w:rsidP="00284A8E">
      <w:pPr>
        <w:ind w:firstLine="360"/>
        <w:jc w:val="both"/>
        <w:rPr>
          <w:rFonts w:ascii="Arial Narrow" w:hAnsi="Arial Narrow"/>
          <w:sz w:val="22"/>
          <w:szCs w:val="20"/>
        </w:rPr>
      </w:pPr>
    </w:p>
    <w:p w:rsidR="00BE55A5" w:rsidRPr="0042276E" w:rsidRDefault="00BE55A5" w:rsidP="007E79FD">
      <w:pPr>
        <w:jc w:val="both"/>
        <w:rPr>
          <w:rFonts w:ascii="Arial Narrow" w:hAnsi="Arial Narrow"/>
          <w:sz w:val="22"/>
          <w:szCs w:val="20"/>
          <w:lang w:val="en-US"/>
        </w:rPr>
      </w:pPr>
      <w:r w:rsidRPr="0042276E">
        <w:rPr>
          <w:rFonts w:ascii="Arial Narrow" w:hAnsi="Arial Narrow"/>
          <w:b/>
          <w:sz w:val="22"/>
          <w:szCs w:val="20"/>
        </w:rPr>
        <w:t>Iné vecné dávky</w:t>
      </w:r>
      <w:r w:rsidRPr="0042276E">
        <w:rPr>
          <w:rFonts w:ascii="Arial Narrow" w:hAnsi="Arial Narrow"/>
          <w:sz w:val="22"/>
          <w:szCs w:val="20"/>
        </w:rPr>
        <w:t>: rôzne tovary a služby poskytované pozostalým, aby sa mohli zúčastniť spoločenského života</w:t>
      </w:r>
      <w:r w:rsidRPr="0042276E">
        <w:rPr>
          <w:rFonts w:ascii="Arial Narrow" w:hAnsi="Arial Narrow"/>
          <w:sz w:val="22"/>
          <w:szCs w:val="20"/>
          <w:lang w:val="en-US"/>
        </w:rPr>
        <w:t>.</w:t>
      </w:r>
    </w:p>
    <w:p w:rsidR="00240206" w:rsidRPr="0042276E" w:rsidRDefault="00240206" w:rsidP="00B751DE">
      <w:pPr>
        <w:jc w:val="both"/>
        <w:rPr>
          <w:rFonts w:ascii="Arial Narrow" w:hAnsi="Arial Narrow"/>
          <w:sz w:val="22"/>
          <w:szCs w:val="20"/>
          <w:lang w:val="en-US"/>
        </w:rPr>
        <w:sectPr w:rsidR="00240206" w:rsidRPr="0042276E" w:rsidSect="0050625F">
          <w:type w:val="continuous"/>
          <w:pgSz w:w="11906" w:h="16838"/>
          <w:pgMar w:top="1418" w:right="1418" w:bottom="964" w:left="1418" w:header="720" w:footer="720" w:gutter="0"/>
          <w:cols w:space="286"/>
          <w:docGrid w:linePitch="360"/>
        </w:sectPr>
      </w:pPr>
    </w:p>
    <w:p w:rsidR="00240206" w:rsidRPr="00284224" w:rsidRDefault="00240206" w:rsidP="007B5246">
      <w:pPr>
        <w:jc w:val="both"/>
        <w:rPr>
          <w:rFonts w:ascii="Arial Narrow" w:hAnsi="Arial Narrow"/>
          <w:sz w:val="20"/>
          <w:szCs w:val="20"/>
        </w:rPr>
      </w:pPr>
    </w:p>
    <w:p w:rsidR="00284224" w:rsidRDefault="00284224" w:rsidP="00D558FF">
      <w:pPr>
        <w:pStyle w:val="Nadpis6"/>
        <w:spacing w:before="40"/>
        <w:jc w:val="left"/>
        <w:rPr>
          <w:rFonts w:ascii="Arial Narrow" w:hAnsi="Arial Narrow"/>
          <w:sz w:val="20"/>
          <w:szCs w:val="20"/>
        </w:rPr>
      </w:pPr>
      <w:r w:rsidRPr="007C6E60">
        <w:rPr>
          <w:rFonts w:ascii="Arial Narrow" w:hAnsi="Arial Narrow"/>
          <w:sz w:val="20"/>
          <w:szCs w:val="20"/>
        </w:rPr>
        <w:t xml:space="preserve">Tab. </w:t>
      </w:r>
      <w:r w:rsidR="006D61F7" w:rsidRPr="007C6E60">
        <w:rPr>
          <w:rFonts w:ascii="Arial Narrow" w:hAnsi="Arial Narrow"/>
          <w:sz w:val="20"/>
          <w:szCs w:val="20"/>
        </w:rPr>
        <w:t>1.</w:t>
      </w:r>
      <w:r w:rsidR="00703133">
        <w:rPr>
          <w:rFonts w:ascii="Arial Narrow" w:hAnsi="Arial Narrow"/>
          <w:sz w:val="20"/>
          <w:szCs w:val="20"/>
        </w:rPr>
        <w:t>8</w:t>
      </w:r>
      <w:r w:rsidR="005529B4">
        <w:rPr>
          <w:rFonts w:ascii="Arial Narrow" w:hAnsi="Arial Narrow"/>
          <w:sz w:val="20"/>
          <w:szCs w:val="20"/>
        </w:rPr>
        <w:t xml:space="preserve">  </w:t>
      </w:r>
      <w:r w:rsidRPr="007C6E60">
        <w:rPr>
          <w:rFonts w:ascii="Arial Narrow" w:hAnsi="Arial Narrow"/>
          <w:sz w:val="20"/>
          <w:szCs w:val="20"/>
        </w:rPr>
        <w:t>Výdavky na sociálne dávky v SR na účel pozostalí</w:t>
      </w:r>
      <w:r w:rsidR="00877EBF">
        <w:rPr>
          <w:rFonts w:ascii="Arial Narrow" w:hAnsi="Arial Narrow"/>
          <w:sz w:val="20"/>
          <w:szCs w:val="20"/>
        </w:rPr>
        <w:t>, 201</w:t>
      </w:r>
      <w:r w:rsidR="000F2576">
        <w:rPr>
          <w:rFonts w:ascii="Arial Narrow" w:hAnsi="Arial Narrow"/>
          <w:sz w:val="20"/>
          <w:szCs w:val="20"/>
        </w:rPr>
        <w:t>9</w:t>
      </w:r>
    </w:p>
    <w:p w:rsidR="0042276E" w:rsidRPr="0042276E" w:rsidRDefault="0042276E" w:rsidP="0042276E">
      <w:pPr>
        <w:rPr>
          <w:sz w:val="10"/>
          <w:szCs w:val="10"/>
        </w:rPr>
      </w:pPr>
    </w:p>
    <w:tbl>
      <w:tblPr>
        <w:tblW w:w="8931" w:type="dxa"/>
        <w:tblCellMar>
          <w:left w:w="70" w:type="dxa"/>
          <w:right w:w="70" w:type="dxa"/>
        </w:tblCellMar>
        <w:tblLook w:val="04A0" w:firstRow="1" w:lastRow="0" w:firstColumn="1" w:lastColumn="0" w:noHBand="0" w:noVBand="1"/>
      </w:tblPr>
      <w:tblGrid>
        <w:gridCol w:w="182"/>
        <w:gridCol w:w="182"/>
        <w:gridCol w:w="146"/>
        <w:gridCol w:w="146"/>
        <w:gridCol w:w="2673"/>
        <w:gridCol w:w="1066"/>
        <w:gridCol w:w="850"/>
        <w:gridCol w:w="992"/>
        <w:gridCol w:w="993"/>
        <w:gridCol w:w="708"/>
        <w:gridCol w:w="993"/>
      </w:tblGrid>
      <w:tr w:rsidR="00F6645E" w:rsidTr="00F6645E">
        <w:trPr>
          <w:trHeight w:val="495"/>
        </w:trPr>
        <w:tc>
          <w:tcPr>
            <w:tcW w:w="3329" w:type="dxa"/>
            <w:gridSpan w:val="5"/>
            <w:tcBorders>
              <w:top w:val="nil"/>
              <w:left w:val="nil"/>
              <w:bottom w:val="single" w:sz="4" w:space="0" w:color="FF0000"/>
              <w:right w:val="single" w:sz="4" w:space="0" w:color="FF0000"/>
            </w:tcBorders>
            <w:shd w:val="clear" w:color="000000" w:fill="A9D08E"/>
            <w:vAlign w:val="center"/>
            <w:hideMark/>
          </w:tcPr>
          <w:p w:rsidR="00F6645E" w:rsidRPr="009561C2" w:rsidRDefault="00F6645E">
            <w:pPr>
              <w:rPr>
                <w:rFonts w:ascii="Arial Narrow" w:hAnsi="Arial Narrow"/>
                <w:iCs/>
                <w:sz w:val="16"/>
                <w:szCs w:val="16"/>
                <w:lang w:eastAsia="sk-SK"/>
              </w:rPr>
            </w:pPr>
            <w:r w:rsidRPr="009561C2">
              <w:rPr>
                <w:rFonts w:ascii="Arial Narrow" w:hAnsi="Arial Narrow"/>
                <w:iCs/>
                <w:sz w:val="16"/>
                <w:szCs w:val="16"/>
              </w:rPr>
              <w:t>Ukazovateľ</w:t>
            </w:r>
          </w:p>
        </w:tc>
        <w:tc>
          <w:tcPr>
            <w:tcW w:w="1066" w:type="dxa"/>
            <w:tcBorders>
              <w:top w:val="nil"/>
              <w:left w:val="nil"/>
              <w:bottom w:val="single" w:sz="4" w:space="0" w:color="FF0000"/>
              <w:right w:val="single" w:sz="4" w:space="0" w:color="FF0000"/>
            </w:tcBorders>
            <w:shd w:val="clear" w:color="000000" w:fill="A9D08E"/>
            <w:noWrap/>
            <w:vAlign w:val="center"/>
            <w:hideMark/>
          </w:tcPr>
          <w:p w:rsidR="00F6645E" w:rsidRDefault="00F6645E">
            <w:pPr>
              <w:jc w:val="center"/>
              <w:rPr>
                <w:rFonts w:ascii="Arial Narrow" w:hAnsi="Arial Narrow"/>
                <w:color w:val="000000"/>
                <w:sz w:val="16"/>
                <w:szCs w:val="16"/>
              </w:rPr>
            </w:pPr>
            <w:r>
              <w:rPr>
                <w:rFonts w:ascii="Arial Narrow" w:hAnsi="Arial Narrow"/>
                <w:color w:val="000000"/>
                <w:sz w:val="16"/>
                <w:szCs w:val="16"/>
              </w:rPr>
              <w:t>mil. EUR</w:t>
            </w:r>
          </w:p>
        </w:tc>
        <w:tc>
          <w:tcPr>
            <w:tcW w:w="850" w:type="dxa"/>
            <w:tcBorders>
              <w:top w:val="nil"/>
              <w:left w:val="nil"/>
              <w:bottom w:val="single" w:sz="4" w:space="0" w:color="FF0000"/>
              <w:right w:val="single" w:sz="4" w:space="0" w:color="FF0000"/>
            </w:tcBorders>
            <w:shd w:val="clear" w:color="000000" w:fill="A9D08E"/>
            <w:noWrap/>
            <w:vAlign w:val="center"/>
            <w:hideMark/>
          </w:tcPr>
          <w:p w:rsidR="00F6645E" w:rsidRDefault="009A142E">
            <w:pPr>
              <w:jc w:val="center"/>
              <w:rPr>
                <w:rFonts w:ascii="Arial Narrow" w:hAnsi="Arial Narrow"/>
                <w:color w:val="000000"/>
                <w:sz w:val="16"/>
                <w:szCs w:val="16"/>
              </w:rPr>
            </w:pPr>
            <w:r w:rsidRPr="009A142E">
              <w:rPr>
                <w:rFonts w:ascii="Arial Narrow" w:hAnsi="Arial Narrow"/>
                <w:color w:val="000000"/>
                <w:sz w:val="16"/>
                <w:szCs w:val="16"/>
              </w:rPr>
              <w:t>% z dávok spolu</w:t>
            </w:r>
          </w:p>
        </w:tc>
        <w:tc>
          <w:tcPr>
            <w:tcW w:w="992" w:type="dxa"/>
            <w:tcBorders>
              <w:top w:val="nil"/>
              <w:left w:val="nil"/>
              <w:bottom w:val="nil"/>
              <w:right w:val="single" w:sz="4" w:space="0" w:color="FF0000"/>
            </w:tcBorders>
            <w:shd w:val="clear" w:color="000000" w:fill="A9D08E"/>
            <w:vAlign w:val="center"/>
            <w:hideMark/>
          </w:tcPr>
          <w:p w:rsidR="00F6645E" w:rsidRDefault="00F6645E">
            <w:pPr>
              <w:jc w:val="center"/>
              <w:rPr>
                <w:rFonts w:ascii="Arial Narrow" w:hAnsi="Arial Narrow"/>
                <w:color w:val="000000"/>
                <w:sz w:val="16"/>
                <w:szCs w:val="16"/>
              </w:rPr>
            </w:pPr>
            <w:r>
              <w:rPr>
                <w:rFonts w:ascii="Arial Narrow" w:hAnsi="Arial Narrow"/>
                <w:color w:val="000000"/>
                <w:sz w:val="16"/>
                <w:szCs w:val="16"/>
              </w:rPr>
              <w:t>EUR na obyv. s. c. 2010</w:t>
            </w:r>
          </w:p>
        </w:tc>
        <w:tc>
          <w:tcPr>
            <w:tcW w:w="993" w:type="dxa"/>
            <w:tcBorders>
              <w:top w:val="nil"/>
              <w:left w:val="nil"/>
              <w:bottom w:val="nil"/>
              <w:right w:val="single" w:sz="4" w:space="0" w:color="FF0000"/>
            </w:tcBorders>
            <w:shd w:val="clear" w:color="000000" w:fill="A9D08E"/>
            <w:vAlign w:val="center"/>
            <w:hideMark/>
          </w:tcPr>
          <w:p w:rsidR="00F6645E" w:rsidRDefault="00F6645E">
            <w:pPr>
              <w:jc w:val="center"/>
              <w:rPr>
                <w:rFonts w:ascii="Arial Narrow" w:hAnsi="Arial Narrow"/>
                <w:color w:val="000000"/>
                <w:sz w:val="16"/>
                <w:szCs w:val="16"/>
              </w:rPr>
            </w:pPr>
            <w:r>
              <w:rPr>
                <w:rFonts w:ascii="Arial Narrow" w:hAnsi="Arial Narrow"/>
                <w:color w:val="000000"/>
                <w:sz w:val="16"/>
                <w:szCs w:val="16"/>
              </w:rPr>
              <w:t>PPS na obyv.</w:t>
            </w:r>
          </w:p>
        </w:tc>
        <w:tc>
          <w:tcPr>
            <w:tcW w:w="708" w:type="dxa"/>
            <w:tcBorders>
              <w:top w:val="nil"/>
              <w:left w:val="nil"/>
              <w:bottom w:val="nil"/>
              <w:right w:val="single" w:sz="4" w:space="0" w:color="FF0000"/>
            </w:tcBorders>
            <w:shd w:val="clear" w:color="000000" w:fill="A9D08E"/>
            <w:vAlign w:val="center"/>
            <w:hideMark/>
          </w:tcPr>
          <w:p w:rsidR="00F6645E" w:rsidRDefault="00F6645E">
            <w:pPr>
              <w:jc w:val="center"/>
              <w:rPr>
                <w:rFonts w:ascii="Arial Narrow" w:hAnsi="Arial Narrow"/>
                <w:color w:val="000000"/>
                <w:sz w:val="16"/>
                <w:szCs w:val="16"/>
              </w:rPr>
            </w:pPr>
            <w:r>
              <w:rPr>
                <w:rFonts w:ascii="Arial Narrow" w:hAnsi="Arial Narrow"/>
                <w:color w:val="000000"/>
                <w:sz w:val="16"/>
                <w:szCs w:val="16"/>
              </w:rPr>
              <w:t>% HDP</w:t>
            </w:r>
          </w:p>
        </w:tc>
        <w:tc>
          <w:tcPr>
            <w:tcW w:w="993" w:type="dxa"/>
            <w:tcBorders>
              <w:top w:val="nil"/>
              <w:left w:val="nil"/>
              <w:bottom w:val="single" w:sz="4" w:space="0" w:color="FF0000"/>
              <w:right w:val="nil"/>
            </w:tcBorders>
            <w:shd w:val="clear" w:color="000000" w:fill="A9D08E"/>
            <w:vAlign w:val="center"/>
            <w:hideMark/>
          </w:tcPr>
          <w:p w:rsidR="00F6645E" w:rsidRDefault="00F6645E" w:rsidP="000F2576">
            <w:pPr>
              <w:jc w:val="center"/>
              <w:rPr>
                <w:rFonts w:ascii="Arial Narrow" w:hAnsi="Arial Narrow"/>
                <w:sz w:val="16"/>
                <w:szCs w:val="16"/>
              </w:rPr>
            </w:pPr>
            <w:r>
              <w:rPr>
                <w:rFonts w:ascii="Arial Narrow" w:hAnsi="Arial Narrow"/>
                <w:sz w:val="16"/>
                <w:szCs w:val="16"/>
              </w:rPr>
              <w:t>Index 201</w:t>
            </w:r>
            <w:r w:rsidR="000F2576">
              <w:rPr>
                <w:rFonts w:ascii="Arial Narrow" w:hAnsi="Arial Narrow"/>
                <w:sz w:val="16"/>
                <w:szCs w:val="16"/>
              </w:rPr>
              <w:t>9</w:t>
            </w:r>
            <w:r>
              <w:rPr>
                <w:rFonts w:ascii="Arial Narrow" w:hAnsi="Arial Narrow"/>
                <w:sz w:val="16"/>
                <w:szCs w:val="16"/>
              </w:rPr>
              <w:t>/201</w:t>
            </w:r>
            <w:r w:rsidR="000F2576">
              <w:rPr>
                <w:rFonts w:ascii="Arial Narrow" w:hAnsi="Arial Narrow"/>
                <w:sz w:val="16"/>
                <w:szCs w:val="16"/>
              </w:rPr>
              <w:t>8</w:t>
            </w:r>
          </w:p>
        </w:tc>
      </w:tr>
      <w:tr w:rsidR="000F2576" w:rsidTr="00EF1D32">
        <w:trPr>
          <w:trHeight w:val="225"/>
        </w:trPr>
        <w:tc>
          <w:tcPr>
            <w:tcW w:w="3329" w:type="dxa"/>
            <w:gridSpan w:val="5"/>
            <w:tcBorders>
              <w:top w:val="single" w:sz="4" w:space="0" w:color="FF0000"/>
              <w:left w:val="nil"/>
              <w:bottom w:val="nil"/>
              <w:right w:val="single" w:sz="4" w:space="0" w:color="FF0000"/>
            </w:tcBorders>
            <w:shd w:val="clear" w:color="auto" w:fill="A8D08D" w:themeFill="accent6" w:themeFillTint="99"/>
            <w:noWrap/>
            <w:vAlign w:val="center"/>
            <w:hideMark/>
          </w:tcPr>
          <w:p w:rsidR="000F2576" w:rsidRDefault="000F2576" w:rsidP="000F2576">
            <w:pPr>
              <w:rPr>
                <w:rFonts w:ascii="Arial Narrow" w:hAnsi="Arial Narrow"/>
                <w:b/>
                <w:bCs/>
                <w:sz w:val="18"/>
                <w:szCs w:val="18"/>
              </w:rPr>
            </w:pPr>
            <w:r>
              <w:rPr>
                <w:rFonts w:ascii="Arial Narrow" w:hAnsi="Arial Narrow"/>
                <w:b/>
                <w:bCs/>
                <w:sz w:val="18"/>
                <w:szCs w:val="18"/>
              </w:rPr>
              <w:t>Dávky sociálnej ochrany</w:t>
            </w:r>
          </w:p>
        </w:tc>
        <w:tc>
          <w:tcPr>
            <w:tcW w:w="1066" w:type="dxa"/>
            <w:tcBorders>
              <w:top w:val="nil"/>
              <w:left w:val="nil"/>
              <w:bottom w:val="nil"/>
              <w:right w:val="single" w:sz="4" w:space="0" w:color="FF0000"/>
            </w:tcBorders>
            <w:shd w:val="clear" w:color="auto" w:fill="A8D08D" w:themeFill="accent6" w:themeFillTint="99"/>
            <w:noWrap/>
            <w:vAlign w:val="bottom"/>
            <w:hideMark/>
          </w:tcPr>
          <w:p w:rsidR="000F2576" w:rsidRDefault="000F2576" w:rsidP="000F2576">
            <w:pPr>
              <w:jc w:val="right"/>
              <w:rPr>
                <w:rFonts w:ascii="Arial Narrow" w:hAnsi="Arial Narrow" w:cs="Calibri"/>
                <w:b/>
                <w:bCs/>
                <w:sz w:val="18"/>
                <w:szCs w:val="18"/>
                <w:lang w:eastAsia="sk-SK"/>
              </w:rPr>
            </w:pPr>
            <w:r>
              <w:rPr>
                <w:rFonts w:ascii="Arial Narrow" w:hAnsi="Arial Narrow" w:cs="Calibri"/>
                <w:b/>
                <w:bCs/>
                <w:sz w:val="18"/>
                <w:szCs w:val="18"/>
              </w:rPr>
              <w:t>771,5</w:t>
            </w:r>
          </w:p>
        </w:tc>
        <w:tc>
          <w:tcPr>
            <w:tcW w:w="850" w:type="dxa"/>
            <w:tcBorders>
              <w:top w:val="nil"/>
              <w:left w:val="nil"/>
              <w:bottom w:val="nil"/>
              <w:right w:val="single" w:sz="4" w:space="0" w:color="FF0000"/>
            </w:tcBorders>
            <w:shd w:val="clear" w:color="auto" w:fill="A8D08D" w:themeFill="accent6" w:themeFillTint="99"/>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100,0</w:t>
            </w:r>
          </w:p>
        </w:tc>
        <w:tc>
          <w:tcPr>
            <w:tcW w:w="992" w:type="dxa"/>
            <w:tcBorders>
              <w:top w:val="single" w:sz="4" w:space="0" w:color="FF0000"/>
              <w:left w:val="nil"/>
              <w:bottom w:val="nil"/>
              <w:right w:val="single" w:sz="4" w:space="0" w:color="FF0000"/>
            </w:tcBorders>
            <w:shd w:val="clear" w:color="auto" w:fill="A8D08D" w:themeFill="accent6" w:themeFillTint="99"/>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122,1</w:t>
            </w:r>
          </w:p>
        </w:tc>
        <w:tc>
          <w:tcPr>
            <w:tcW w:w="993" w:type="dxa"/>
            <w:tcBorders>
              <w:top w:val="single" w:sz="4" w:space="0" w:color="FF0000"/>
              <w:left w:val="nil"/>
              <w:bottom w:val="nil"/>
              <w:right w:val="single" w:sz="4" w:space="0" w:color="FF0000"/>
            </w:tcBorders>
            <w:shd w:val="clear" w:color="auto" w:fill="A8D08D" w:themeFill="accent6" w:themeFillTint="99"/>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194,8</w:t>
            </w:r>
          </w:p>
        </w:tc>
        <w:tc>
          <w:tcPr>
            <w:tcW w:w="708" w:type="dxa"/>
            <w:tcBorders>
              <w:top w:val="single" w:sz="4" w:space="0" w:color="FF0000"/>
              <w:left w:val="nil"/>
              <w:bottom w:val="nil"/>
              <w:right w:val="nil"/>
            </w:tcBorders>
            <w:shd w:val="clear" w:color="auto" w:fill="A8D08D" w:themeFill="accent6" w:themeFillTint="99"/>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0,8</w:t>
            </w:r>
          </w:p>
        </w:tc>
        <w:tc>
          <w:tcPr>
            <w:tcW w:w="993" w:type="dxa"/>
            <w:tcBorders>
              <w:top w:val="nil"/>
              <w:left w:val="single" w:sz="4" w:space="0" w:color="FF0000"/>
              <w:bottom w:val="nil"/>
              <w:right w:val="nil"/>
            </w:tcBorders>
            <w:shd w:val="clear" w:color="auto" w:fill="A8D08D" w:themeFill="accent6" w:themeFillTint="99"/>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99,4</w:t>
            </w:r>
          </w:p>
        </w:tc>
      </w:tr>
      <w:tr w:rsidR="000F2576" w:rsidTr="00EF1D32">
        <w:trPr>
          <w:trHeight w:val="225"/>
        </w:trPr>
        <w:tc>
          <w:tcPr>
            <w:tcW w:w="182" w:type="dxa"/>
            <w:tcBorders>
              <w:top w:val="nil"/>
              <w:left w:val="nil"/>
              <w:bottom w:val="nil"/>
              <w:right w:val="nil"/>
            </w:tcBorders>
            <w:shd w:val="clear" w:color="auto" w:fill="C5E0B3" w:themeFill="accent6" w:themeFillTint="66"/>
            <w:noWrap/>
            <w:vAlign w:val="center"/>
            <w:hideMark/>
          </w:tcPr>
          <w:p w:rsidR="000F2576" w:rsidRDefault="000F2576" w:rsidP="000F2576">
            <w:pPr>
              <w:rPr>
                <w:rFonts w:ascii="Arial Narrow" w:hAnsi="Arial Narrow"/>
                <w:b/>
                <w:bCs/>
                <w:sz w:val="18"/>
                <w:szCs w:val="18"/>
              </w:rPr>
            </w:pPr>
            <w:r>
              <w:rPr>
                <w:rFonts w:ascii="Arial Narrow" w:hAnsi="Arial Narrow"/>
                <w:b/>
                <w:bCs/>
                <w:sz w:val="18"/>
                <w:szCs w:val="18"/>
              </w:rPr>
              <w:t> </w:t>
            </w:r>
          </w:p>
        </w:tc>
        <w:tc>
          <w:tcPr>
            <w:tcW w:w="3147" w:type="dxa"/>
            <w:gridSpan w:val="4"/>
            <w:tcBorders>
              <w:top w:val="nil"/>
              <w:left w:val="nil"/>
              <w:bottom w:val="nil"/>
              <w:right w:val="single" w:sz="4" w:space="0" w:color="FF0000"/>
            </w:tcBorders>
            <w:shd w:val="clear" w:color="auto" w:fill="C5E0B3" w:themeFill="accent6" w:themeFillTint="66"/>
            <w:noWrap/>
            <w:vAlign w:val="center"/>
            <w:hideMark/>
          </w:tcPr>
          <w:p w:rsidR="000F2576" w:rsidRDefault="000F2576" w:rsidP="000F2576">
            <w:pPr>
              <w:rPr>
                <w:rFonts w:ascii="Arial Narrow" w:hAnsi="Arial Narrow"/>
                <w:b/>
                <w:bCs/>
                <w:sz w:val="18"/>
                <w:szCs w:val="18"/>
              </w:rPr>
            </w:pPr>
            <w:r>
              <w:rPr>
                <w:rFonts w:ascii="Arial Narrow" w:hAnsi="Arial Narrow"/>
                <w:b/>
                <w:bCs/>
                <w:sz w:val="18"/>
                <w:szCs w:val="18"/>
              </w:rPr>
              <w:t>Netestované dávky na príjem</w:t>
            </w:r>
          </w:p>
        </w:tc>
        <w:tc>
          <w:tcPr>
            <w:tcW w:w="1066" w:type="dxa"/>
            <w:tcBorders>
              <w:top w:val="nil"/>
              <w:left w:val="nil"/>
              <w:bottom w:val="nil"/>
              <w:right w:val="single" w:sz="4" w:space="0" w:color="FF0000"/>
            </w:tcBorders>
            <w:shd w:val="clear" w:color="auto" w:fill="C5E0B3" w:themeFill="accent6" w:themeFillTint="66"/>
            <w:noWrap/>
            <w:vAlign w:val="bottom"/>
            <w:hideMark/>
          </w:tcPr>
          <w:p w:rsidR="000F2576" w:rsidRDefault="000F2576" w:rsidP="000F2576">
            <w:pPr>
              <w:jc w:val="right"/>
              <w:rPr>
                <w:rFonts w:ascii="Arial Narrow" w:hAnsi="Arial Narrow" w:cs="Calibri"/>
                <w:b/>
                <w:bCs/>
                <w:sz w:val="18"/>
                <w:szCs w:val="18"/>
                <w:lang w:eastAsia="sk-SK"/>
              </w:rPr>
            </w:pPr>
            <w:r>
              <w:rPr>
                <w:rFonts w:ascii="Arial Narrow" w:hAnsi="Arial Narrow" w:cs="Calibri"/>
                <w:b/>
                <w:bCs/>
                <w:sz w:val="18"/>
                <w:szCs w:val="18"/>
              </w:rPr>
              <w:t>766,5</w:t>
            </w:r>
          </w:p>
        </w:tc>
        <w:tc>
          <w:tcPr>
            <w:tcW w:w="850" w:type="dxa"/>
            <w:tcBorders>
              <w:top w:val="nil"/>
              <w:left w:val="nil"/>
              <w:bottom w:val="nil"/>
              <w:right w:val="single" w:sz="4" w:space="0" w:color="FF0000"/>
            </w:tcBorders>
            <w:shd w:val="clear" w:color="auto" w:fill="C5E0B3" w:themeFill="accent6" w:themeFillTint="66"/>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99,4</w:t>
            </w:r>
          </w:p>
        </w:tc>
        <w:tc>
          <w:tcPr>
            <w:tcW w:w="992" w:type="dxa"/>
            <w:tcBorders>
              <w:top w:val="nil"/>
              <w:left w:val="nil"/>
              <w:bottom w:val="nil"/>
              <w:right w:val="single" w:sz="4" w:space="0" w:color="FF0000"/>
            </w:tcBorders>
            <w:shd w:val="clear" w:color="auto" w:fill="C5E0B3" w:themeFill="accent6" w:themeFillTint="66"/>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121,3</w:t>
            </w:r>
          </w:p>
        </w:tc>
        <w:tc>
          <w:tcPr>
            <w:tcW w:w="993" w:type="dxa"/>
            <w:tcBorders>
              <w:top w:val="nil"/>
              <w:left w:val="nil"/>
              <w:bottom w:val="nil"/>
              <w:right w:val="single" w:sz="4" w:space="0" w:color="FF0000"/>
            </w:tcBorders>
            <w:shd w:val="clear" w:color="auto" w:fill="C5E0B3" w:themeFill="accent6" w:themeFillTint="66"/>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193,5</w:t>
            </w:r>
          </w:p>
        </w:tc>
        <w:tc>
          <w:tcPr>
            <w:tcW w:w="708" w:type="dxa"/>
            <w:tcBorders>
              <w:top w:val="nil"/>
              <w:left w:val="nil"/>
              <w:bottom w:val="nil"/>
              <w:right w:val="nil"/>
            </w:tcBorders>
            <w:shd w:val="clear" w:color="auto" w:fill="C5E0B3" w:themeFill="accent6" w:themeFillTint="66"/>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0,8</w:t>
            </w:r>
          </w:p>
        </w:tc>
        <w:tc>
          <w:tcPr>
            <w:tcW w:w="993" w:type="dxa"/>
            <w:tcBorders>
              <w:top w:val="nil"/>
              <w:left w:val="single" w:sz="4" w:space="0" w:color="FF0000"/>
              <w:bottom w:val="nil"/>
              <w:right w:val="nil"/>
            </w:tcBorders>
            <w:shd w:val="clear" w:color="auto" w:fill="C5E0B3" w:themeFill="accent6" w:themeFillTint="66"/>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99,4</w:t>
            </w:r>
          </w:p>
        </w:tc>
      </w:tr>
      <w:tr w:rsidR="000F2576" w:rsidTr="00F6645E">
        <w:trPr>
          <w:trHeight w:val="225"/>
        </w:trPr>
        <w:tc>
          <w:tcPr>
            <w:tcW w:w="182" w:type="dxa"/>
            <w:tcBorders>
              <w:top w:val="nil"/>
              <w:left w:val="nil"/>
              <w:bottom w:val="nil"/>
              <w:right w:val="nil"/>
            </w:tcBorders>
            <w:shd w:val="clear" w:color="000000" w:fill="E2EFDA"/>
            <w:noWrap/>
            <w:vAlign w:val="center"/>
            <w:hideMark/>
          </w:tcPr>
          <w:p w:rsidR="000F2576" w:rsidRDefault="000F2576" w:rsidP="000F2576">
            <w:pPr>
              <w:rPr>
                <w:rFonts w:ascii="Arial Narrow" w:hAnsi="Arial Narrow"/>
                <w:b/>
                <w:bCs/>
                <w:sz w:val="18"/>
                <w:szCs w:val="18"/>
              </w:rPr>
            </w:pPr>
            <w:r>
              <w:rPr>
                <w:rFonts w:ascii="Arial Narrow" w:hAnsi="Arial Narrow"/>
                <w:b/>
                <w:bCs/>
                <w:sz w:val="18"/>
                <w:szCs w:val="18"/>
              </w:rPr>
              <w:t> </w:t>
            </w:r>
          </w:p>
        </w:tc>
        <w:tc>
          <w:tcPr>
            <w:tcW w:w="182" w:type="dxa"/>
            <w:tcBorders>
              <w:top w:val="nil"/>
              <w:left w:val="nil"/>
              <w:bottom w:val="nil"/>
              <w:right w:val="nil"/>
            </w:tcBorders>
            <w:shd w:val="clear" w:color="000000" w:fill="E2EFDA"/>
            <w:noWrap/>
            <w:vAlign w:val="center"/>
            <w:hideMark/>
          </w:tcPr>
          <w:p w:rsidR="000F2576" w:rsidRDefault="000F2576" w:rsidP="000F2576">
            <w:pPr>
              <w:rPr>
                <w:rFonts w:ascii="Arial Narrow" w:hAnsi="Arial Narrow"/>
                <w:b/>
                <w:bCs/>
                <w:sz w:val="18"/>
                <w:szCs w:val="18"/>
              </w:rPr>
            </w:pPr>
            <w:r>
              <w:rPr>
                <w:rFonts w:ascii="Arial Narrow" w:hAnsi="Arial Narrow"/>
                <w:b/>
                <w:bCs/>
                <w:sz w:val="18"/>
                <w:szCs w:val="18"/>
              </w:rPr>
              <w:t> </w:t>
            </w:r>
          </w:p>
        </w:tc>
        <w:tc>
          <w:tcPr>
            <w:tcW w:w="2965" w:type="dxa"/>
            <w:gridSpan w:val="3"/>
            <w:tcBorders>
              <w:top w:val="nil"/>
              <w:left w:val="nil"/>
              <w:bottom w:val="nil"/>
              <w:right w:val="single" w:sz="4" w:space="0" w:color="FF0000"/>
            </w:tcBorders>
            <w:shd w:val="clear" w:color="000000" w:fill="E2EFDA"/>
            <w:noWrap/>
            <w:vAlign w:val="center"/>
            <w:hideMark/>
          </w:tcPr>
          <w:p w:rsidR="000F2576" w:rsidRDefault="000F2576" w:rsidP="000F2576">
            <w:pPr>
              <w:rPr>
                <w:rFonts w:ascii="Arial Narrow" w:hAnsi="Arial Narrow"/>
                <w:b/>
                <w:bCs/>
                <w:sz w:val="18"/>
                <w:szCs w:val="18"/>
              </w:rPr>
            </w:pPr>
            <w:r>
              <w:rPr>
                <w:rFonts w:ascii="Arial Narrow" w:hAnsi="Arial Narrow"/>
                <w:b/>
                <w:bCs/>
                <w:sz w:val="18"/>
                <w:szCs w:val="18"/>
              </w:rPr>
              <w:t>Peňažné dávky</w:t>
            </w:r>
          </w:p>
        </w:tc>
        <w:tc>
          <w:tcPr>
            <w:tcW w:w="1066" w:type="dxa"/>
            <w:tcBorders>
              <w:top w:val="nil"/>
              <w:left w:val="nil"/>
              <w:bottom w:val="nil"/>
              <w:right w:val="single" w:sz="4" w:space="0" w:color="FF0000"/>
            </w:tcBorders>
            <w:shd w:val="clear" w:color="000000" w:fill="E2EFDA"/>
            <w:noWrap/>
            <w:vAlign w:val="bottom"/>
            <w:hideMark/>
          </w:tcPr>
          <w:p w:rsidR="000F2576" w:rsidRDefault="000F2576" w:rsidP="000F2576">
            <w:pPr>
              <w:jc w:val="right"/>
              <w:rPr>
                <w:rFonts w:ascii="Arial Narrow" w:hAnsi="Arial Narrow" w:cs="Calibri"/>
                <w:b/>
                <w:bCs/>
                <w:sz w:val="18"/>
                <w:szCs w:val="18"/>
                <w:lang w:eastAsia="sk-SK"/>
              </w:rPr>
            </w:pPr>
            <w:r>
              <w:rPr>
                <w:rFonts w:ascii="Arial Narrow" w:hAnsi="Arial Narrow" w:cs="Calibri"/>
                <w:b/>
                <w:bCs/>
                <w:sz w:val="18"/>
                <w:szCs w:val="18"/>
              </w:rPr>
              <w:t>762,5</w:t>
            </w:r>
          </w:p>
        </w:tc>
        <w:tc>
          <w:tcPr>
            <w:tcW w:w="850" w:type="dxa"/>
            <w:tcBorders>
              <w:top w:val="nil"/>
              <w:left w:val="nil"/>
              <w:bottom w:val="nil"/>
              <w:right w:val="single" w:sz="4" w:space="0" w:color="FF0000"/>
            </w:tcBorders>
            <w:shd w:val="clear" w:color="000000" w:fill="E2EFDA"/>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98,8</w:t>
            </w:r>
          </w:p>
        </w:tc>
        <w:tc>
          <w:tcPr>
            <w:tcW w:w="992" w:type="dxa"/>
            <w:tcBorders>
              <w:top w:val="nil"/>
              <w:left w:val="nil"/>
              <w:bottom w:val="nil"/>
              <w:right w:val="single" w:sz="4" w:space="0" w:color="FF0000"/>
            </w:tcBorders>
            <w:shd w:val="clear" w:color="000000" w:fill="E2EFDA"/>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120,7</w:t>
            </w:r>
          </w:p>
        </w:tc>
        <w:tc>
          <w:tcPr>
            <w:tcW w:w="993" w:type="dxa"/>
            <w:tcBorders>
              <w:top w:val="nil"/>
              <w:left w:val="nil"/>
              <w:bottom w:val="nil"/>
              <w:right w:val="single" w:sz="4" w:space="0" w:color="FF0000"/>
            </w:tcBorders>
            <w:shd w:val="clear" w:color="000000" w:fill="E2EFDA"/>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192,5</w:t>
            </w:r>
          </w:p>
        </w:tc>
        <w:tc>
          <w:tcPr>
            <w:tcW w:w="708" w:type="dxa"/>
            <w:tcBorders>
              <w:top w:val="nil"/>
              <w:left w:val="nil"/>
              <w:bottom w:val="nil"/>
              <w:right w:val="nil"/>
            </w:tcBorders>
            <w:shd w:val="clear" w:color="000000" w:fill="E2EFDA"/>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0,8</w:t>
            </w:r>
          </w:p>
        </w:tc>
        <w:tc>
          <w:tcPr>
            <w:tcW w:w="993" w:type="dxa"/>
            <w:tcBorders>
              <w:top w:val="nil"/>
              <w:left w:val="single" w:sz="4" w:space="0" w:color="FF0000"/>
              <w:bottom w:val="nil"/>
              <w:right w:val="nil"/>
            </w:tcBorders>
            <w:shd w:val="clear" w:color="000000" w:fill="E2EFDA"/>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99,4</w:t>
            </w:r>
          </w:p>
        </w:tc>
      </w:tr>
      <w:tr w:rsidR="000F2576" w:rsidTr="00F6645E">
        <w:trPr>
          <w:trHeight w:val="225"/>
        </w:trPr>
        <w:tc>
          <w:tcPr>
            <w:tcW w:w="182" w:type="dxa"/>
            <w:tcBorders>
              <w:top w:val="nil"/>
              <w:left w:val="nil"/>
              <w:bottom w:val="nil"/>
              <w:right w:val="nil"/>
            </w:tcBorders>
            <w:shd w:val="clear" w:color="auto" w:fill="auto"/>
            <w:noWrap/>
            <w:vAlign w:val="center"/>
            <w:hideMark/>
          </w:tcPr>
          <w:p w:rsidR="000F2576" w:rsidRDefault="000F2576" w:rsidP="000F2576">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0F2576" w:rsidRDefault="000F2576" w:rsidP="000F2576">
            <w:pPr>
              <w:rPr>
                <w:sz w:val="20"/>
                <w:szCs w:val="20"/>
              </w:rPr>
            </w:pPr>
          </w:p>
        </w:tc>
        <w:tc>
          <w:tcPr>
            <w:tcW w:w="146" w:type="dxa"/>
            <w:tcBorders>
              <w:top w:val="nil"/>
              <w:left w:val="nil"/>
              <w:bottom w:val="nil"/>
              <w:right w:val="nil"/>
            </w:tcBorders>
            <w:shd w:val="clear" w:color="auto" w:fill="auto"/>
            <w:noWrap/>
            <w:vAlign w:val="center"/>
            <w:hideMark/>
          </w:tcPr>
          <w:p w:rsidR="000F2576" w:rsidRDefault="000F2576" w:rsidP="000F2576">
            <w:pPr>
              <w:rPr>
                <w:sz w:val="20"/>
                <w:szCs w:val="20"/>
              </w:rPr>
            </w:pPr>
          </w:p>
        </w:tc>
        <w:tc>
          <w:tcPr>
            <w:tcW w:w="2819" w:type="dxa"/>
            <w:gridSpan w:val="2"/>
            <w:tcBorders>
              <w:top w:val="nil"/>
              <w:left w:val="nil"/>
              <w:bottom w:val="nil"/>
              <w:right w:val="single" w:sz="4" w:space="0" w:color="FF0000"/>
            </w:tcBorders>
            <w:shd w:val="clear" w:color="auto" w:fill="auto"/>
            <w:noWrap/>
            <w:vAlign w:val="center"/>
            <w:hideMark/>
          </w:tcPr>
          <w:p w:rsidR="000F2576" w:rsidRDefault="000F2576" w:rsidP="000F2576">
            <w:pPr>
              <w:rPr>
                <w:rFonts w:ascii="Arial Narrow" w:hAnsi="Arial Narrow"/>
                <w:b/>
                <w:bCs/>
                <w:sz w:val="18"/>
                <w:szCs w:val="18"/>
              </w:rPr>
            </w:pPr>
            <w:r>
              <w:rPr>
                <w:rFonts w:ascii="Arial Narrow" w:hAnsi="Arial Narrow"/>
                <w:b/>
                <w:bCs/>
                <w:sz w:val="18"/>
                <w:szCs w:val="18"/>
              </w:rPr>
              <w:t xml:space="preserve"> Periodické</w:t>
            </w:r>
          </w:p>
        </w:tc>
        <w:tc>
          <w:tcPr>
            <w:tcW w:w="1066"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b/>
                <w:bCs/>
                <w:sz w:val="18"/>
                <w:szCs w:val="18"/>
                <w:lang w:eastAsia="sk-SK"/>
              </w:rPr>
            </w:pPr>
            <w:r>
              <w:rPr>
                <w:rFonts w:ascii="Arial Narrow" w:hAnsi="Arial Narrow" w:cs="Calibri"/>
                <w:b/>
                <w:bCs/>
                <w:sz w:val="18"/>
                <w:szCs w:val="18"/>
              </w:rPr>
              <w:t>750,7</w:t>
            </w:r>
          </w:p>
        </w:tc>
        <w:tc>
          <w:tcPr>
            <w:tcW w:w="850"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97,3</w:t>
            </w:r>
          </w:p>
        </w:tc>
        <w:tc>
          <w:tcPr>
            <w:tcW w:w="992"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118,8</w:t>
            </w:r>
          </w:p>
        </w:tc>
        <w:tc>
          <w:tcPr>
            <w:tcW w:w="993"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189,5</w:t>
            </w:r>
          </w:p>
        </w:tc>
        <w:tc>
          <w:tcPr>
            <w:tcW w:w="708"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0,8</w:t>
            </w:r>
          </w:p>
        </w:tc>
        <w:tc>
          <w:tcPr>
            <w:tcW w:w="993" w:type="dxa"/>
            <w:tcBorders>
              <w:top w:val="nil"/>
              <w:left w:val="single" w:sz="4" w:space="0" w:color="FF0000"/>
              <w:bottom w:val="nil"/>
              <w:right w:val="nil"/>
            </w:tcBorders>
            <w:shd w:val="clear" w:color="auto" w:fill="auto"/>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99,2</w:t>
            </w:r>
          </w:p>
        </w:tc>
      </w:tr>
      <w:tr w:rsidR="000F2576" w:rsidTr="00F6645E">
        <w:trPr>
          <w:trHeight w:val="225"/>
        </w:trPr>
        <w:tc>
          <w:tcPr>
            <w:tcW w:w="182"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146"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146"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2673" w:type="dxa"/>
            <w:tcBorders>
              <w:top w:val="nil"/>
              <w:left w:val="nil"/>
              <w:bottom w:val="nil"/>
              <w:right w:val="single" w:sz="4" w:space="0" w:color="FF0000"/>
            </w:tcBorders>
            <w:shd w:val="clear" w:color="auto" w:fill="auto"/>
            <w:noWrap/>
            <w:vAlign w:val="center"/>
            <w:hideMark/>
          </w:tcPr>
          <w:p w:rsidR="000F2576" w:rsidRDefault="000F2576" w:rsidP="000F2576">
            <w:pPr>
              <w:rPr>
                <w:rFonts w:ascii="Arial Narrow" w:hAnsi="Arial Narrow"/>
                <w:sz w:val="18"/>
                <w:szCs w:val="18"/>
              </w:rPr>
            </w:pPr>
            <w:r>
              <w:rPr>
                <w:rFonts w:ascii="Arial Narrow" w:hAnsi="Arial Narrow"/>
                <w:sz w:val="18"/>
                <w:szCs w:val="18"/>
              </w:rPr>
              <w:t>Dôchodky pozostalých</w:t>
            </w:r>
          </w:p>
        </w:tc>
        <w:tc>
          <w:tcPr>
            <w:tcW w:w="1066" w:type="dxa"/>
            <w:tcBorders>
              <w:top w:val="nil"/>
              <w:left w:val="nil"/>
              <w:bottom w:val="nil"/>
              <w:right w:val="single" w:sz="4" w:space="0" w:color="FF0000"/>
            </w:tcBorders>
            <w:shd w:val="clear" w:color="auto" w:fill="auto"/>
            <w:noWrap/>
            <w:vAlign w:val="bottom"/>
            <w:hideMark/>
          </w:tcPr>
          <w:p w:rsidR="000F2576" w:rsidRPr="000F2576" w:rsidRDefault="000F2576" w:rsidP="000F2576">
            <w:pPr>
              <w:jc w:val="right"/>
              <w:rPr>
                <w:rFonts w:ascii="Arial Narrow" w:hAnsi="Arial Narrow" w:cs="Calibri"/>
                <w:sz w:val="18"/>
                <w:szCs w:val="18"/>
                <w:lang w:eastAsia="sk-SK"/>
              </w:rPr>
            </w:pPr>
            <w:r w:rsidRPr="000F2576">
              <w:rPr>
                <w:rFonts w:ascii="Arial Narrow" w:hAnsi="Arial Narrow" w:cs="Calibri"/>
                <w:sz w:val="18"/>
                <w:szCs w:val="18"/>
              </w:rPr>
              <w:t>750,0</w:t>
            </w:r>
          </w:p>
        </w:tc>
        <w:tc>
          <w:tcPr>
            <w:tcW w:w="850" w:type="dxa"/>
            <w:tcBorders>
              <w:top w:val="nil"/>
              <w:left w:val="nil"/>
              <w:bottom w:val="nil"/>
              <w:right w:val="single" w:sz="4" w:space="0" w:color="FF0000"/>
            </w:tcBorders>
            <w:shd w:val="clear" w:color="auto" w:fill="auto"/>
            <w:noWrap/>
            <w:vAlign w:val="bottom"/>
            <w:hideMark/>
          </w:tcPr>
          <w:p w:rsidR="000F2576" w:rsidRPr="000F2576" w:rsidRDefault="000F2576" w:rsidP="000F2576">
            <w:pPr>
              <w:jc w:val="right"/>
              <w:rPr>
                <w:rFonts w:ascii="Arial Narrow" w:hAnsi="Arial Narrow" w:cs="Calibri"/>
                <w:sz w:val="18"/>
                <w:szCs w:val="18"/>
              </w:rPr>
            </w:pPr>
            <w:r w:rsidRPr="000F2576">
              <w:rPr>
                <w:rFonts w:ascii="Arial Narrow" w:hAnsi="Arial Narrow" w:cs="Calibri"/>
                <w:sz w:val="18"/>
                <w:szCs w:val="18"/>
              </w:rPr>
              <w:t>97,2</w:t>
            </w:r>
          </w:p>
        </w:tc>
        <w:tc>
          <w:tcPr>
            <w:tcW w:w="992" w:type="dxa"/>
            <w:tcBorders>
              <w:top w:val="nil"/>
              <w:left w:val="nil"/>
              <w:bottom w:val="nil"/>
              <w:right w:val="single" w:sz="4" w:space="0" w:color="FF0000"/>
            </w:tcBorders>
            <w:shd w:val="clear" w:color="auto" w:fill="auto"/>
            <w:noWrap/>
            <w:vAlign w:val="bottom"/>
            <w:hideMark/>
          </w:tcPr>
          <w:p w:rsidR="000F2576" w:rsidRPr="000F2576" w:rsidRDefault="000F2576" w:rsidP="000F2576">
            <w:pPr>
              <w:jc w:val="right"/>
              <w:rPr>
                <w:rFonts w:ascii="Arial Narrow" w:hAnsi="Arial Narrow" w:cs="Calibri"/>
                <w:sz w:val="18"/>
                <w:szCs w:val="18"/>
              </w:rPr>
            </w:pPr>
            <w:r w:rsidRPr="000F2576">
              <w:rPr>
                <w:rFonts w:ascii="Arial Narrow" w:hAnsi="Arial Narrow" w:cs="Calibri"/>
                <w:sz w:val="18"/>
                <w:szCs w:val="18"/>
              </w:rPr>
              <w:t>118,7</w:t>
            </w:r>
          </w:p>
        </w:tc>
        <w:tc>
          <w:tcPr>
            <w:tcW w:w="993" w:type="dxa"/>
            <w:tcBorders>
              <w:top w:val="nil"/>
              <w:left w:val="nil"/>
              <w:bottom w:val="nil"/>
              <w:right w:val="single" w:sz="4" w:space="0" w:color="FF0000"/>
            </w:tcBorders>
            <w:shd w:val="clear" w:color="auto" w:fill="auto"/>
            <w:noWrap/>
            <w:vAlign w:val="bottom"/>
            <w:hideMark/>
          </w:tcPr>
          <w:p w:rsidR="000F2576" w:rsidRPr="000F2576" w:rsidRDefault="000F2576" w:rsidP="000F2576">
            <w:pPr>
              <w:jc w:val="right"/>
              <w:rPr>
                <w:rFonts w:ascii="Arial Narrow" w:hAnsi="Arial Narrow" w:cs="Calibri"/>
                <w:sz w:val="18"/>
                <w:szCs w:val="18"/>
              </w:rPr>
            </w:pPr>
            <w:r w:rsidRPr="000F2576">
              <w:rPr>
                <w:rFonts w:ascii="Arial Narrow" w:hAnsi="Arial Narrow" w:cs="Calibri"/>
                <w:sz w:val="18"/>
                <w:szCs w:val="18"/>
              </w:rPr>
              <w:t>189,3</w:t>
            </w:r>
          </w:p>
        </w:tc>
        <w:tc>
          <w:tcPr>
            <w:tcW w:w="708" w:type="dxa"/>
            <w:tcBorders>
              <w:top w:val="nil"/>
              <w:left w:val="nil"/>
              <w:bottom w:val="nil"/>
              <w:right w:val="nil"/>
            </w:tcBorders>
            <w:shd w:val="clear" w:color="auto" w:fill="auto"/>
            <w:noWrap/>
            <w:vAlign w:val="bottom"/>
            <w:hideMark/>
          </w:tcPr>
          <w:p w:rsidR="000F2576" w:rsidRPr="000F2576" w:rsidRDefault="000F2576" w:rsidP="000F2576">
            <w:pPr>
              <w:jc w:val="right"/>
              <w:rPr>
                <w:rFonts w:ascii="Arial Narrow" w:hAnsi="Arial Narrow" w:cs="Calibri"/>
                <w:sz w:val="18"/>
                <w:szCs w:val="18"/>
              </w:rPr>
            </w:pPr>
            <w:r w:rsidRPr="000F2576">
              <w:rPr>
                <w:rFonts w:ascii="Arial Narrow" w:hAnsi="Arial Narrow" w:cs="Calibri"/>
                <w:sz w:val="18"/>
                <w:szCs w:val="18"/>
              </w:rPr>
              <w:t>0,8</w:t>
            </w:r>
          </w:p>
        </w:tc>
        <w:tc>
          <w:tcPr>
            <w:tcW w:w="993" w:type="dxa"/>
            <w:tcBorders>
              <w:top w:val="nil"/>
              <w:left w:val="single" w:sz="4" w:space="0" w:color="FF0000"/>
              <w:bottom w:val="nil"/>
              <w:right w:val="nil"/>
            </w:tcBorders>
            <w:shd w:val="clear" w:color="auto" w:fill="auto"/>
            <w:noWrap/>
            <w:vAlign w:val="bottom"/>
            <w:hideMark/>
          </w:tcPr>
          <w:p w:rsidR="000F2576" w:rsidRPr="000F2576" w:rsidRDefault="000F2576" w:rsidP="000F2576">
            <w:pPr>
              <w:jc w:val="right"/>
              <w:rPr>
                <w:rFonts w:ascii="Arial Narrow" w:hAnsi="Arial Narrow" w:cs="Calibri"/>
                <w:bCs/>
                <w:sz w:val="18"/>
                <w:szCs w:val="18"/>
              </w:rPr>
            </w:pPr>
            <w:r w:rsidRPr="000F2576">
              <w:rPr>
                <w:rFonts w:ascii="Arial Narrow" w:hAnsi="Arial Narrow" w:cs="Calibri"/>
                <w:bCs/>
                <w:sz w:val="18"/>
                <w:szCs w:val="18"/>
              </w:rPr>
              <w:t>99,2</w:t>
            </w:r>
          </w:p>
        </w:tc>
      </w:tr>
      <w:tr w:rsidR="000F2576" w:rsidTr="00F6645E">
        <w:trPr>
          <w:trHeight w:val="225"/>
        </w:trPr>
        <w:tc>
          <w:tcPr>
            <w:tcW w:w="182"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146"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146"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2673" w:type="dxa"/>
            <w:tcBorders>
              <w:top w:val="nil"/>
              <w:left w:val="nil"/>
              <w:bottom w:val="nil"/>
              <w:right w:val="single" w:sz="4" w:space="0" w:color="FF0000"/>
            </w:tcBorders>
            <w:shd w:val="clear" w:color="auto" w:fill="auto"/>
            <w:noWrap/>
            <w:vAlign w:val="center"/>
            <w:hideMark/>
          </w:tcPr>
          <w:p w:rsidR="000F2576" w:rsidRDefault="000F2576" w:rsidP="000F2576">
            <w:pPr>
              <w:rPr>
                <w:rFonts w:ascii="Arial Narrow" w:hAnsi="Arial Narrow"/>
                <w:sz w:val="18"/>
                <w:szCs w:val="18"/>
              </w:rPr>
            </w:pPr>
            <w:r>
              <w:rPr>
                <w:rFonts w:ascii="Arial Narrow" w:hAnsi="Arial Narrow"/>
                <w:sz w:val="18"/>
                <w:szCs w:val="18"/>
              </w:rPr>
              <w:t>Iné peňažné periodické dávky</w:t>
            </w:r>
          </w:p>
        </w:tc>
        <w:tc>
          <w:tcPr>
            <w:tcW w:w="1066"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lang w:eastAsia="sk-SK"/>
              </w:rPr>
            </w:pPr>
            <w:r>
              <w:rPr>
                <w:rFonts w:ascii="Arial Narrow" w:hAnsi="Arial Narrow" w:cs="Calibri"/>
                <w:sz w:val="18"/>
                <w:szCs w:val="18"/>
              </w:rPr>
              <w:t>0,7</w:t>
            </w:r>
          </w:p>
        </w:tc>
        <w:tc>
          <w:tcPr>
            <w:tcW w:w="850"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0,1</w:t>
            </w:r>
          </w:p>
        </w:tc>
        <w:tc>
          <w:tcPr>
            <w:tcW w:w="992"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0,1</w:t>
            </w:r>
          </w:p>
        </w:tc>
        <w:tc>
          <w:tcPr>
            <w:tcW w:w="993"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0,2</w:t>
            </w:r>
          </w:p>
        </w:tc>
        <w:tc>
          <w:tcPr>
            <w:tcW w:w="708"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0,0</w:t>
            </w:r>
          </w:p>
        </w:tc>
        <w:tc>
          <w:tcPr>
            <w:tcW w:w="993" w:type="dxa"/>
            <w:tcBorders>
              <w:top w:val="nil"/>
              <w:left w:val="single" w:sz="4" w:space="0" w:color="FF0000"/>
              <w:bottom w:val="nil"/>
              <w:right w:val="nil"/>
            </w:tcBorders>
            <w:shd w:val="clear" w:color="auto" w:fill="auto"/>
            <w:noWrap/>
            <w:vAlign w:val="bottom"/>
            <w:hideMark/>
          </w:tcPr>
          <w:p w:rsidR="000F2576" w:rsidRDefault="009A142E" w:rsidP="000F2576">
            <w:pPr>
              <w:jc w:val="right"/>
              <w:rPr>
                <w:rFonts w:ascii="Arial Narrow" w:hAnsi="Arial Narrow" w:cs="Calibri"/>
                <w:sz w:val="18"/>
                <w:szCs w:val="18"/>
              </w:rPr>
            </w:pPr>
            <w:r>
              <w:rPr>
                <w:rFonts w:ascii="Arial Narrow" w:hAnsi="Arial Narrow" w:cs="Calibri"/>
                <w:sz w:val="18"/>
                <w:szCs w:val="18"/>
              </w:rPr>
              <w:t>87,5</w:t>
            </w:r>
          </w:p>
        </w:tc>
      </w:tr>
      <w:tr w:rsidR="000F2576" w:rsidTr="00F6645E">
        <w:trPr>
          <w:trHeight w:val="225"/>
        </w:trPr>
        <w:tc>
          <w:tcPr>
            <w:tcW w:w="182"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146"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2819" w:type="dxa"/>
            <w:gridSpan w:val="2"/>
            <w:tcBorders>
              <w:top w:val="nil"/>
              <w:left w:val="nil"/>
              <w:bottom w:val="nil"/>
              <w:right w:val="single" w:sz="4" w:space="0" w:color="FF0000"/>
            </w:tcBorders>
            <w:shd w:val="clear" w:color="auto" w:fill="auto"/>
            <w:noWrap/>
            <w:vAlign w:val="center"/>
            <w:hideMark/>
          </w:tcPr>
          <w:p w:rsidR="000F2576" w:rsidRDefault="000F2576" w:rsidP="000F2576">
            <w:pPr>
              <w:rPr>
                <w:rFonts w:ascii="Arial Narrow" w:hAnsi="Arial Narrow"/>
                <w:b/>
                <w:bCs/>
                <w:sz w:val="18"/>
                <w:szCs w:val="18"/>
              </w:rPr>
            </w:pPr>
            <w:r>
              <w:rPr>
                <w:rFonts w:ascii="Arial Narrow" w:hAnsi="Arial Narrow"/>
                <w:b/>
                <w:bCs/>
                <w:sz w:val="18"/>
                <w:szCs w:val="18"/>
              </w:rPr>
              <w:t>Jednorazové</w:t>
            </w:r>
          </w:p>
        </w:tc>
        <w:tc>
          <w:tcPr>
            <w:tcW w:w="1066"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b/>
                <w:bCs/>
                <w:sz w:val="18"/>
                <w:szCs w:val="18"/>
                <w:lang w:eastAsia="sk-SK"/>
              </w:rPr>
            </w:pPr>
            <w:r>
              <w:rPr>
                <w:rFonts w:ascii="Arial Narrow" w:hAnsi="Arial Narrow" w:cs="Calibri"/>
                <w:b/>
                <w:bCs/>
                <w:sz w:val="18"/>
                <w:szCs w:val="18"/>
              </w:rPr>
              <w:t>11,7</w:t>
            </w:r>
          </w:p>
        </w:tc>
        <w:tc>
          <w:tcPr>
            <w:tcW w:w="850"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1,5</w:t>
            </w:r>
          </w:p>
        </w:tc>
        <w:tc>
          <w:tcPr>
            <w:tcW w:w="992"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1,9</w:t>
            </w:r>
          </w:p>
        </w:tc>
        <w:tc>
          <w:tcPr>
            <w:tcW w:w="993"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3,0</w:t>
            </w:r>
          </w:p>
        </w:tc>
        <w:tc>
          <w:tcPr>
            <w:tcW w:w="708"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0,0</w:t>
            </w:r>
          </w:p>
        </w:tc>
        <w:tc>
          <w:tcPr>
            <w:tcW w:w="993" w:type="dxa"/>
            <w:tcBorders>
              <w:top w:val="nil"/>
              <w:left w:val="single" w:sz="4" w:space="0" w:color="FF0000"/>
              <w:bottom w:val="nil"/>
              <w:right w:val="nil"/>
            </w:tcBorders>
            <w:shd w:val="clear" w:color="auto" w:fill="auto"/>
            <w:noWrap/>
            <w:vAlign w:val="bottom"/>
            <w:hideMark/>
          </w:tcPr>
          <w:p w:rsidR="000F2576" w:rsidRDefault="009A142E" w:rsidP="000F2576">
            <w:pPr>
              <w:jc w:val="right"/>
              <w:rPr>
                <w:rFonts w:ascii="Arial Narrow" w:hAnsi="Arial Narrow" w:cs="Calibri"/>
                <w:b/>
                <w:bCs/>
                <w:sz w:val="18"/>
                <w:szCs w:val="18"/>
              </w:rPr>
            </w:pPr>
            <w:r>
              <w:rPr>
                <w:rFonts w:ascii="Arial Narrow" w:hAnsi="Arial Narrow" w:cs="Calibri"/>
                <w:b/>
                <w:bCs/>
                <w:sz w:val="18"/>
                <w:szCs w:val="18"/>
              </w:rPr>
              <w:t>114,7</w:t>
            </w:r>
          </w:p>
        </w:tc>
      </w:tr>
      <w:tr w:rsidR="000F2576" w:rsidTr="00F6645E">
        <w:trPr>
          <w:trHeight w:val="225"/>
        </w:trPr>
        <w:tc>
          <w:tcPr>
            <w:tcW w:w="182"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146"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146"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2673" w:type="dxa"/>
            <w:tcBorders>
              <w:top w:val="nil"/>
              <w:left w:val="nil"/>
              <w:bottom w:val="nil"/>
              <w:right w:val="single" w:sz="4" w:space="0" w:color="FF0000"/>
            </w:tcBorders>
            <w:shd w:val="clear" w:color="auto" w:fill="auto"/>
            <w:noWrap/>
            <w:vAlign w:val="center"/>
            <w:hideMark/>
          </w:tcPr>
          <w:p w:rsidR="000F2576" w:rsidRDefault="000F2576" w:rsidP="000F2576">
            <w:pPr>
              <w:rPr>
                <w:rFonts w:ascii="Arial Narrow" w:hAnsi="Arial Narrow"/>
                <w:sz w:val="18"/>
                <w:szCs w:val="18"/>
              </w:rPr>
            </w:pPr>
            <w:r>
              <w:rPr>
                <w:rFonts w:ascii="Arial Narrow" w:hAnsi="Arial Narrow"/>
                <w:sz w:val="18"/>
                <w:szCs w:val="18"/>
              </w:rPr>
              <w:t>Finančná podpora pri úmrtí</w:t>
            </w:r>
          </w:p>
        </w:tc>
        <w:tc>
          <w:tcPr>
            <w:tcW w:w="1066"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lang w:eastAsia="sk-SK"/>
              </w:rPr>
            </w:pPr>
            <w:r>
              <w:rPr>
                <w:rFonts w:ascii="Arial Narrow" w:hAnsi="Arial Narrow" w:cs="Calibri"/>
                <w:sz w:val="18"/>
                <w:szCs w:val="18"/>
              </w:rPr>
              <w:t>0,5</w:t>
            </w:r>
          </w:p>
        </w:tc>
        <w:tc>
          <w:tcPr>
            <w:tcW w:w="850"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0,1</w:t>
            </w:r>
          </w:p>
        </w:tc>
        <w:tc>
          <w:tcPr>
            <w:tcW w:w="992"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0,1</w:t>
            </w:r>
          </w:p>
        </w:tc>
        <w:tc>
          <w:tcPr>
            <w:tcW w:w="993"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0,1</w:t>
            </w:r>
          </w:p>
        </w:tc>
        <w:tc>
          <w:tcPr>
            <w:tcW w:w="708"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0,0</w:t>
            </w:r>
          </w:p>
        </w:tc>
        <w:tc>
          <w:tcPr>
            <w:tcW w:w="993" w:type="dxa"/>
            <w:tcBorders>
              <w:top w:val="nil"/>
              <w:left w:val="single" w:sz="4" w:space="0" w:color="FF0000"/>
              <w:bottom w:val="nil"/>
              <w:right w:val="nil"/>
            </w:tcBorders>
            <w:shd w:val="clear" w:color="auto" w:fill="auto"/>
            <w:noWrap/>
            <w:vAlign w:val="bottom"/>
            <w:hideMark/>
          </w:tcPr>
          <w:p w:rsidR="000F2576" w:rsidRDefault="009A142E" w:rsidP="000F2576">
            <w:pPr>
              <w:jc w:val="right"/>
              <w:rPr>
                <w:rFonts w:ascii="Arial Narrow" w:hAnsi="Arial Narrow" w:cs="Calibri"/>
                <w:sz w:val="18"/>
                <w:szCs w:val="18"/>
              </w:rPr>
            </w:pPr>
            <w:r>
              <w:rPr>
                <w:rFonts w:ascii="Arial Narrow" w:hAnsi="Arial Narrow" w:cs="Calibri"/>
                <w:sz w:val="18"/>
                <w:szCs w:val="18"/>
              </w:rPr>
              <w:t>100,0</w:t>
            </w:r>
          </w:p>
        </w:tc>
      </w:tr>
      <w:tr w:rsidR="000F2576" w:rsidTr="00F6645E">
        <w:trPr>
          <w:trHeight w:val="225"/>
        </w:trPr>
        <w:tc>
          <w:tcPr>
            <w:tcW w:w="182"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146"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146"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2673" w:type="dxa"/>
            <w:tcBorders>
              <w:top w:val="nil"/>
              <w:left w:val="nil"/>
              <w:bottom w:val="nil"/>
              <w:right w:val="single" w:sz="4" w:space="0" w:color="FF0000"/>
            </w:tcBorders>
            <w:shd w:val="clear" w:color="auto" w:fill="auto"/>
            <w:noWrap/>
            <w:vAlign w:val="center"/>
            <w:hideMark/>
          </w:tcPr>
          <w:p w:rsidR="000F2576" w:rsidRDefault="000F2576" w:rsidP="000F2576">
            <w:pPr>
              <w:rPr>
                <w:rFonts w:ascii="Arial Narrow" w:hAnsi="Arial Narrow"/>
                <w:sz w:val="18"/>
                <w:szCs w:val="18"/>
              </w:rPr>
            </w:pPr>
            <w:r>
              <w:rPr>
                <w:rFonts w:ascii="Arial Narrow" w:hAnsi="Arial Narrow"/>
                <w:sz w:val="18"/>
                <w:szCs w:val="18"/>
              </w:rPr>
              <w:t>Iné jednorazové dávky</w:t>
            </w:r>
          </w:p>
        </w:tc>
        <w:tc>
          <w:tcPr>
            <w:tcW w:w="1066"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lang w:eastAsia="sk-SK"/>
              </w:rPr>
            </w:pPr>
            <w:r>
              <w:rPr>
                <w:rFonts w:ascii="Arial Narrow" w:hAnsi="Arial Narrow" w:cs="Calibri"/>
                <w:sz w:val="18"/>
                <w:szCs w:val="18"/>
              </w:rPr>
              <w:t>11,2</w:t>
            </w:r>
          </w:p>
        </w:tc>
        <w:tc>
          <w:tcPr>
            <w:tcW w:w="850"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1,5</w:t>
            </w:r>
          </w:p>
        </w:tc>
        <w:tc>
          <w:tcPr>
            <w:tcW w:w="992"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1,8</w:t>
            </w:r>
          </w:p>
        </w:tc>
        <w:tc>
          <w:tcPr>
            <w:tcW w:w="993"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2,8</w:t>
            </w:r>
          </w:p>
        </w:tc>
        <w:tc>
          <w:tcPr>
            <w:tcW w:w="708"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0,0</w:t>
            </w:r>
          </w:p>
        </w:tc>
        <w:tc>
          <w:tcPr>
            <w:tcW w:w="993" w:type="dxa"/>
            <w:tcBorders>
              <w:top w:val="nil"/>
              <w:left w:val="single" w:sz="4" w:space="0" w:color="FF0000"/>
              <w:bottom w:val="nil"/>
              <w:right w:val="nil"/>
            </w:tcBorders>
            <w:shd w:val="clear" w:color="auto" w:fill="auto"/>
            <w:noWrap/>
            <w:vAlign w:val="bottom"/>
            <w:hideMark/>
          </w:tcPr>
          <w:p w:rsidR="000F2576" w:rsidRDefault="009A142E" w:rsidP="000F2576">
            <w:pPr>
              <w:jc w:val="right"/>
              <w:rPr>
                <w:rFonts w:ascii="Arial Narrow" w:hAnsi="Arial Narrow" w:cs="Calibri"/>
                <w:sz w:val="18"/>
                <w:szCs w:val="18"/>
              </w:rPr>
            </w:pPr>
            <w:r>
              <w:rPr>
                <w:rFonts w:ascii="Arial Narrow" w:hAnsi="Arial Narrow" w:cs="Calibri"/>
                <w:sz w:val="18"/>
                <w:szCs w:val="18"/>
              </w:rPr>
              <w:t>115,5</w:t>
            </w:r>
          </w:p>
        </w:tc>
      </w:tr>
      <w:tr w:rsidR="000F2576" w:rsidTr="00F6645E">
        <w:trPr>
          <w:trHeight w:val="225"/>
        </w:trPr>
        <w:tc>
          <w:tcPr>
            <w:tcW w:w="182" w:type="dxa"/>
            <w:tcBorders>
              <w:top w:val="nil"/>
              <w:left w:val="nil"/>
              <w:bottom w:val="nil"/>
              <w:right w:val="nil"/>
            </w:tcBorders>
            <w:shd w:val="clear" w:color="000000" w:fill="E2EFDA"/>
            <w:noWrap/>
            <w:vAlign w:val="bottom"/>
            <w:hideMark/>
          </w:tcPr>
          <w:p w:rsidR="000F2576" w:rsidRDefault="000F2576" w:rsidP="000F2576">
            <w:pPr>
              <w:rPr>
                <w:rFonts w:ascii="Arial Narrow" w:hAnsi="Arial Narrow"/>
                <w:b/>
                <w:bCs/>
                <w:color w:val="FFFFFF"/>
                <w:sz w:val="18"/>
                <w:szCs w:val="18"/>
              </w:rPr>
            </w:pPr>
            <w:r>
              <w:rPr>
                <w:rFonts w:ascii="Arial Narrow" w:hAnsi="Arial Narrow"/>
                <w:b/>
                <w:bCs/>
                <w:color w:val="FFFFFF"/>
                <w:sz w:val="18"/>
                <w:szCs w:val="18"/>
              </w:rPr>
              <w:t> </w:t>
            </w:r>
          </w:p>
        </w:tc>
        <w:tc>
          <w:tcPr>
            <w:tcW w:w="182" w:type="dxa"/>
            <w:tcBorders>
              <w:top w:val="nil"/>
              <w:left w:val="nil"/>
              <w:bottom w:val="nil"/>
              <w:right w:val="nil"/>
            </w:tcBorders>
            <w:shd w:val="clear" w:color="000000" w:fill="E2EFDA"/>
            <w:noWrap/>
            <w:vAlign w:val="bottom"/>
            <w:hideMark/>
          </w:tcPr>
          <w:p w:rsidR="000F2576" w:rsidRDefault="000F2576" w:rsidP="000F2576">
            <w:pPr>
              <w:rPr>
                <w:rFonts w:ascii="Arial Narrow" w:hAnsi="Arial Narrow"/>
                <w:b/>
                <w:bCs/>
                <w:color w:val="FFFFFF"/>
                <w:sz w:val="18"/>
                <w:szCs w:val="18"/>
              </w:rPr>
            </w:pPr>
            <w:r>
              <w:rPr>
                <w:rFonts w:ascii="Arial Narrow" w:hAnsi="Arial Narrow"/>
                <w:b/>
                <w:bCs/>
                <w:color w:val="FFFFFF"/>
                <w:sz w:val="18"/>
                <w:szCs w:val="18"/>
              </w:rPr>
              <w:t> </w:t>
            </w:r>
          </w:p>
        </w:tc>
        <w:tc>
          <w:tcPr>
            <w:tcW w:w="2965" w:type="dxa"/>
            <w:gridSpan w:val="3"/>
            <w:tcBorders>
              <w:top w:val="nil"/>
              <w:left w:val="nil"/>
              <w:bottom w:val="nil"/>
              <w:right w:val="single" w:sz="4" w:space="0" w:color="FF0000"/>
            </w:tcBorders>
            <w:shd w:val="clear" w:color="000000" w:fill="E2EFDA"/>
            <w:noWrap/>
            <w:vAlign w:val="center"/>
            <w:hideMark/>
          </w:tcPr>
          <w:p w:rsidR="000F2576" w:rsidRDefault="000F2576" w:rsidP="000F2576">
            <w:pPr>
              <w:rPr>
                <w:rFonts w:ascii="Arial Narrow" w:hAnsi="Arial Narrow"/>
                <w:b/>
                <w:bCs/>
                <w:sz w:val="18"/>
                <w:szCs w:val="18"/>
              </w:rPr>
            </w:pPr>
            <w:r>
              <w:rPr>
                <w:rFonts w:ascii="Arial Narrow" w:hAnsi="Arial Narrow"/>
                <w:b/>
                <w:bCs/>
                <w:sz w:val="18"/>
                <w:szCs w:val="18"/>
              </w:rPr>
              <w:t>Vecné dávky</w:t>
            </w:r>
          </w:p>
        </w:tc>
        <w:tc>
          <w:tcPr>
            <w:tcW w:w="1066" w:type="dxa"/>
            <w:tcBorders>
              <w:top w:val="nil"/>
              <w:left w:val="nil"/>
              <w:bottom w:val="nil"/>
              <w:right w:val="single" w:sz="4" w:space="0" w:color="FF0000"/>
            </w:tcBorders>
            <w:shd w:val="clear" w:color="000000" w:fill="E2EFDA"/>
            <w:noWrap/>
            <w:vAlign w:val="bottom"/>
            <w:hideMark/>
          </w:tcPr>
          <w:p w:rsidR="000F2576" w:rsidRDefault="000F2576" w:rsidP="000F2576">
            <w:pPr>
              <w:jc w:val="right"/>
              <w:rPr>
                <w:rFonts w:ascii="Arial Narrow" w:hAnsi="Arial Narrow" w:cs="Calibri"/>
                <w:b/>
                <w:bCs/>
                <w:sz w:val="18"/>
                <w:szCs w:val="18"/>
                <w:lang w:eastAsia="sk-SK"/>
              </w:rPr>
            </w:pPr>
            <w:r>
              <w:rPr>
                <w:rFonts w:ascii="Arial Narrow" w:hAnsi="Arial Narrow" w:cs="Calibri"/>
                <w:b/>
                <w:bCs/>
                <w:sz w:val="18"/>
                <w:szCs w:val="18"/>
              </w:rPr>
              <w:t>4,1</w:t>
            </w:r>
          </w:p>
        </w:tc>
        <w:tc>
          <w:tcPr>
            <w:tcW w:w="850" w:type="dxa"/>
            <w:tcBorders>
              <w:top w:val="nil"/>
              <w:left w:val="nil"/>
              <w:bottom w:val="nil"/>
              <w:right w:val="single" w:sz="4" w:space="0" w:color="FF0000"/>
            </w:tcBorders>
            <w:shd w:val="clear" w:color="000000" w:fill="E2EFDA"/>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0,5</w:t>
            </w:r>
          </w:p>
        </w:tc>
        <w:tc>
          <w:tcPr>
            <w:tcW w:w="992" w:type="dxa"/>
            <w:tcBorders>
              <w:top w:val="nil"/>
              <w:left w:val="nil"/>
              <w:bottom w:val="nil"/>
              <w:right w:val="single" w:sz="4" w:space="0" w:color="FF0000"/>
            </w:tcBorders>
            <w:shd w:val="clear" w:color="000000" w:fill="E2EFDA"/>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0,7</w:t>
            </w:r>
          </w:p>
        </w:tc>
        <w:tc>
          <w:tcPr>
            <w:tcW w:w="993" w:type="dxa"/>
            <w:tcBorders>
              <w:top w:val="nil"/>
              <w:left w:val="nil"/>
              <w:bottom w:val="nil"/>
              <w:right w:val="single" w:sz="4" w:space="0" w:color="FF0000"/>
            </w:tcBorders>
            <w:shd w:val="clear" w:color="000000" w:fill="E2EFDA"/>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1,0</w:t>
            </w:r>
          </w:p>
        </w:tc>
        <w:tc>
          <w:tcPr>
            <w:tcW w:w="708" w:type="dxa"/>
            <w:tcBorders>
              <w:top w:val="nil"/>
              <w:left w:val="nil"/>
              <w:bottom w:val="nil"/>
              <w:right w:val="nil"/>
            </w:tcBorders>
            <w:shd w:val="clear" w:color="000000" w:fill="E2EFDA"/>
            <w:noWrap/>
            <w:vAlign w:val="bottom"/>
            <w:hideMark/>
          </w:tcPr>
          <w:p w:rsidR="000F2576" w:rsidRDefault="000F2576" w:rsidP="000F2576">
            <w:pPr>
              <w:jc w:val="right"/>
              <w:rPr>
                <w:rFonts w:ascii="Arial Narrow" w:hAnsi="Arial Narrow" w:cs="Calibri"/>
                <w:b/>
                <w:bCs/>
                <w:sz w:val="18"/>
                <w:szCs w:val="18"/>
              </w:rPr>
            </w:pPr>
            <w:r>
              <w:rPr>
                <w:rFonts w:ascii="Arial Narrow" w:hAnsi="Arial Narrow" w:cs="Calibri"/>
                <w:b/>
                <w:bCs/>
                <w:sz w:val="18"/>
                <w:szCs w:val="18"/>
              </w:rPr>
              <w:t>0,0</w:t>
            </w:r>
          </w:p>
        </w:tc>
        <w:tc>
          <w:tcPr>
            <w:tcW w:w="993" w:type="dxa"/>
            <w:tcBorders>
              <w:top w:val="nil"/>
              <w:left w:val="single" w:sz="4" w:space="0" w:color="FF0000"/>
              <w:bottom w:val="nil"/>
              <w:right w:val="nil"/>
            </w:tcBorders>
            <w:shd w:val="clear" w:color="000000" w:fill="E2EFDA"/>
            <w:noWrap/>
            <w:vAlign w:val="bottom"/>
            <w:hideMark/>
          </w:tcPr>
          <w:p w:rsidR="000F2576" w:rsidRDefault="009A142E" w:rsidP="000F2576">
            <w:pPr>
              <w:jc w:val="right"/>
              <w:rPr>
                <w:rFonts w:ascii="Arial Narrow" w:hAnsi="Arial Narrow" w:cs="Calibri"/>
                <w:b/>
                <w:bCs/>
                <w:sz w:val="18"/>
                <w:szCs w:val="18"/>
              </w:rPr>
            </w:pPr>
            <w:r>
              <w:rPr>
                <w:rFonts w:ascii="Arial Narrow" w:hAnsi="Arial Narrow" w:cs="Calibri"/>
                <w:b/>
                <w:bCs/>
                <w:sz w:val="18"/>
                <w:szCs w:val="18"/>
              </w:rPr>
              <w:t>100,0</w:t>
            </w:r>
          </w:p>
        </w:tc>
      </w:tr>
      <w:tr w:rsidR="000F2576" w:rsidTr="00F6645E">
        <w:trPr>
          <w:trHeight w:val="225"/>
        </w:trPr>
        <w:tc>
          <w:tcPr>
            <w:tcW w:w="182"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146"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2819" w:type="dxa"/>
            <w:gridSpan w:val="2"/>
            <w:tcBorders>
              <w:top w:val="nil"/>
              <w:left w:val="nil"/>
              <w:bottom w:val="nil"/>
              <w:right w:val="single" w:sz="4" w:space="0" w:color="FF0000"/>
            </w:tcBorders>
            <w:shd w:val="clear" w:color="auto" w:fill="auto"/>
            <w:noWrap/>
            <w:vAlign w:val="center"/>
            <w:hideMark/>
          </w:tcPr>
          <w:p w:rsidR="000F2576" w:rsidRDefault="000F2576" w:rsidP="000F2576">
            <w:pPr>
              <w:rPr>
                <w:rFonts w:ascii="Arial Narrow" w:hAnsi="Arial Narrow"/>
                <w:sz w:val="18"/>
                <w:szCs w:val="18"/>
              </w:rPr>
            </w:pPr>
            <w:r>
              <w:rPr>
                <w:rFonts w:ascii="Arial Narrow" w:hAnsi="Arial Narrow"/>
                <w:sz w:val="18"/>
                <w:szCs w:val="18"/>
              </w:rPr>
              <w:t>Náklady na pohreb</w:t>
            </w:r>
          </w:p>
        </w:tc>
        <w:tc>
          <w:tcPr>
            <w:tcW w:w="1066"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lang w:eastAsia="sk-SK"/>
              </w:rPr>
            </w:pPr>
            <w:r>
              <w:rPr>
                <w:rFonts w:ascii="Arial Narrow" w:hAnsi="Arial Narrow" w:cs="Calibri"/>
                <w:sz w:val="18"/>
                <w:szCs w:val="18"/>
              </w:rPr>
              <w:t>4,1</w:t>
            </w:r>
          </w:p>
        </w:tc>
        <w:tc>
          <w:tcPr>
            <w:tcW w:w="850"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0,5</w:t>
            </w:r>
          </w:p>
        </w:tc>
        <w:tc>
          <w:tcPr>
            <w:tcW w:w="992"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0,7</w:t>
            </w:r>
          </w:p>
        </w:tc>
        <w:tc>
          <w:tcPr>
            <w:tcW w:w="993"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1,0</w:t>
            </w:r>
          </w:p>
        </w:tc>
        <w:tc>
          <w:tcPr>
            <w:tcW w:w="708"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0,0</w:t>
            </w:r>
          </w:p>
        </w:tc>
        <w:tc>
          <w:tcPr>
            <w:tcW w:w="993" w:type="dxa"/>
            <w:tcBorders>
              <w:top w:val="nil"/>
              <w:left w:val="single" w:sz="4" w:space="0" w:color="FF0000"/>
              <w:bottom w:val="nil"/>
              <w:right w:val="nil"/>
            </w:tcBorders>
            <w:shd w:val="clear" w:color="auto" w:fill="auto"/>
            <w:noWrap/>
            <w:vAlign w:val="bottom"/>
            <w:hideMark/>
          </w:tcPr>
          <w:p w:rsidR="000F2576" w:rsidRDefault="009A142E" w:rsidP="000F2576">
            <w:pPr>
              <w:jc w:val="right"/>
              <w:rPr>
                <w:rFonts w:ascii="Arial Narrow" w:hAnsi="Arial Narrow" w:cs="Calibri"/>
                <w:sz w:val="18"/>
                <w:szCs w:val="18"/>
              </w:rPr>
            </w:pPr>
            <w:r>
              <w:rPr>
                <w:rFonts w:ascii="Arial Narrow" w:hAnsi="Arial Narrow" w:cs="Calibri"/>
                <w:sz w:val="18"/>
                <w:szCs w:val="18"/>
              </w:rPr>
              <w:t>100,0</w:t>
            </w:r>
          </w:p>
        </w:tc>
      </w:tr>
      <w:tr w:rsidR="00F6645E" w:rsidTr="00F6645E">
        <w:trPr>
          <w:trHeight w:val="225"/>
        </w:trPr>
        <w:tc>
          <w:tcPr>
            <w:tcW w:w="182" w:type="dxa"/>
            <w:tcBorders>
              <w:top w:val="nil"/>
              <w:left w:val="nil"/>
              <w:bottom w:val="nil"/>
              <w:right w:val="nil"/>
            </w:tcBorders>
            <w:shd w:val="clear" w:color="auto" w:fill="auto"/>
            <w:noWrap/>
            <w:vAlign w:val="bottom"/>
            <w:hideMark/>
          </w:tcPr>
          <w:p w:rsidR="00F6645E" w:rsidRDefault="00F6645E">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F6645E" w:rsidRDefault="00F6645E">
            <w:pPr>
              <w:rPr>
                <w:sz w:val="20"/>
                <w:szCs w:val="20"/>
              </w:rPr>
            </w:pPr>
          </w:p>
        </w:tc>
        <w:tc>
          <w:tcPr>
            <w:tcW w:w="146" w:type="dxa"/>
            <w:tcBorders>
              <w:top w:val="nil"/>
              <w:left w:val="nil"/>
              <w:bottom w:val="nil"/>
              <w:right w:val="nil"/>
            </w:tcBorders>
            <w:shd w:val="clear" w:color="auto" w:fill="auto"/>
            <w:noWrap/>
            <w:vAlign w:val="bottom"/>
            <w:hideMark/>
          </w:tcPr>
          <w:p w:rsidR="00F6645E" w:rsidRDefault="00F6645E">
            <w:pPr>
              <w:rPr>
                <w:sz w:val="20"/>
                <w:szCs w:val="20"/>
              </w:rPr>
            </w:pPr>
          </w:p>
        </w:tc>
        <w:tc>
          <w:tcPr>
            <w:tcW w:w="2819" w:type="dxa"/>
            <w:gridSpan w:val="2"/>
            <w:tcBorders>
              <w:top w:val="nil"/>
              <w:left w:val="nil"/>
              <w:bottom w:val="nil"/>
              <w:right w:val="single" w:sz="4" w:space="0" w:color="FF0000"/>
            </w:tcBorders>
            <w:shd w:val="clear" w:color="auto" w:fill="auto"/>
            <w:noWrap/>
            <w:vAlign w:val="center"/>
            <w:hideMark/>
          </w:tcPr>
          <w:p w:rsidR="00F6645E" w:rsidRDefault="00F6645E">
            <w:pPr>
              <w:rPr>
                <w:rFonts w:ascii="Arial Narrow" w:hAnsi="Arial Narrow"/>
                <w:sz w:val="18"/>
                <w:szCs w:val="18"/>
              </w:rPr>
            </w:pPr>
            <w:r>
              <w:rPr>
                <w:rFonts w:ascii="Arial Narrow" w:hAnsi="Arial Narrow"/>
                <w:sz w:val="18"/>
                <w:szCs w:val="18"/>
              </w:rPr>
              <w:t>Iné vecné dávky</w:t>
            </w:r>
          </w:p>
        </w:tc>
        <w:tc>
          <w:tcPr>
            <w:tcW w:w="1066" w:type="dxa"/>
            <w:tcBorders>
              <w:top w:val="nil"/>
              <w:left w:val="nil"/>
              <w:bottom w:val="nil"/>
              <w:right w:val="single" w:sz="4" w:space="0" w:color="FF0000"/>
            </w:tcBorders>
            <w:shd w:val="clear" w:color="auto" w:fill="auto"/>
            <w:noWrap/>
            <w:vAlign w:val="bottom"/>
            <w:hideMark/>
          </w:tcPr>
          <w:p w:rsidR="00F6645E" w:rsidRDefault="00F6645E">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F6645E" w:rsidRDefault="00F6645E">
            <w:pPr>
              <w:jc w:val="right"/>
              <w:rPr>
                <w:rFonts w:ascii="Arial Narrow" w:hAnsi="Arial Narrow"/>
                <w:sz w:val="18"/>
                <w:szCs w:val="18"/>
              </w:rPr>
            </w:pPr>
            <w:r>
              <w:rPr>
                <w:rFonts w:ascii="Arial Narrow" w:hAnsi="Arial Narrow"/>
                <w:sz w:val="18"/>
                <w:szCs w:val="18"/>
              </w:rPr>
              <w:t>0,0</w:t>
            </w:r>
          </w:p>
        </w:tc>
        <w:tc>
          <w:tcPr>
            <w:tcW w:w="992" w:type="dxa"/>
            <w:tcBorders>
              <w:top w:val="nil"/>
              <w:left w:val="nil"/>
              <w:bottom w:val="nil"/>
              <w:right w:val="single" w:sz="4" w:space="0" w:color="FF0000"/>
            </w:tcBorders>
            <w:shd w:val="clear" w:color="auto" w:fill="auto"/>
            <w:noWrap/>
            <w:vAlign w:val="bottom"/>
            <w:hideMark/>
          </w:tcPr>
          <w:p w:rsidR="00F6645E" w:rsidRDefault="00F6645E">
            <w:pPr>
              <w:jc w:val="right"/>
              <w:rPr>
                <w:rFonts w:ascii="Arial Narrow" w:hAnsi="Arial Narrow"/>
                <w:sz w:val="18"/>
                <w:szCs w:val="18"/>
              </w:rPr>
            </w:pPr>
            <w:r>
              <w:rPr>
                <w:rFonts w:ascii="Arial Narrow" w:hAnsi="Arial Narrow"/>
                <w:sz w:val="18"/>
                <w:szCs w:val="18"/>
              </w:rPr>
              <w:t>0,0</w:t>
            </w:r>
          </w:p>
        </w:tc>
        <w:tc>
          <w:tcPr>
            <w:tcW w:w="993" w:type="dxa"/>
            <w:tcBorders>
              <w:top w:val="nil"/>
              <w:left w:val="nil"/>
              <w:bottom w:val="nil"/>
              <w:right w:val="single" w:sz="4" w:space="0" w:color="FF0000"/>
            </w:tcBorders>
            <w:shd w:val="clear" w:color="auto" w:fill="auto"/>
            <w:noWrap/>
            <w:vAlign w:val="bottom"/>
            <w:hideMark/>
          </w:tcPr>
          <w:p w:rsidR="00F6645E" w:rsidRDefault="00F6645E">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nil"/>
            </w:tcBorders>
            <w:shd w:val="clear" w:color="auto" w:fill="auto"/>
            <w:noWrap/>
            <w:vAlign w:val="bottom"/>
            <w:hideMark/>
          </w:tcPr>
          <w:p w:rsidR="00F6645E" w:rsidRDefault="00F6645E">
            <w:pPr>
              <w:jc w:val="right"/>
              <w:rPr>
                <w:rFonts w:ascii="Arial Narrow" w:hAnsi="Arial Narrow"/>
                <w:sz w:val="18"/>
                <w:szCs w:val="18"/>
              </w:rPr>
            </w:pPr>
            <w:r>
              <w:rPr>
                <w:rFonts w:ascii="Arial Narrow" w:hAnsi="Arial Narrow"/>
                <w:sz w:val="18"/>
                <w:szCs w:val="18"/>
              </w:rPr>
              <w:t>0,0</w:t>
            </w:r>
          </w:p>
        </w:tc>
        <w:tc>
          <w:tcPr>
            <w:tcW w:w="993" w:type="dxa"/>
            <w:tcBorders>
              <w:top w:val="nil"/>
              <w:left w:val="single" w:sz="4" w:space="0" w:color="FF0000"/>
              <w:bottom w:val="nil"/>
              <w:right w:val="nil"/>
            </w:tcBorders>
            <w:shd w:val="clear" w:color="auto" w:fill="auto"/>
            <w:noWrap/>
            <w:vAlign w:val="bottom"/>
            <w:hideMark/>
          </w:tcPr>
          <w:p w:rsidR="00F6645E" w:rsidRDefault="007B7FAB">
            <w:pPr>
              <w:jc w:val="right"/>
              <w:rPr>
                <w:rFonts w:ascii="Arial Narrow" w:hAnsi="Arial Narrow"/>
                <w:sz w:val="18"/>
                <w:szCs w:val="18"/>
              </w:rPr>
            </w:pPr>
            <w:r>
              <w:rPr>
                <w:rFonts w:ascii="Arial Narrow" w:hAnsi="Arial Narrow"/>
                <w:sz w:val="18"/>
                <w:szCs w:val="18"/>
              </w:rPr>
              <w:t>x</w:t>
            </w:r>
          </w:p>
        </w:tc>
      </w:tr>
      <w:tr w:rsidR="000F2576" w:rsidTr="00EF1D32">
        <w:trPr>
          <w:trHeight w:val="225"/>
        </w:trPr>
        <w:tc>
          <w:tcPr>
            <w:tcW w:w="182" w:type="dxa"/>
            <w:tcBorders>
              <w:top w:val="nil"/>
              <w:left w:val="nil"/>
              <w:bottom w:val="nil"/>
              <w:right w:val="nil"/>
            </w:tcBorders>
            <w:shd w:val="clear" w:color="auto" w:fill="C5E0B3" w:themeFill="accent6" w:themeFillTint="66"/>
            <w:noWrap/>
            <w:vAlign w:val="bottom"/>
            <w:hideMark/>
          </w:tcPr>
          <w:p w:rsidR="000F2576" w:rsidRDefault="000F2576" w:rsidP="000F2576">
            <w:pPr>
              <w:rPr>
                <w:rFonts w:ascii="Arial Narrow" w:hAnsi="Arial Narrow"/>
                <w:b/>
                <w:bCs/>
                <w:color w:val="FFFFFF"/>
                <w:sz w:val="18"/>
                <w:szCs w:val="18"/>
              </w:rPr>
            </w:pPr>
            <w:r>
              <w:rPr>
                <w:rFonts w:ascii="Arial Narrow" w:hAnsi="Arial Narrow"/>
                <w:b/>
                <w:bCs/>
                <w:color w:val="FFFFFF"/>
                <w:sz w:val="18"/>
                <w:szCs w:val="18"/>
              </w:rPr>
              <w:t> </w:t>
            </w:r>
          </w:p>
        </w:tc>
        <w:tc>
          <w:tcPr>
            <w:tcW w:w="3147" w:type="dxa"/>
            <w:gridSpan w:val="4"/>
            <w:tcBorders>
              <w:top w:val="nil"/>
              <w:left w:val="nil"/>
              <w:bottom w:val="nil"/>
              <w:right w:val="single" w:sz="4" w:space="0" w:color="FF0000"/>
            </w:tcBorders>
            <w:shd w:val="clear" w:color="auto" w:fill="C5E0B3" w:themeFill="accent6" w:themeFillTint="66"/>
            <w:noWrap/>
            <w:vAlign w:val="center"/>
            <w:hideMark/>
          </w:tcPr>
          <w:p w:rsidR="000F2576" w:rsidRDefault="000F2576" w:rsidP="000F2576">
            <w:pPr>
              <w:rPr>
                <w:rFonts w:ascii="Arial Narrow" w:hAnsi="Arial Narrow"/>
                <w:b/>
                <w:bCs/>
                <w:sz w:val="18"/>
                <w:szCs w:val="18"/>
              </w:rPr>
            </w:pPr>
            <w:r>
              <w:rPr>
                <w:rFonts w:ascii="Arial Narrow" w:hAnsi="Arial Narrow"/>
                <w:b/>
                <w:bCs/>
                <w:sz w:val="18"/>
                <w:szCs w:val="18"/>
              </w:rPr>
              <w:t>Testované dávky na príjem</w:t>
            </w:r>
          </w:p>
        </w:tc>
        <w:tc>
          <w:tcPr>
            <w:tcW w:w="1066" w:type="dxa"/>
            <w:tcBorders>
              <w:top w:val="nil"/>
              <w:left w:val="nil"/>
              <w:bottom w:val="nil"/>
              <w:right w:val="single" w:sz="4" w:space="0" w:color="FF0000"/>
            </w:tcBorders>
            <w:shd w:val="clear" w:color="auto" w:fill="C5E0B3" w:themeFill="accent6" w:themeFillTint="66"/>
            <w:noWrap/>
            <w:vAlign w:val="bottom"/>
            <w:hideMark/>
          </w:tcPr>
          <w:p w:rsidR="000F2576" w:rsidRDefault="000F2576" w:rsidP="000F2576">
            <w:pPr>
              <w:jc w:val="right"/>
              <w:rPr>
                <w:rFonts w:ascii="Arial Narrow" w:hAnsi="Arial Narrow" w:cs="Calibri"/>
                <w:sz w:val="18"/>
                <w:szCs w:val="18"/>
                <w:lang w:eastAsia="sk-SK"/>
              </w:rPr>
            </w:pPr>
            <w:r>
              <w:rPr>
                <w:rFonts w:ascii="Arial Narrow" w:hAnsi="Arial Narrow" w:cs="Calibri"/>
                <w:sz w:val="18"/>
                <w:szCs w:val="18"/>
              </w:rPr>
              <w:t>5,0</w:t>
            </w:r>
          </w:p>
        </w:tc>
        <w:tc>
          <w:tcPr>
            <w:tcW w:w="850" w:type="dxa"/>
            <w:tcBorders>
              <w:top w:val="nil"/>
              <w:left w:val="nil"/>
              <w:bottom w:val="nil"/>
              <w:right w:val="single" w:sz="4" w:space="0" w:color="FF0000"/>
            </w:tcBorders>
            <w:shd w:val="clear" w:color="auto" w:fill="C5E0B3" w:themeFill="accent6" w:themeFillTint="66"/>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0,6</w:t>
            </w:r>
          </w:p>
        </w:tc>
        <w:tc>
          <w:tcPr>
            <w:tcW w:w="992" w:type="dxa"/>
            <w:tcBorders>
              <w:top w:val="nil"/>
              <w:left w:val="nil"/>
              <w:bottom w:val="nil"/>
              <w:right w:val="single" w:sz="4" w:space="0" w:color="FF0000"/>
            </w:tcBorders>
            <w:shd w:val="clear" w:color="auto" w:fill="C5E0B3" w:themeFill="accent6" w:themeFillTint="66"/>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0,8</w:t>
            </w:r>
          </w:p>
        </w:tc>
        <w:tc>
          <w:tcPr>
            <w:tcW w:w="993" w:type="dxa"/>
            <w:tcBorders>
              <w:top w:val="nil"/>
              <w:left w:val="nil"/>
              <w:bottom w:val="nil"/>
              <w:right w:val="single" w:sz="4" w:space="0" w:color="FF0000"/>
            </w:tcBorders>
            <w:shd w:val="clear" w:color="auto" w:fill="C5E0B3" w:themeFill="accent6" w:themeFillTint="66"/>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1,3</w:t>
            </w:r>
          </w:p>
        </w:tc>
        <w:tc>
          <w:tcPr>
            <w:tcW w:w="708" w:type="dxa"/>
            <w:tcBorders>
              <w:top w:val="nil"/>
              <w:left w:val="nil"/>
              <w:bottom w:val="nil"/>
              <w:right w:val="nil"/>
            </w:tcBorders>
            <w:shd w:val="clear" w:color="auto" w:fill="C5E0B3" w:themeFill="accent6" w:themeFillTint="66"/>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0,0</w:t>
            </w:r>
          </w:p>
        </w:tc>
        <w:tc>
          <w:tcPr>
            <w:tcW w:w="993" w:type="dxa"/>
            <w:tcBorders>
              <w:top w:val="nil"/>
              <w:left w:val="single" w:sz="4" w:space="0" w:color="FF0000"/>
              <w:bottom w:val="nil"/>
              <w:right w:val="nil"/>
            </w:tcBorders>
            <w:shd w:val="clear" w:color="auto" w:fill="C5E0B3" w:themeFill="accent6" w:themeFillTint="66"/>
            <w:noWrap/>
            <w:vAlign w:val="bottom"/>
            <w:hideMark/>
          </w:tcPr>
          <w:p w:rsidR="000F2576" w:rsidRDefault="009A142E" w:rsidP="000F2576">
            <w:pPr>
              <w:jc w:val="right"/>
              <w:rPr>
                <w:rFonts w:ascii="Arial Narrow" w:hAnsi="Arial Narrow" w:cs="Calibri"/>
                <w:b/>
                <w:bCs/>
                <w:sz w:val="18"/>
                <w:szCs w:val="18"/>
              </w:rPr>
            </w:pPr>
            <w:r>
              <w:rPr>
                <w:rFonts w:ascii="Arial Narrow" w:hAnsi="Arial Narrow" w:cs="Calibri"/>
                <w:b/>
                <w:bCs/>
                <w:sz w:val="18"/>
                <w:szCs w:val="18"/>
              </w:rPr>
              <w:t>102,0</w:t>
            </w:r>
          </w:p>
        </w:tc>
      </w:tr>
      <w:tr w:rsidR="000F2576" w:rsidTr="009561C2">
        <w:trPr>
          <w:trHeight w:val="225"/>
        </w:trPr>
        <w:tc>
          <w:tcPr>
            <w:tcW w:w="182"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0F2576" w:rsidRDefault="000F2576" w:rsidP="000F2576">
            <w:pPr>
              <w:rPr>
                <w:sz w:val="20"/>
                <w:szCs w:val="20"/>
              </w:rPr>
            </w:pPr>
          </w:p>
        </w:tc>
        <w:tc>
          <w:tcPr>
            <w:tcW w:w="2965" w:type="dxa"/>
            <w:gridSpan w:val="3"/>
            <w:tcBorders>
              <w:top w:val="nil"/>
              <w:left w:val="nil"/>
              <w:bottom w:val="nil"/>
              <w:right w:val="single" w:sz="4" w:space="0" w:color="FF0000"/>
            </w:tcBorders>
            <w:shd w:val="clear" w:color="auto" w:fill="auto"/>
            <w:noWrap/>
            <w:vAlign w:val="center"/>
            <w:hideMark/>
          </w:tcPr>
          <w:p w:rsidR="000F2576" w:rsidRDefault="000F2576" w:rsidP="000F2576">
            <w:pPr>
              <w:rPr>
                <w:rFonts w:ascii="Arial Narrow" w:hAnsi="Arial Narrow"/>
                <w:sz w:val="18"/>
                <w:szCs w:val="18"/>
              </w:rPr>
            </w:pPr>
            <w:r>
              <w:rPr>
                <w:rFonts w:ascii="Arial Narrow" w:hAnsi="Arial Narrow"/>
                <w:sz w:val="18"/>
                <w:szCs w:val="18"/>
              </w:rPr>
              <w:t>Peňažné dávky</w:t>
            </w:r>
          </w:p>
        </w:tc>
        <w:tc>
          <w:tcPr>
            <w:tcW w:w="1066"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lang w:eastAsia="sk-SK"/>
              </w:rPr>
            </w:pPr>
            <w:r>
              <w:rPr>
                <w:rFonts w:ascii="Arial Narrow" w:hAnsi="Arial Narrow" w:cs="Calibri"/>
                <w:sz w:val="18"/>
                <w:szCs w:val="18"/>
              </w:rPr>
              <w:t>5,0</w:t>
            </w:r>
          </w:p>
        </w:tc>
        <w:tc>
          <w:tcPr>
            <w:tcW w:w="850"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0,6</w:t>
            </w:r>
          </w:p>
        </w:tc>
        <w:tc>
          <w:tcPr>
            <w:tcW w:w="992"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0,8</w:t>
            </w:r>
          </w:p>
        </w:tc>
        <w:tc>
          <w:tcPr>
            <w:tcW w:w="993" w:type="dxa"/>
            <w:tcBorders>
              <w:top w:val="nil"/>
              <w:left w:val="nil"/>
              <w:bottom w:val="nil"/>
              <w:right w:val="single" w:sz="4" w:space="0" w:color="FF0000"/>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1,3</w:t>
            </w:r>
          </w:p>
        </w:tc>
        <w:tc>
          <w:tcPr>
            <w:tcW w:w="708" w:type="dxa"/>
            <w:tcBorders>
              <w:top w:val="nil"/>
              <w:left w:val="nil"/>
              <w:bottom w:val="nil"/>
              <w:right w:val="nil"/>
            </w:tcBorders>
            <w:shd w:val="clear" w:color="auto" w:fill="auto"/>
            <w:noWrap/>
            <w:vAlign w:val="bottom"/>
            <w:hideMark/>
          </w:tcPr>
          <w:p w:rsidR="000F2576" w:rsidRDefault="000F2576" w:rsidP="000F2576">
            <w:pPr>
              <w:jc w:val="right"/>
              <w:rPr>
                <w:rFonts w:ascii="Arial Narrow" w:hAnsi="Arial Narrow" w:cs="Calibri"/>
                <w:sz w:val="18"/>
                <w:szCs w:val="18"/>
              </w:rPr>
            </w:pPr>
            <w:r>
              <w:rPr>
                <w:rFonts w:ascii="Arial Narrow" w:hAnsi="Arial Narrow" w:cs="Calibri"/>
                <w:sz w:val="18"/>
                <w:szCs w:val="18"/>
              </w:rPr>
              <w:t>0,0</w:t>
            </w:r>
          </w:p>
        </w:tc>
        <w:tc>
          <w:tcPr>
            <w:tcW w:w="993" w:type="dxa"/>
            <w:tcBorders>
              <w:top w:val="nil"/>
              <w:left w:val="single" w:sz="4" w:space="0" w:color="FF0000"/>
              <w:bottom w:val="nil"/>
              <w:right w:val="nil"/>
            </w:tcBorders>
            <w:shd w:val="clear" w:color="auto" w:fill="auto"/>
            <w:noWrap/>
            <w:vAlign w:val="bottom"/>
            <w:hideMark/>
          </w:tcPr>
          <w:p w:rsidR="000F2576" w:rsidRDefault="009A142E" w:rsidP="000F2576">
            <w:pPr>
              <w:jc w:val="right"/>
              <w:rPr>
                <w:rFonts w:ascii="Arial Narrow" w:hAnsi="Arial Narrow" w:cs="Calibri"/>
                <w:sz w:val="18"/>
                <w:szCs w:val="18"/>
              </w:rPr>
            </w:pPr>
            <w:r>
              <w:rPr>
                <w:rFonts w:ascii="Arial Narrow" w:hAnsi="Arial Narrow" w:cs="Calibri"/>
                <w:sz w:val="18"/>
                <w:szCs w:val="18"/>
              </w:rPr>
              <w:t>102,0</w:t>
            </w:r>
          </w:p>
        </w:tc>
      </w:tr>
      <w:tr w:rsidR="00F6645E" w:rsidTr="00F6645E">
        <w:trPr>
          <w:trHeight w:val="225"/>
        </w:trPr>
        <w:tc>
          <w:tcPr>
            <w:tcW w:w="182" w:type="dxa"/>
            <w:tcBorders>
              <w:top w:val="nil"/>
              <w:left w:val="nil"/>
              <w:bottom w:val="nil"/>
              <w:right w:val="nil"/>
            </w:tcBorders>
            <w:shd w:val="clear" w:color="auto" w:fill="auto"/>
            <w:noWrap/>
            <w:vAlign w:val="bottom"/>
            <w:hideMark/>
          </w:tcPr>
          <w:p w:rsidR="00F6645E" w:rsidRDefault="00F6645E">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F6645E" w:rsidRDefault="00F6645E">
            <w:pPr>
              <w:rPr>
                <w:sz w:val="20"/>
                <w:szCs w:val="20"/>
              </w:rPr>
            </w:pPr>
          </w:p>
        </w:tc>
        <w:tc>
          <w:tcPr>
            <w:tcW w:w="2965" w:type="dxa"/>
            <w:gridSpan w:val="3"/>
            <w:tcBorders>
              <w:top w:val="nil"/>
              <w:left w:val="nil"/>
              <w:bottom w:val="nil"/>
              <w:right w:val="single" w:sz="4" w:space="0" w:color="FF0000"/>
            </w:tcBorders>
            <w:shd w:val="clear" w:color="auto" w:fill="auto"/>
            <w:noWrap/>
            <w:vAlign w:val="center"/>
            <w:hideMark/>
          </w:tcPr>
          <w:p w:rsidR="00F6645E" w:rsidRDefault="00F6645E">
            <w:pPr>
              <w:rPr>
                <w:rFonts w:ascii="Arial Narrow" w:hAnsi="Arial Narrow"/>
                <w:sz w:val="18"/>
                <w:szCs w:val="18"/>
              </w:rPr>
            </w:pPr>
            <w:r>
              <w:rPr>
                <w:rFonts w:ascii="Arial Narrow" w:hAnsi="Arial Narrow"/>
                <w:sz w:val="18"/>
                <w:szCs w:val="18"/>
              </w:rPr>
              <w:t>Vecné dávky</w:t>
            </w:r>
          </w:p>
        </w:tc>
        <w:tc>
          <w:tcPr>
            <w:tcW w:w="1066" w:type="dxa"/>
            <w:tcBorders>
              <w:top w:val="nil"/>
              <w:left w:val="nil"/>
              <w:bottom w:val="nil"/>
              <w:right w:val="single" w:sz="4" w:space="0" w:color="FF0000"/>
            </w:tcBorders>
            <w:shd w:val="clear" w:color="auto" w:fill="auto"/>
            <w:noWrap/>
            <w:vAlign w:val="bottom"/>
            <w:hideMark/>
          </w:tcPr>
          <w:p w:rsidR="00F6645E" w:rsidRDefault="00F6645E">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single" w:sz="4" w:space="0" w:color="FF0000"/>
            </w:tcBorders>
            <w:shd w:val="clear" w:color="auto" w:fill="auto"/>
            <w:noWrap/>
            <w:vAlign w:val="bottom"/>
            <w:hideMark/>
          </w:tcPr>
          <w:p w:rsidR="00F6645E" w:rsidRDefault="00F6645E">
            <w:pPr>
              <w:jc w:val="right"/>
              <w:rPr>
                <w:rFonts w:ascii="Arial Narrow" w:hAnsi="Arial Narrow"/>
                <w:sz w:val="18"/>
                <w:szCs w:val="18"/>
              </w:rPr>
            </w:pPr>
            <w:r>
              <w:rPr>
                <w:rFonts w:ascii="Arial Narrow" w:hAnsi="Arial Narrow"/>
                <w:sz w:val="18"/>
                <w:szCs w:val="18"/>
              </w:rPr>
              <w:t>0,0</w:t>
            </w:r>
          </w:p>
        </w:tc>
        <w:tc>
          <w:tcPr>
            <w:tcW w:w="992" w:type="dxa"/>
            <w:tcBorders>
              <w:top w:val="nil"/>
              <w:left w:val="nil"/>
              <w:bottom w:val="nil"/>
              <w:right w:val="single" w:sz="4" w:space="0" w:color="FF0000"/>
            </w:tcBorders>
            <w:shd w:val="clear" w:color="auto" w:fill="auto"/>
            <w:noWrap/>
            <w:vAlign w:val="bottom"/>
            <w:hideMark/>
          </w:tcPr>
          <w:p w:rsidR="00F6645E" w:rsidRDefault="00F6645E">
            <w:pPr>
              <w:jc w:val="right"/>
              <w:rPr>
                <w:rFonts w:ascii="Arial Narrow" w:hAnsi="Arial Narrow"/>
                <w:sz w:val="18"/>
                <w:szCs w:val="18"/>
              </w:rPr>
            </w:pPr>
            <w:r>
              <w:rPr>
                <w:rFonts w:ascii="Arial Narrow" w:hAnsi="Arial Narrow"/>
                <w:sz w:val="18"/>
                <w:szCs w:val="18"/>
              </w:rPr>
              <w:t>0,0</w:t>
            </w:r>
          </w:p>
        </w:tc>
        <w:tc>
          <w:tcPr>
            <w:tcW w:w="993" w:type="dxa"/>
            <w:tcBorders>
              <w:top w:val="nil"/>
              <w:left w:val="nil"/>
              <w:bottom w:val="nil"/>
              <w:right w:val="single" w:sz="4" w:space="0" w:color="FF0000"/>
            </w:tcBorders>
            <w:shd w:val="clear" w:color="auto" w:fill="auto"/>
            <w:noWrap/>
            <w:vAlign w:val="bottom"/>
            <w:hideMark/>
          </w:tcPr>
          <w:p w:rsidR="00F6645E" w:rsidRDefault="00F6645E">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nil"/>
            </w:tcBorders>
            <w:shd w:val="clear" w:color="auto" w:fill="auto"/>
            <w:noWrap/>
            <w:vAlign w:val="bottom"/>
            <w:hideMark/>
          </w:tcPr>
          <w:p w:rsidR="00F6645E" w:rsidRDefault="00F6645E">
            <w:pPr>
              <w:jc w:val="right"/>
              <w:rPr>
                <w:rFonts w:ascii="Arial Narrow" w:hAnsi="Arial Narrow"/>
                <w:sz w:val="18"/>
                <w:szCs w:val="18"/>
              </w:rPr>
            </w:pPr>
            <w:r>
              <w:rPr>
                <w:rFonts w:ascii="Arial Narrow" w:hAnsi="Arial Narrow"/>
                <w:sz w:val="18"/>
                <w:szCs w:val="18"/>
              </w:rPr>
              <w:t>0,0</w:t>
            </w:r>
          </w:p>
        </w:tc>
        <w:tc>
          <w:tcPr>
            <w:tcW w:w="993" w:type="dxa"/>
            <w:tcBorders>
              <w:top w:val="nil"/>
              <w:left w:val="single" w:sz="4" w:space="0" w:color="FF0000"/>
              <w:bottom w:val="nil"/>
              <w:right w:val="nil"/>
            </w:tcBorders>
            <w:shd w:val="clear" w:color="auto" w:fill="auto"/>
            <w:noWrap/>
            <w:vAlign w:val="bottom"/>
            <w:hideMark/>
          </w:tcPr>
          <w:p w:rsidR="00F6645E" w:rsidRDefault="00F6645E">
            <w:pPr>
              <w:jc w:val="right"/>
              <w:rPr>
                <w:rFonts w:ascii="Arial Narrow" w:hAnsi="Arial Narrow"/>
                <w:sz w:val="18"/>
                <w:szCs w:val="18"/>
              </w:rPr>
            </w:pPr>
            <w:r>
              <w:rPr>
                <w:rFonts w:ascii="Arial Narrow" w:hAnsi="Arial Narrow"/>
                <w:sz w:val="18"/>
                <w:szCs w:val="18"/>
              </w:rPr>
              <w:t>x</w:t>
            </w:r>
          </w:p>
        </w:tc>
      </w:tr>
    </w:tbl>
    <w:p w:rsidR="0042276E" w:rsidRPr="0042276E" w:rsidRDefault="0042276E" w:rsidP="0042276E">
      <w:pPr>
        <w:pStyle w:val="Nadpis6"/>
        <w:jc w:val="both"/>
        <w:rPr>
          <w:rFonts w:ascii="Arial Narrow" w:hAnsi="Arial Narrow"/>
          <w:b w:val="0"/>
          <w:i/>
          <w:sz w:val="10"/>
          <w:szCs w:val="10"/>
        </w:rPr>
      </w:pPr>
    </w:p>
    <w:p w:rsidR="0042276E" w:rsidRPr="00E5620C" w:rsidRDefault="0042276E" w:rsidP="0042276E">
      <w:pPr>
        <w:pStyle w:val="Nadpis6"/>
        <w:jc w:val="both"/>
        <w:rPr>
          <w:rFonts w:ascii="Arial Narrow" w:hAnsi="Arial Narrow"/>
          <w:b w:val="0"/>
          <w:i/>
          <w:sz w:val="16"/>
          <w:szCs w:val="16"/>
        </w:rPr>
      </w:pPr>
      <w:r w:rsidRPr="00E5620C">
        <w:rPr>
          <w:rFonts w:ascii="Arial Narrow" w:hAnsi="Arial Narrow"/>
          <w:b w:val="0"/>
          <w:i/>
          <w:sz w:val="16"/>
          <w:szCs w:val="16"/>
        </w:rPr>
        <w:t>Zdroj: ŠÚ SR - ESSPROS</w:t>
      </w:r>
    </w:p>
    <w:p w:rsidR="0042276E" w:rsidRDefault="00240206" w:rsidP="0042276E">
      <w:pPr>
        <w:pStyle w:val="Nadpis6"/>
        <w:spacing w:before="40"/>
        <w:jc w:val="left"/>
        <w:rPr>
          <w:rFonts w:ascii="Arial Narrow" w:hAnsi="Arial Narrow"/>
          <w:sz w:val="20"/>
          <w:szCs w:val="20"/>
        </w:rPr>
      </w:pPr>
      <w:r w:rsidRPr="00B64B5F">
        <w:rPr>
          <w:rFonts w:ascii="Arial Narrow" w:hAnsi="Arial Narrow"/>
          <w:b w:val="0"/>
          <w:i/>
          <w:sz w:val="18"/>
          <w:szCs w:val="18"/>
        </w:rPr>
        <w:tab/>
      </w:r>
    </w:p>
    <w:p w:rsidR="0024044B" w:rsidRPr="0042276E" w:rsidRDefault="006A7999" w:rsidP="00987255">
      <w:pPr>
        <w:ind w:firstLine="708"/>
        <w:jc w:val="both"/>
        <w:rPr>
          <w:rFonts w:ascii="Arial Narrow" w:hAnsi="Arial Narrow"/>
          <w:sz w:val="22"/>
          <w:szCs w:val="20"/>
        </w:rPr>
      </w:pPr>
      <w:r w:rsidRPr="0042276E">
        <w:rPr>
          <w:rFonts w:ascii="Arial Narrow" w:hAnsi="Arial Narrow"/>
          <w:sz w:val="22"/>
          <w:szCs w:val="20"/>
        </w:rPr>
        <w:t xml:space="preserve">Výdavky na účel </w:t>
      </w:r>
      <w:r w:rsidRPr="0042276E">
        <w:rPr>
          <w:rFonts w:ascii="Arial Narrow" w:hAnsi="Arial Narrow"/>
          <w:b/>
          <w:sz w:val="22"/>
          <w:szCs w:val="20"/>
        </w:rPr>
        <w:t>pozostalí</w:t>
      </w:r>
      <w:r w:rsidRPr="0042276E">
        <w:rPr>
          <w:rFonts w:ascii="Arial Narrow" w:hAnsi="Arial Narrow"/>
          <w:sz w:val="22"/>
          <w:szCs w:val="20"/>
        </w:rPr>
        <w:t xml:space="preserve"> v roku 201</w:t>
      </w:r>
      <w:r w:rsidR="00123332" w:rsidRPr="0042276E">
        <w:rPr>
          <w:rFonts w:ascii="Arial Narrow" w:hAnsi="Arial Narrow"/>
          <w:sz w:val="22"/>
          <w:szCs w:val="20"/>
        </w:rPr>
        <w:t>9</w:t>
      </w:r>
      <w:r w:rsidRPr="0042276E">
        <w:rPr>
          <w:rFonts w:ascii="Arial Narrow" w:hAnsi="Arial Narrow"/>
          <w:sz w:val="22"/>
          <w:szCs w:val="20"/>
        </w:rPr>
        <w:t xml:space="preserve"> dosiahli 7</w:t>
      </w:r>
      <w:r w:rsidR="00123332" w:rsidRPr="0042276E">
        <w:rPr>
          <w:rFonts w:ascii="Arial Narrow" w:hAnsi="Arial Narrow"/>
          <w:sz w:val="22"/>
          <w:szCs w:val="20"/>
        </w:rPr>
        <w:t>71</w:t>
      </w:r>
      <w:r w:rsidRPr="0042276E">
        <w:rPr>
          <w:rFonts w:ascii="Arial Narrow" w:hAnsi="Arial Narrow"/>
          <w:sz w:val="22"/>
          <w:szCs w:val="20"/>
        </w:rPr>
        <w:t>,</w:t>
      </w:r>
      <w:r w:rsidR="00123332" w:rsidRPr="0042276E">
        <w:rPr>
          <w:rFonts w:ascii="Arial Narrow" w:hAnsi="Arial Narrow"/>
          <w:sz w:val="22"/>
          <w:szCs w:val="20"/>
        </w:rPr>
        <w:t>5</w:t>
      </w:r>
      <w:r w:rsidRPr="0042276E">
        <w:rPr>
          <w:rFonts w:ascii="Arial Narrow" w:hAnsi="Arial Narrow"/>
          <w:sz w:val="22"/>
          <w:szCs w:val="20"/>
        </w:rPr>
        <w:t xml:space="preserve"> mil. eur a medziročne </w:t>
      </w:r>
      <w:r w:rsidR="00123332" w:rsidRPr="0042276E">
        <w:rPr>
          <w:rFonts w:ascii="Arial Narrow" w:hAnsi="Arial Narrow"/>
          <w:sz w:val="22"/>
          <w:szCs w:val="20"/>
        </w:rPr>
        <w:t>klesli</w:t>
      </w:r>
      <w:r w:rsidRPr="0042276E">
        <w:rPr>
          <w:rFonts w:ascii="Arial Narrow" w:hAnsi="Arial Narrow"/>
          <w:sz w:val="22"/>
          <w:szCs w:val="20"/>
        </w:rPr>
        <w:t xml:space="preserve"> o </w:t>
      </w:r>
      <w:r w:rsidR="00123332" w:rsidRPr="0042276E">
        <w:rPr>
          <w:rFonts w:ascii="Arial Narrow" w:hAnsi="Arial Narrow"/>
          <w:sz w:val="22"/>
          <w:szCs w:val="20"/>
        </w:rPr>
        <w:t>0</w:t>
      </w:r>
      <w:r w:rsidRPr="0042276E">
        <w:rPr>
          <w:rFonts w:ascii="Arial Narrow" w:hAnsi="Arial Narrow"/>
          <w:sz w:val="22"/>
          <w:szCs w:val="20"/>
        </w:rPr>
        <w:t>,</w:t>
      </w:r>
      <w:r w:rsidR="00123332" w:rsidRPr="0042276E">
        <w:rPr>
          <w:rFonts w:ascii="Arial Narrow" w:hAnsi="Arial Narrow"/>
          <w:sz w:val="22"/>
          <w:szCs w:val="20"/>
        </w:rPr>
        <w:t>6</w:t>
      </w:r>
      <w:r w:rsidRPr="0042276E">
        <w:rPr>
          <w:rFonts w:ascii="Arial Narrow" w:hAnsi="Arial Narrow"/>
          <w:sz w:val="22"/>
          <w:szCs w:val="20"/>
        </w:rPr>
        <w:t xml:space="preserve"> %. </w:t>
      </w:r>
      <w:r w:rsidR="0024044B" w:rsidRPr="0042276E">
        <w:rPr>
          <w:rFonts w:ascii="Arial Narrow" w:hAnsi="Arial Narrow"/>
          <w:sz w:val="22"/>
          <w:szCs w:val="20"/>
        </w:rPr>
        <w:t>V účele pozostalí prevládali peňažné dávky financované zo sociálneho poistenia a štátneho rozpočtu. V roku 201</w:t>
      </w:r>
      <w:r w:rsidR="00123332" w:rsidRPr="0042276E">
        <w:rPr>
          <w:rFonts w:ascii="Arial Narrow" w:hAnsi="Arial Narrow"/>
          <w:sz w:val="22"/>
          <w:szCs w:val="20"/>
        </w:rPr>
        <w:t>9</w:t>
      </w:r>
      <w:r w:rsidR="0024044B" w:rsidRPr="0042276E">
        <w:rPr>
          <w:rFonts w:ascii="Arial Narrow" w:hAnsi="Arial Narrow"/>
          <w:sz w:val="22"/>
          <w:szCs w:val="20"/>
        </w:rPr>
        <w:t xml:space="preserve"> bol podiel výdavkov na pozostalostné dôchodky 97,</w:t>
      </w:r>
      <w:r w:rsidR="00123332" w:rsidRPr="0042276E">
        <w:rPr>
          <w:rFonts w:ascii="Arial Narrow" w:hAnsi="Arial Narrow"/>
          <w:sz w:val="22"/>
          <w:szCs w:val="20"/>
        </w:rPr>
        <w:t>2</w:t>
      </w:r>
      <w:r w:rsidR="0024044B" w:rsidRPr="0042276E">
        <w:rPr>
          <w:rFonts w:ascii="Arial Narrow" w:hAnsi="Arial Narrow"/>
          <w:sz w:val="22"/>
          <w:szCs w:val="20"/>
        </w:rPr>
        <w:t xml:space="preserve"> % (sólo a v súbehu dôchodky vdovské v</w:t>
      </w:r>
      <w:r w:rsidR="00123332" w:rsidRPr="0042276E">
        <w:rPr>
          <w:rFonts w:ascii="Arial Narrow" w:hAnsi="Arial Narrow"/>
          <w:sz w:val="22"/>
          <w:szCs w:val="20"/>
        </w:rPr>
        <w:t>dovecké, sirotské a výsluhové).</w:t>
      </w:r>
    </w:p>
    <w:p w:rsidR="00C12CF0" w:rsidRPr="0042276E" w:rsidRDefault="00C12CF0" w:rsidP="00DF7D15">
      <w:pPr>
        <w:jc w:val="both"/>
        <w:rPr>
          <w:rFonts w:ascii="Arial Narrow" w:hAnsi="Arial Narrow"/>
          <w:sz w:val="22"/>
          <w:szCs w:val="20"/>
          <w:highlight w:val="cyan"/>
        </w:rPr>
      </w:pPr>
    </w:p>
    <w:p w:rsidR="00524545" w:rsidRPr="0042276E" w:rsidRDefault="00524545" w:rsidP="00524545">
      <w:pPr>
        <w:ind w:firstLine="708"/>
        <w:jc w:val="both"/>
        <w:rPr>
          <w:rFonts w:ascii="Arial Narrow" w:hAnsi="Arial Narrow"/>
          <w:sz w:val="22"/>
          <w:szCs w:val="20"/>
        </w:rPr>
      </w:pPr>
      <w:r w:rsidRPr="0042276E">
        <w:rPr>
          <w:rFonts w:ascii="Arial Narrow" w:hAnsi="Arial Narrow"/>
          <w:sz w:val="22"/>
          <w:szCs w:val="20"/>
        </w:rPr>
        <w:t>Dávky na účel pozostalí tvorili v rámci celkových výdavkov na dávky sociálnej ochrany najmenší podiel v rokoch 2016 a 2017 (4,7 %) a najväčší v rokoch 2005 a 2007 (5,5 %).</w:t>
      </w:r>
    </w:p>
    <w:p w:rsidR="00123332" w:rsidRPr="0042276E" w:rsidRDefault="00123332" w:rsidP="00524545">
      <w:pPr>
        <w:ind w:firstLine="708"/>
        <w:jc w:val="both"/>
        <w:rPr>
          <w:rFonts w:ascii="Arial Narrow" w:hAnsi="Arial Narrow"/>
          <w:sz w:val="22"/>
          <w:szCs w:val="20"/>
        </w:rPr>
      </w:pPr>
    </w:p>
    <w:p w:rsidR="00123332" w:rsidRPr="000408EA" w:rsidRDefault="000408EA" w:rsidP="00524545">
      <w:pPr>
        <w:ind w:firstLine="708"/>
        <w:jc w:val="both"/>
        <w:rPr>
          <w:rFonts w:ascii="Arial Narrow" w:hAnsi="Arial Narrow"/>
          <w:sz w:val="22"/>
          <w:szCs w:val="20"/>
        </w:rPr>
      </w:pPr>
      <w:r w:rsidRPr="000408EA">
        <w:rPr>
          <w:rFonts w:ascii="Arial Narrow" w:hAnsi="Arial Narrow"/>
          <w:sz w:val="22"/>
          <w:szCs w:val="20"/>
        </w:rPr>
        <w:t>Dávky sociálnej ochrany na účel pozostalí sa na HDP podieľajú v rozpätí od 0,8 % po 1,0 %.</w:t>
      </w:r>
    </w:p>
    <w:p w:rsidR="00123332" w:rsidRDefault="00123332" w:rsidP="00524545">
      <w:pPr>
        <w:ind w:firstLine="708"/>
        <w:jc w:val="both"/>
        <w:rPr>
          <w:rFonts w:ascii="Arial Narrow" w:hAnsi="Arial Narrow"/>
          <w:sz w:val="20"/>
          <w:szCs w:val="20"/>
        </w:rPr>
      </w:pPr>
    </w:p>
    <w:p w:rsidR="00123332" w:rsidRDefault="00123332" w:rsidP="00524545">
      <w:pPr>
        <w:ind w:firstLine="708"/>
        <w:jc w:val="both"/>
        <w:rPr>
          <w:rFonts w:ascii="Arial Narrow" w:hAnsi="Arial Narrow"/>
          <w:sz w:val="20"/>
          <w:szCs w:val="20"/>
        </w:rPr>
      </w:pPr>
    </w:p>
    <w:p w:rsidR="00123332" w:rsidRDefault="00123332" w:rsidP="00524545">
      <w:pPr>
        <w:ind w:firstLine="708"/>
        <w:jc w:val="both"/>
        <w:rPr>
          <w:rFonts w:ascii="Arial Narrow" w:hAnsi="Arial Narrow"/>
          <w:sz w:val="20"/>
          <w:szCs w:val="20"/>
        </w:rPr>
      </w:pPr>
    </w:p>
    <w:p w:rsidR="00123332" w:rsidRDefault="00123332" w:rsidP="00524545">
      <w:pPr>
        <w:ind w:firstLine="708"/>
        <w:jc w:val="both"/>
        <w:rPr>
          <w:rFonts w:ascii="Arial Narrow" w:hAnsi="Arial Narrow"/>
          <w:sz w:val="20"/>
          <w:szCs w:val="20"/>
        </w:rPr>
      </w:pPr>
    </w:p>
    <w:p w:rsidR="00123332" w:rsidRDefault="00123332" w:rsidP="00524545">
      <w:pPr>
        <w:ind w:firstLine="708"/>
        <w:jc w:val="both"/>
        <w:rPr>
          <w:rFonts w:ascii="Arial Narrow" w:hAnsi="Arial Narrow"/>
          <w:sz w:val="20"/>
          <w:szCs w:val="20"/>
        </w:rPr>
      </w:pPr>
    </w:p>
    <w:p w:rsidR="00123332" w:rsidRDefault="00123332" w:rsidP="00524545">
      <w:pPr>
        <w:ind w:firstLine="708"/>
        <w:jc w:val="both"/>
        <w:rPr>
          <w:rFonts w:ascii="Arial Narrow" w:hAnsi="Arial Narrow"/>
          <w:sz w:val="20"/>
          <w:szCs w:val="20"/>
        </w:rPr>
      </w:pPr>
    </w:p>
    <w:p w:rsidR="00123332" w:rsidRDefault="00123332" w:rsidP="00524545">
      <w:pPr>
        <w:ind w:firstLine="708"/>
        <w:jc w:val="both"/>
        <w:rPr>
          <w:rFonts w:ascii="Arial Narrow" w:hAnsi="Arial Narrow"/>
          <w:sz w:val="20"/>
          <w:szCs w:val="20"/>
        </w:rPr>
      </w:pPr>
    </w:p>
    <w:p w:rsidR="00240206" w:rsidRDefault="00240206" w:rsidP="0024044B">
      <w:pPr>
        <w:jc w:val="both"/>
        <w:rPr>
          <w:rFonts w:ascii="Arial Narrow" w:hAnsi="Arial Narrow"/>
          <w:b/>
          <w:sz w:val="20"/>
          <w:szCs w:val="20"/>
        </w:rPr>
      </w:pPr>
      <w:r>
        <w:rPr>
          <w:rFonts w:ascii="Arial Narrow" w:hAnsi="Arial Narrow"/>
          <w:b/>
          <w:sz w:val="20"/>
          <w:szCs w:val="20"/>
        </w:rPr>
        <w:lastRenderedPageBreak/>
        <w:t xml:space="preserve">Graf </w:t>
      </w:r>
      <w:r w:rsidR="001871C0">
        <w:rPr>
          <w:rFonts w:ascii="Arial Narrow" w:hAnsi="Arial Narrow"/>
          <w:b/>
          <w:sz w:val="20"/>
          <w:szCs w:val="20"/>
        </w:rPr>
        <w:t>1.1</w:t>
      </w:r>
      <w:r w:rsidR="00D45BCA">
        <w:rPr>
          <w:rFonts w:ascii="Arial Narrow" w:hAnsi="Arial Narrow"/>
          <w:b/>
          <w:sz w:val="20"/>
          <w:szCs w:val="20"/>
        </w:rPr>
        <w:t>2</w:t>
      </w:r>
      <w:r w:rsidR="0024044B">
        <w:rPr>
          <w:rFonts w:ascii="Arial Narrow" w:hAnsi="Arial Narrow"/>
          <w:b/>
          <w:sz w:val="20"/>
          <w:szCs w:val="20"/>
        </w:rPr>
        <w:t xml:space="preserve"> </w:t>
      </w:r>
      <w:r>
        <w:rPr>
          <w:rFonts w:ascii="Arial Narrow" w:hAnsi="Arial Narrow"/>
          <w:b/>
          <w:sz w:val="20"/>
          <w:szCs w:val="20"/>
        </w:rPr>
        <w:t xml:space="preserve"> </w:t>
      </w:r>
      <w:r w:rsidRPr="00766944">
        <w:rPr>
          <w:rFonts w:ascii="Arial Narrow" w:hAnsi="Arial Narrow"/>
          <w:b/>
          <w:sz w:val="20"/>
          <w:szCs w:val="20"/>
        </w:rPr>
        <w:t xml:space="preserve">Výdavky na sociálne dávky </w:t>
      </w:r>
      <w:r>
        <w:rPr>
          <w:rFonts w:ascii="Arial Narrow" w:hAnsi="Arial Narrow"/>
          <w:b/>
          <w:sz w:val="20"/>
          <w:szCs w:val="20"/>
        </w:rPr>
        <w:t>v SR na účel pozostalí</w:t>
      </w:r>
      <w:r w:rsidRPr="00766944">
        <w:rPr>
          <w:rFonts w:ascii="Arial Narrow" w:hAnsi="Arial Narrow"/>
          <w:b/>
          <w:sz w:val="20"/>
          <w:szCs w:val="20"/>
        </w:rPr>
        <w:t xml:space="preserve">, </w:t>
      </w:r>
      <w:r w:rsidRPr="00CA65A1">
        <w:rPr>
          <w:rFonts w:ascii="Arial Narrow" w:hAnsi="Arial Narrow"/>
          <w:b/>
          <w:sz w:val="20"/>
          <w:szCs w:val="20"/>
        </w:rPr>
        <w:t>199</w:t>
      </w:r>
      <w:r w:rsidR="00123332">
        <w:rPr>
          <w:rFonts w:ascii="Arial Narrow" w:hAnsi="Arial Narrow"/>
          <w:b/>
          <w:sz w:val="20"/>
          <w:szCs w:val="20"/>
        </w:rPr>
        <w:t>8</w:t>
      </w:r>
      <w:r w:rsidRPr="00CA65A1">
        <w:rPr>
          <w:rFonts w:ascii="Arial Narrow" w:hAnsi="Arial Narrow"/>
          <w:b/>
          <w:sz w:val="20"/>
          <w:szCs w:val="20"/>
        </w:rPr>
        <w:t xml:space="preserve"> </w:t>
      </w:r>
      <w:r w:rsidR="0042276E">
        <w:rPr>
          <w:rFonts w:ascii="Arial Narrow" w:hAnsi="Arial Narrow"/>
          <w:b/>
          <w:sz w:val="20"/>
          <w:szCs w:val="20"/>
        </w:rPr>
        <w:t>–</w:t>
      </w:r>
      <w:r w:rsidRPr="00CA65A1">
        <w:rPr>
          <w:rFonts w:ascii="Arial Narrow" w:hAnsi="Arial Narrow"/>
          <w:b/>
          <w:sz w:val="20"/>
          <w:szCs w:val="20"/>
        </w:rPr>
        <w:t xml:space="preserve"> 201</w:t>
      </w:r>
      <w:r w:rsidR="00123332">
        <w:rPr>
          <w:rFonts w:ascii="Arial Narrow" w:hAnsi="Arial Narrow"/>
          <w:b/>
          <w:sz w:val="20"/>
          <w:szCs w:val="20"/>
        </w:rPr>
        <w:t>9</w:t>
      </w:r>
    </w:p>
    <w:p w:rsidR="0042276E" w:rsidRPr="0042276E" w:rsidRDefault="0042276E" w:rsidP="0024044B">
      <w:pPr>
        <w:jc w:val="both"/>
        <w:rPr>
          <w:rFonts w:ascii="Arial Narrow" w:hAnsi="Arial Narrow"/>
          <w:sz w:val="10"/>
          <w:szCs w:val="10"/>
        </w:rPr>
      </w:pPr>
    </w:p>
    <w:p w:rsidR="0042276E" w:rsidRDefault="00D6262B" w:rsidP="00447695">
      <w:r>
        <w:rPr>
          <w:noProof/>
          <w:lang w:eastAsia="sk-SK"/>
        </w:rPr>
        <w:drawing>
          <wp:inline distT="0" distB="0" distL="0" distR="0" wp14:anchorId="422C739D" wp14:editId="69F59267">
            <wp:extent cx="5759450" cy="2793365"/>
            <wp:effectExtent l="0" t="0" r="12700" b="6985"/>
            <wp:docPr id="27" name="Graf 27">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2276E" w:rsidRPr="0042276E" w:rsidRDefault="0042276E" w:rsidP="00447695">
      <w:pPr>
        <w:rPr>
          <w:sz w:val="10"/>
          <w:szCs w:val="10"/>
        </w:rPr>
      </w:pPr>
    </w:p>
    <w:p w:rsidR="00240206" w:rsidRDefault="0024044B" w:rsidP="00447695">
      <w:pPr>
        <w:rPr>
          <w:rFonts w:ascii="Arial Narrow" w:hAnsi="Arial Narrow"/>
          <w:i/>
          <w:sz w:val="16"/>
          <w:szCs w:val="16"/>
        </w:rPr>
      </w:pPr>
      <w:r w:rsidRPr="000F13C6">
        <w:rPr>
          <w:rFonts w:ascii="Arial Narrow" w:hAnsi="Arial Narrow"/>
          <w:i/>
          <w:sz w:val="16"/>
          <w:szCs w:val="16"/>
        </w:rPr>
        <w:t xml:space="preserve">Zdroj: ŠÚ SR </w:t>
      </w:r>
      <w:r w:rsidR="00524545">
        <w:rPr>
          <w:rFonts w:ascii="Arial Narrow" w:hAnsi="Arial Narrow"/>
          <w:i/>
          <w:sz w:val="16"/>
          <w:szCs w:val="16"/>
        </w:rPr>
        <w:t>-</w:t>
      </w:r>
      <w:r w:rsidRPr="000F13C6">
        <w:rPr>
          <w:rFonts w:ascii="Arial Narrow" w:hAnsi="Arial Narrow"/>
          <w:i/>
          <w:sz w:val="16"/>
          <w:szCs w:val="16"/>
        </w:rPr>
        <w:t xml:space="preserve"> ESSPROS</w:t>
      </w:r>
    </w:p>
    <w:p w:rsidR="00482A34" w:rsidRPr="00482A34" w:rsidRDefault="00482A34" w:rsidP="00447695">
      <w:pPr>
        <w:rPr>
          <w:rFonts w:ascii="Arial Narrow" w:hAnsi="Arial Narrow"/>
          <w:i/>
          <w:sz w:val="20"/>
          <w:szCs w:val="20"/>
        </w:rPr>
      </w:pPr>
    </w:p>
    <w:p w:rsidR="00877EBF" w:rsidRPr="0042276E" w:rsidRDefault="00492F0E" w:rsidP="006A7999">
      <w:pPr>
        <w:pStyle w:val="Nadpis6"/>
        <w:jc w:val="both"/>
        <w:rPr>
          <w:sz w:val="48"/>
        </w:rPr>
      </w:pPr>
      <w:r w:rsidRPr="0042276E">
        <w:rPr>
          <w:rFonts w:ascii="Arial Narrow" w:hAnsi="Arial Narrow"/>
          <w:sz w:val="24"/>
          <w:szCs w:val="22"/>
        </w:rPr>
        <w:t>1.</w:t>
      </w:r>
      <w:r w:rsidR="00B3760B" w:rsidRPr="0042276E">
        <w:rPr>
          <w:rFonts w:ascii="Arial Narrow" w:hAnsi="Arial Narrow"/>
          <w:sz w:val="24"/>
          <w:szCs w:val="22"/>
        </w:rPr>
        <w:t xml:space="preserve">2.5 </w:t>
      </w:r>
      <w:r w:rsidR="00550864" w:rsidRPr="0042276E">
        <w:rPr>
          <w:rFonts w:ascii="Arial Narrow" w:hAnsi="Arial Narrow"/>
          <w:sz w:val="24"/>
          <w:szCs w:val="22"/>
        </w:rPr>
        <w:t xml:space="preserve"> </w:t>
      </w:r>
      <w:r w:rsidR="00C00DD8" w:rsidRPr="0042276E">
        <w:rPr>
          <w:rFonts w:ascii="Arial Narrow" w:hAnsi="Arial Narrow"/>
          <w:sz w:val="24"/>
          <w:szCs w:val="22"/>
        </w:rPr>
        <w:t>Výdavky na účel rodina/deti</w:t>
      </w:r>
      <w:r w:rsidR="00877EBF" w:rsidRPr="0042276E">
        <w:rPr>
          <w:rFonts w:ascii="Arial Narrow" w:hAnsi="Arial Narrow"/>
          <w:sz w:val="24"/>
          <w:szCs w:val="22"/>
        </w:rPr>
        <w:t xml:space="preserve"> </w:t>
      </w:r>
      <w:r w:rsidRPr="0042276E">
        <w:rPr>
          <w:rFonts w:ascii="Arial Narrow" w:hAnsi="Arial Narrow"/>
          <w:sz w:val="24"/>
          <w:szCs w:val="22"/>
        </w:rPr>
        <w:t>v</w:t>
      </w:r>
      <w:r w:rsidR="00FA6E91" w:rsidRPr="0042276E">
        <w:rPr>
          <w:rFonts w:ascii="Arial Narrow" w:hAnsi="Arial Narrow"/>
          <w:sz w:val="24"/>
          <w:szCs w:val="22"/>
        </w:rPr>
        <w:t> </w:t>
      </w:r>
      <w:r w:rsidRPr="0042276E">
        <w:rPr>
          <w:rFonts w:ascii="Arial Narrow" w:hAnsi="Arial Narrow"/>
          <w:sz w:val="24"/>
          <w:szCs w:val="22"/>
        </w:rPr>
        <w:t>SR</w:t>
      </w:r>
      <w:r w:rsidR="00FA6E91" w:rsidRPr="0042276E">
        <w:rPr>
          <w:rFonts w:ascii="Arial Narrow" w:hAnsi="Arial Narrow"/>
          <w:sz w:val="24"/>
          <w:szCs w:val="22"/>
        </w:rPr>
        <w:t xml:space="preserve"> </w:t>
      </w:r>
      <w:r w:rsidR="00877EBF" w:rsidRPr="0042276E">
        <w:rPr>
          <w:rFonts w:ascii="Arial Narrow" w:hAnsi="Arial Narrow"/>
          <w:b w:val="0"/>
          <w:sz w:val="24"/>
          <w:szCs w:val="22"/>
        </w:rPr>
        <w:t>(Programy sociálnej ochrany č.: 1, 5, 6, 7, 8, 9, 12, 13, 14, 15,</w:t>
      </w:r>
      <w:r w:rsidR="00133A2B" w:rsidRPr="0042276E">
        <w:rPr>
          <w:rFonts w:ascii="Arial Narrow" w:hAnsi="Arial Narrow"/>
          <w:b w:val="0"/>
          <w:sz w:val="24"/>
          <w:szCs w:val="22"/>
        </w:rPr>
        <w:t xml:space="preserve"> </w:t>
      </w:r>
      <w:r w:rsidR="00877EBF" w:rsidRPr="0042276E">
        <w:rPr>
          <w:rFonts w:ascii="Arial Narrow" w:hAnsi="Arial Narrow"/>
          <w:b w:val="0"/>
          <w:sz w:val="24"/>
          <w:szCs w:val="22"/>
        </w:rPr>
        <w:t>2</w:t>
      </w:r>
      <w:r w:rsidR="00133A2B" w:rsidRPr="0042276E">
        <w:rPr>
          <w:rFonts w:ascii="Arial Narrow" w:hAnsi="Arial Narrow"/>
          <w:b w:val="0"/>
          <w:sz w:val="24"/>
          <w:szCs w:val="22"/>
        </w:rPr>
        <w:t>3</w:t>
      </w:r>
      <w:r w:rsidR="00877EBF" w:rsidRPr="0042276E">
        <w:rPr>
          <w:rFonts w:ascii="Arial Narrow" w:hAnsi="Arial Narrow"/>
          <w:b w:val="0"/>
          <w:sz w:val="24"/>
          <w:szCs w:val="22"/>
        </w:rPr>
        <w:t>)</w:t>
      </w:r>
    </w:p>
    <w:p w:rsidR="00506173" w:rsidRPr="00156D03" w:rsidRDefault="00506173" w:rsidP="00506173">
      <w:pPr>
        <w:rPr>
          <w:rFonts w:ascii="Arial Narrow" w:hAnsi="Arial Narrow"/>
          <w:sz w:val="18"/>
          <w:szCs w:val="18"/>
        </w:rPr>
      </w:pPr>
    </w:p>
    <w:p w:rsidR="00506173" w:rsidRPr="0042276E" w:rsidRDefault="00506173" w:rsidP="00506173">
      <w:pPr>
        <w:jc w:val="both"/>
        <w:rPr>
          <w:rFonts w:ascii="Arial Narrow" w:hAnsi="Arial Narrow"/>
          <w:sz w:val="22"/>
          <w:szCs w:val="20"/>
        </w:rPr>
      </w:pPr>
      <w:r w:rsidRPr="0042276E">
        <w:rPr>
          <w:rFonts w:ascii="Arial Narrow" w:hAnsi="Arial Narrow"/>
          <w:sz w:val="22"/>
          <w:szCs w:val="20"/>
        </w:rPr>
        <w:t>Účel rodina/deti zahŕňa dávky, ktoré:</w:t>
      </w:r>
    </w:p>
    <w:p w:rsidR="00506173" w:rsidRPr="0042276E" w:rsidRDefault="00506173" w:rsidP="0020351B">
      <w:pPr>
        <w:pStyle w:val="Odsekzoznamu"/>
        <w:numPr>
          <w:ilvl w:val="0"/>
          <w:numId w:val="7"/>
        </w:numPr>
        <w:jc w:val="both"/>
        <w:rPr>
          <w:rFonts w:ascii="Arial Narrow" w:hAnsi="Arial Narrow"/>
          <w:sz w:val="22"/>
          <w:szCs w:val="20"/>
        </w:rPr>
      </w:pPr>
      <w:r w:rsidRPr="0042276E">
        <w:rPr>
          <w:rFonts w:ascii="Arial Narrow" w:hAnsi="Arial Narrow"/>
          <w:sz w:val="22"/>
          <w:szCs w:val="20"/>
        </w:rPr>
        <w:t>poskytujú finančnú podporu domácnostiam na výchovu detí,</w:t>
      </w:r>
    </w:p>
    <w:p w:rsidR="00506173" w:rsidRPr="0042276E" w:rsidRDefault="00506173" w:rsidP="0020351B">
      <w:pPr>
        <w:pStyle w:val="Odsekzoznamu"/>
        <w:numPr>
          <w:ilvl w:val="0"/>
          <w:numId w:val="7"/>
        </w:numPr>
        <w:jc w:val="both"/>
        <w:rPr>
          <w:rFonts w:ascii="Arial Narrow" w:hAnsi="Arial Narrow"/>
          <w:sz w:val="22"/>
          <w:szCs w:val="20"/>
        </w:rPr>
      </w:pPr>
      <w:r w:rsidRPr="0042276E">
        <w:rPr>
          <w:rFonts w:ascii="Arial Narrow" w:hAnsi="Arial Narrow"/>
          <w:sz w:val="22"/>
          <w:szCs w:val="20"/>
        </w:rPr>
        <w:t>poskytujú finančnú pomoc osobám, ktoré podporujú iných príbuzných než sú deti,</w:t>
      </w:r>
    </w:p>
    <w:p w:rsidR="00506173" w:rsidRPr="0042276E" w:rsidRDefault="00506173" w:rsidP="0020351B">
      <w:pPr>
        <w:pStyle w:val="Odsekzoznamu"/>
        <w:numPr>
          <w:ilvl w:val="0"/>
          <w:numId w:val="7"/>
        </w:numPr>
        <w:jc w:val="both"/>
        <w:rPr>
          <w:rFonts w:ascii="Arial Narrow" w:hAnsi="Arial Narrow"/>
          <w:sz w:val="22"/>
          <w:szCs w:val="20"/>
        </w:rPr>
      </w:pPr>
      <w:r w:rsidRPr="0042276E">
        <w:rPr>
          <w:rFonts w:ascii="Arial Narrow" w:hAnsi="Arial Narrow"/>
          <w:sz w:val="22"/>
          <w:szCs w:val="20"/>
        </w:rPr>
        <w:t>poskytujú sociálne služby špeciálne určené na pomoc a ochranu rodiny, najmä detí.</w:t>
      </w:r>
    </w:p>
    <w:p w:rsidR="00506173" w:rsidRPr="0042276E" w:rsidRDefault="00506173" w:rsidP="00506173">
      <w:pPr>
        <w:rPr>
          <w:rFonts w:ascii="Arial Narrow" w:hAnsi="Arial Narrow"/>
          <w:sz w:val="20"/>
          <w:szCs w:val="18"/>
        </w:rPr>
      </w:pPr>
    </w:p>
    <w:p w:rsidR="00813F36" w:rsidRPr="0042276E" w:rsidRDefault="00813F36" w:rsidP="00813F36">
      <w:pPr>
        <w:jc w:val="both"/>
        <w:rPr>
          <w:rFonts w:ascii="Arial Narrow" w:hAnsi="Arial Narrow"/>
          <w:sz w:val="22"/>
          <w:szCs w:val="20"/>
        </w:rPr>
      </w:pPr>
      <w:r w:rsidRPr="0042276E">
        <w:rPr>
          <w:rFonts w:ascii="Arial Narrow" w:hAnsi="Arial Narrow"/>
          <w:b/>
          <w:sz w:val="22"/>
          <w:szCs w:val="20"/>
        </w:rPr>
        <w:t>Dávka na udržanie príjmu v prípade narodenia dieťaťa</w:t>
      </w:r>
      <w:r w:rsidRPr="0042276E">
        <w:rPr>
          <w:rFonts w:ascii="Arial Narrow" w:hAnsi="Arial Narrow"/>
          <w:sz w:val="22"/>
          <w:szCs w:val="20"/>
        </w:rPr>
        <w:t>: platby jednorazové alebo závislé od zárobku určené na kompenzáciu chránenej osoby za stratu zárobku vzhľadom k neprítomnosti v práci v súvislosti s narodením dieťaťa na obdobie pred a/alebo po pôrode alebo v súvislosti s adopciou. Dávku možno vyplácať aj otcovi.</w:t>
      </w:r>
    </w:p>
    <w:p w:rsidR="00813F36" w:rsidRPr="0042276E" w:rsidRDefault="00813F36" w:rsidP="00813F36">
      <w:pPr>
        <w:pStyle w:val="Odsekzoznamu"/>
        <w:ind w:left="709"/>
        <w:jc w:val="both"/>
        <w:rPr>
          <w:rFonts w:ascii="Arial Narrow" w:hAnsi="Arial Narrow"/>
          <w:sz w:val="20"/>
          <w:szCs w:val="18"/>
        </w:rPr>
      </w:pPr>
    </w:p>
    <w:p w:rsidR="00813F36" w:rsidRPr="0042276E" w:rsidRDefault="00813F36" w:rsidP="00813F36">
      <w:pPr>
        <w:jc w:val="both"/>
        <w:rPr>
          <w:rFonts w:ascii="Arial Narrow" w:hAnsi="Arial Narrow"/>
          <w:sz w:val="22"/>
          <w:szCs w:val="20"/>
        </w:rPr>
      </w:pPr>
      <w:r w:rsidRPr="0042276E">
        <w:rPr>
          <w:rFonts w:ascii="Arial Narrow" w:hAnsi="Arial Narrow"/>
          <w:b/>
          <w:sz w:val="22"/>
          <w:szCs w:val="20"/>
        </w:rPr>
        <w:t>Podpora pri narodení</w:t>
      </w:r>
      <w:r w:rsidRPr="0042276E">
        <w:rPr>
          <w:rFonts w:ascii="Arial Narrow" w:hAnsi="Arial Narrow"/>
          <w:sz w:val="22"/>
          <w:szCs w:val="20"/>
        </w:rPr>
        <w:t>: dávky zvyčajne platené ako jednorazová suma alebo v splátkach v prípade narodenia dieťaťa alebo adopcie.</w:t>
      </w:r>
    </w:p>
    <w:p w:rsidR="00813F36" w:rsidRPr="0042276E" w:rsidRDefault="00813F36" w:rsidP="00813F36">
      <w:pPr>
        <w:jc w:val="both"/>
        <w:rPr>
          <w:rFonts w:ascii="Arial Narrow" w:hAnsi="Arial Narrow"/>
          <w:sz w:val="20"/>
          <w:szCs w:val="18"/>
        </w:rPr>
      </w:pPr>
    </w:p>
    <w:p w:rsidR="00813F36" w:rsidRPr="0042276E" w:rsidRDefault="00813F36" w:rsidP="00813F36">
      <w:pPr>
        <w:jc w:val="both"/>
        <w:rPr>
          <w:rFonts w:ascii="Arial Narrow" w:hAnsi="Arial Narrow"/>
          <w:sz w:val="22"/>
          <w:szCs w:val="20"/>
        </w:rPr>
      </w:pPr>
      <w:r w:rsidRPr="0042276E">
        <w:rPr>
          <w:rFonts w:ascii="Arial Narrow" w:hAnsi="Arial Narrow"/>
          <w:b/>
          <w:sz w:val="22"/>
          <w:szCs w:val="20"/>
        </w:rPr>
        <w:t>Dávka na materskú dovolenku</w:t>
      </w:r>
      <w:r w:rsidRPr="0042276E">
        <w:rPr>
          <w:rFonts w:ascii="Arial Narrow" w:hAnsi="Arial Narrow"/>
          <w:sz w:val="22"/>
          <w:szCs w:val="20"/>
        </w:rPr>
        <w:t>: dávka platená buď matke alebo otcovi v prípade prerušenia zamestnania alebo obmedzenia pracovnej doby v záujme umožniť výchovu dieťaťa zvyčajne v nízkom veku.</w:t>
      </w:r>
    </w:p>
    <w:p w:rsidR="00813F36" w:rsidRPr="0042276E" w:rsidRDefault="00813F36" w:rsidP="00813F36">
      <w:pPr>
        <w:pStyle w:val="Odsekzoznamu"/>
        <w:ind w:left="360"/>
        <w:rPr>
          <w:rFonts w:ascii="Arial Narrow" w:hAnsi="Arial Narrow"/>
          <w:sz w:val="20"/>
          <w:szCs w:val="18"/>
        </w:rPr>
      </w:pPr>
    </w:p>
    <w:p w:rsidR="00813F36" w:rsidRPr="0042276E" w:rsidRDefault="00813F36" w:rsidP="00813F36">
      <w:pPr>
        <w:jc w:val="both"/>
        <w:rPr>
          <w:rFonts w:ascii="Arial Narrow" w:hAnsi="Arial Narrow"/>
          <w:sz w:val="22"/>
          <w:szCs w:val="20"/>
        </w:rPr>
      </w:pPr>
      <w:r w:rsidRPr="0042276E">
        <w:rPr>
          <w:rFonts w:ascii="Arial Narrow" w:hAnsi="Arial Narrow"/>
          <w:b/>
          <w:sz w:val="22"/>
          <w:szCs w:val="20"/>
        </w:rPr>
        <w:t xml:space="preserve">Rodinný alebo detský prídavok: </w:t>
      </w:r>
      <w:r w:rsidRPr="0042276E">
        <w:rPr>
          <w:rFonts w:ascii="Arial Narrow" w:hAnsi="Arial Narrow"/>
          <w:sz w:val="22"/>
          <w:szCs w:val="20"/>
        </w:rPr>
        <w:t>pravidelné platby členovi domácnosti s nezaopatrenými deťmi, ktoré majú pomôcť s nákladmi na výchovu detí.</w:t>
      </w:r>
    </w:p>
    <w:p w:rsidR="00813F36" w:rsidRPr="0042276E" w:rsidRDefault="00813F36" w:rsidP="00813F36">
      <w:pPr>
        <w:pStyle w:val="Odsekzoznamu"/>
        <w:ind w:left="360"/>
        <w:rPr>
          <w:rFonts w:ascii="Arial Narrow" w:hAnsi="Arial Narrow"/>
          <w:sz w:val="20"/>
          <w:szCs w:val="18"/>
        </w:rPr>
      </w:pPr>
    </w:p>
    <w:p w:rsidR="00813F36" w:rsidRPr="0042276E" w:rsidRDefault="00813F36" w:rsidP="00813F36">
      <w:pPr>
        <w:jc w:val="both"/>
        <w:rPr>
          <w:rFonts w:ascii="Arial Narrow" w:hAnsi="Arial Narrow"/>
          <w:sz w:val="22"/>
          <w:szCs w:val="20"/>
        </w:rPr>
      </w:pPr>
      <w:r w:rsidRPr="0042276E">
        <w:rPr>
          <w:rFonts w:ascii="Arial Narrow" w:hAnsi="Arial Narrow"/>
          <w:b/>
          <w:sz w:val="22"/>
          <w:szCs w:val="20"/>
        </w:rPr>
        <w:t>Iné peňažné dávky:</w:t>
      </w:r>
      <w:r w:rsidRPr="0042276E">
        <w:rPr>
          <w:rFonts w:ascii="Arial Narrow" w:hAnsi="Arial Narrow"/>
          <w:sz w:val="22"/>
          <w:szCs w:val="20"/>
        </w:rPr>
        <w:t xml:space="preserve"> dávky platené nezávisle od rodinných prídavkov na podporu domácností a pomoc pri úhrade špecifických nákladov, ako sú náklady vznikajúce zo špecifických potrieb rodín s osamelým rodičom alebo rodín s hendikepovanými deťmi. </w:t>
      </w:r>
    </w:p>
    <w:p w:rsidR="00506173" w:rsidRPr="0042276E" w:rsidRDefault="00506173" w:rsidP="00506173">
      <w:pPr>
        <w:rPr>
          <w:sz w:val="20"/>
          <w:szCs w:val="18"/>
        </w:rPr>
      </w:pPr>
    </w:p>
    <w:p w:rsidR="00813F36" w:rsidRPr="0042276E" w:rsidRDefault="00813F36" w:rsidP="00813F36">
      <w:pPr>
        <w:jc w:val="both"/>
        <w:rPr>
          <w:rFonts w:ascii="Arial Narrow" w:hAnsi="Arial Narrow"/>
          <w:sz w:val="22"/>
          <w:szCs w:val="20"/>
        </w:rPr>
      </w:pPr>
      <w:r w:rsidRPr="0042276E">
        <w:rPr>
          <w:rFonts w:ascii="Arial Narrow" w:hAnsi="Arial Narrow"/>
          <w:b/>
          <w:sz w:val="22"/>
          <w:szCs w:val="20"/>
        </w:rPr>
        <w:t xml:space="preserve">Detská denná starostlivosť: </w:t>
      </w:r>
      <w:r w:rsidRPr="0042276E">
        <w:rPr>
          <w:rFonts w:ascii="Arial Narrow" w:hAnsi="Arial Narrow"/>
          <w:sz w:val="22"/>
          <w:szCs w:val="20"/>
        </w:rPr>
        <w:t xml:space="preserve">prístrešie a strava poskytované deťom predškolského veku počas dňa alebo časti dňa. Vekový limit pre dieťa predškolského veku je definovaný v národnej legislatíve. Sem je zahrnutá aj finančná pomoc pre platenie zdravotnej sestry, ktorá dohliada na deti počas dňa. </w:t>
      </w:r>
    </w:p>
    <w:p w:rsidR="00813F36" w:rsidRPr="0042276E" w:rsidRDefault="00813F36" w:rsidP="00813F36">
      <w:pPr>
        <w:jc w:val="both"/>
        <w:rPr>
          <w:rFonts w:ascii="Arial Narrow" w:hAnsi="Arial Narrow"/>
          <w:sz w:val="20"/>
          <w:szCs w:val="18"/>
        </w:rPr>
      </w:pPr>
    </w:p>
    <w:p w:rsidR="00813F36" w:rsidRPr="0042276E" w:rsidRDefault="00813F36" w:rsidP="00813F36">
      <w:pPr>
        <w:jc w:val="both"/>
        <w:rPr>
          <w:rFonts w:ascii="Arial Narrow" w:hAnsi="Arial Narrow"/>
          <w:sz w:val="22"/>
          <w:szCs w:val="20"/>
        </w:rPr>
      </w:pPr>
      <w:r w:rsidRPr="0042276E">
        <w:rPr>
          <w:rFonts w:ascii="Arial Narrow" w:hAnsi="Arial Narrow"/>
          <w:b/>
          <w:sz w:val="22"/>
          <w:szCs w:val="20"/>
        </w:rPr>
        <w:t>Bývanie</w:t>
      </w:r>
      <w:r w:rsidRPr="0042276E">
        <w:rPr>
          <w:rFonts w:ascii="Arial Narrow" w:hAnsi="Arial Narrow"/>
          <w:sz w:val="22"/>
          <w:szCs w:val="20"/>
        </w:rPr>
        <w:t>: prístrešok a strava poskytované deťom a rodinám na permanentnom základe (ako sú opatrovateľské ústavy a pestúnske rodiny).</w:t>
      </w:r>
    </w:p>
    <w:p w:rsidR="00521999" w:rsidRPr="0042276E" w:rsidRDefault="00521999" w:rsidP="00813F36">
      <w:pPr>
        <w:jc w:val="both"/>
        <w:rPr>
          <w:rFonts w:ascii="Arial Narrow" w:hAnsi="Arial Narrow"/>
          <w:b/>
          <w:sz w:val="20"/>
          <w:szCs w:val="18"/>
        </w:rPr>
      </w:pPr>
    </w:p>
    <w:p w:rsidR="00813F36" w:rsidRPr="0042276E" w:rsidRDefault="00813F36" w:rsidP="00813F36">
      <w:pPr>
        <w:jc w:val="both"/>
        <w:rPr>
          <w:rFonts w:ascii="Arial Narrow" w:hAnsi="Arial Narrow"/>
          <w:sz w:val="22"/>
          <w:szCs w:val="20"/>
        </w:rPr>
      </w:pPr>
      <w:r w:rsidRPr="0042276E">
        <w:rPr>
          <w:rFonts w:ascii="Arial Narrow" w:hAnsi="Arial Narrow"/>
          <w:b/>
          <w:sz w:val="22"/>
          <w:szCs w:val="20"/>
        </w:rPr>
        <w:t>Domáca pomoc:</w:t>
      </w:r>
      <w:r w:rsidRPr="0042276E">
        <w:rPr>
          <w:rFonts w:ascii="Arial Narrow" w:hAnsi="Arial Narrow"/>
          <w:sz w:val="22"/>
          <w:szCs w:val="20"/>
        </w:rPr>
        <w:t xml:space="preserve"> tovary a služby poskytované doma deťom a/alebo tým, ktorí sa o n</w:t>
      </w:r>
      <w:r w:rsidR="00411DE6" w:rsidRPr="0042276E">
        <w:rPr>
          <w:rFonts w:ascii="Arial Narrow" w:hAnsi="Arial Narrow"/>
          <w:sz w:val="22"/>
          <w:szCs w:val="20"/>
        </w:rPr>
        <w:t>ich</w:t>
      </w:r>
      <w:r w:rsidRPr="0042276E">
        <w:rPr>
          <w:rFonts w:ascii="Arial Narrow" w:hAnsi="Arial Narrow"/>
          <w:sz w:val="22"/>
          <w:szCs w:val="20"/>
        </w:rPr>
        <w:t xml:space="preserve"> starajú.</w:t>
      </w:r>
    </w:p>
    <w:p w:rsidR="004346B3" w:rsidRPr="0042276E" w:rsidRDefault="004346B3" w:rsidP="00813F36">
      <w:pPr>
        <w:rPr>
          <w:rFonts w:ascii="Arial Narrow" w:hAnsi="Arial Narrow"/>
          <w:b/>
          <w:sz w:val="20"/>
          <w:szCs w:val="18"/>
        </w:rPr>
      </w:pPr>
    </w:p>
    <w:p w:rsidR="00506173" w:rsidRPr="0042276E" w:rsidRDefault="00813F36" w:rsidP="00813F36">
      <w:pPr>
        <w:rPr>
          <w:rFonts w:ascii="Arial Narrow" w:hAnsi="Arial Narrow"/>
          <w:sz w:val="22"/>
          <w:szCs w:val="20"/>
        </w:rPr>
      </w:pPr>
      <w:r w:rsidRPr="0042276E">
        <w:rPr>
          <w:rFonts w:ascii="Arial Narrow" w:hAnsi="Arial Narrow"/>
          <w:b/>
          <w:sz w:val="22"/>
          <w:szCs w:val="20"/>
        </w:rPr>
        <w:t>Iné vecné dávky:</w:t>
      </w:r>
      <w:r w:rsidRPr="0042276E">
        <w:rPr>
          <w:rFonts w:ascii="Arial Narrow" w:hAnsi="Arial Narrow"/>
          <w:sz w:val="22"/>
          <w:szCs w:val="20"/>
        </w:rPr>
        <w:t xml:space="preserve"> rôzne tovary a služby poskytované rodinám, mladým ľuďom alebo deťom (centrá voľného času), vrátane zníženia cien, taríf, cestovného atď. pre deti alebo veľké rodiny, k</w:t>
      </w:r>
      <w:r w:rsidR="00167A6C" w:rsidRPr="0042276E">
        <w:rPr>
          <w:rFonts w:ascii="Arial Narrow" w:hAnsi="Arial Narrow"/>
          <w:sz w:val="22"/>
          <w:szCs w:val="20"/>
        </w:rPr>
        <w:t>toré</w:t>
      </w:r>
      <w:r w:rsidRPr="0042276E">
        <w:rPr>
          <w:rFonts w:ascii="Arial Narrow" w:hAnsi="Arial Narrow"/>
          <w:sz w:val="22"/>
          <w:szCs w:val="20"/>
        </w:rPr>
        <w:t xml:space="preserve"> sa vyslovene poskytujú na sociálnu ochranu</w:t>
      </w:r>
      <w:r w:rsidR="00A40FF3" w:rsidRPr="0042276E">
        <w:rPr>
          <w:rFonts w:ascii="Arial Narrow" w:hAnsi="Arial Narrow"/>
          <w:sz w:val="22"/>
          <w:szCs w:val="20"/>
        </w:rPr>
        <w:t>.</w:t>
      </w:r>
    </w:p>
    <w:p w:rsidR="00484303" w:rsidRDefault="00484303" w:rsidP="00C30D7F">
      <w:pPr>
        <w:rPr>
          <w:rFonts w:ascii="Arial Narrow" w:hAnsi="Arial Narrow"/>
          <w:b/>
          <w:sz w:val="20"/>
          <w:szCs w:val="20"/>
        </w:rPr>
      </w:pPr>
      <w:r w:rsidRPr="00484303">
        <w:rPr>
          <w:rFonts w:ascii="Arial Narrow" w:hAnsi="Arial Narrow"/>
          <w:b/>
          <w:sz w:val="20"/>
          <w:szCs w:val="20"/>
        </w:rPr>
        <w:lastRenderedPageBreak/>
        <w:t xml:space="preserve">Tab. </w:t>
      </w:r>
      <w:r w:rsidR="006D61F7">
        <w:rPr>
          <w:rFonts w:ascii="Arial Narrow" w:hAnsi="Arial Narrow"/>
          <w:b/>
          <w:sz w:val="20"/>
          <w:szCs w:val="20"/>
        </w:rPr>
        <w:t>1.</w:t>
      </w:r>
      <w:r w:rsidR="00156D03">
        <w:rPr>
          <w:rFonts w:ascii="Arial Narrow" w:hAnsi="Arial Narrow"/>
          <w:b/>
          <w:sz w:val="20"/>
          <w:szCs w:val="20"/>
        </w:rPr>
        <w:t>9</w:t>
      </w:r>
      <w:r w:rsidR="00EC7FF1">
        <w:rPr>
          <w:rFonts w:ascii="Arial Narrow" w:hAnsi="Arial Narrow"/>
          <w:b/>
          <w:sz w:val="20"/>
          <w:szCs w:val="20"/>
        </w:rPr>
        <w:t xml:space="preserve"> </w:t>
      </w:r>
      <w:r w:rsidRPr="00484303">
        <w:rPr>
          <w:rFonts w:ascii="Arial Narrow" w:hAnsi="Arial Narrow"/>
          <w:b/>
          <w:sz w:val="20"/>
          <w:szCs w:val="20"/>
        </w:rPr>
        <w:t xml:space="preserve"> Výdavky na sociálne dávky na účel rodina/deti</w:t>
      </w:r>
      <w:r w:rsidR="00EA376E">
        <w:rPr>
          <w:rFonts w:ascii="Arial Narrow" w:hAnsi="Arial Narrow"/>
          <w:b/>
          <w:sz w:val="20"/>
          <w:szCs w:val="20"/>
        </w:rPr>
        <w:t>, 201</w:t>
      </w:r>
      <w:r w:rsidR="00DA1052">
        <w:rPr>
          <w:rFonts w:ascii="Arial Narrow" w:hAnsi="Arial Narrow"/>
          <w:b/>
          <w:sz w:val="20"/>
          <w:szCs w:val="20"/>
        </w:rPr>
        <w:t>9</w:t>
      </w:r>
    </w:p>
    <w:p w:rsidR="0042276E" w:rsidRPr="0042276E" w:rsidRDefault="0042276E" w:rsidP="00813F36">
      <w:pPr>
        <w:rPr>
          <w:rFonts w:ascii="Arial Narrow" w:hAnsi="Arial Narrow"/>
          <w:b/>
          <w:sz w:val="10"/>
          <w:szCs w:val="10"/>
        </w:rPr>
      </w:pPr>
    </w:p>
    <w:tbl>
      <w:tblPr>
        <w:tblW w:w="9267" w:type="dxa"/>
        <w:tblCellMar>
          <w:left w:w="70" w:type="dxa"/>
          <w:right w:w="70" w:type="dxa"/>
        </w:tblCellMar>
        <w:tblLook w:val="04A0" w:firstRow="1" w:lastRow="0" w:firstColumn="1" w:lastColumn="0" w:noHBand="0" w:noVBand="1"/>
      </w:tblPr>
      <w:tblGrid>
        <w:gridCol w:w="182"/>
        <w:gridCol w:w="182"/>
        <w:gridCol w:w="146"/>
        <w:gridCol w:w="146"/>
        <w:gridCol w:w="4164"/>
        <w:gridCol w:w="709"/>
        <w:gridCol w:w="510"/>
        <w:gridCol w:w="1191"/>
        <w:gridCol w:w="850"/>
        <w:gridCol w:w="426"/>
        <w:gridCol w:w="761"/>
      </w:tblGrid>
      <w:tr w:rsidR="00DA1052" w:rsidTr="00A413E8">
        <w:trPr>
          <w:trHeight w:val="510"/>
        </w:trPr>
        <w:tc>
          <w:tcPr>
            <w:tcW w:w="4820" w:type="dxa"/>
            <w:gridSpan w:val="5"/>
            <w:tcBorders>
              <w:top w:val="nil"/>
              <w:left w:val="nil"/>
              <w:bottom w:val="single" w:sz="4" w:space="0" w:color="FF0000"/>
              <w:right w:val="single" w:sz="4" w:space="0" w:color="FF0000"/>
            </w:tcBorders>
            <w:shd w:val="clear" w:color="000000" w:fill="A9D08E"/>
            <w:vAlign w:val="center"/>
            <w:hideMark/>
          </w:tcPr>
          <w:p w:rsidR="00DA1052" w:rsidRDefault="00DA1052">
            <w:pPr>
              <w:rPr>
                <w:rFonts w:ascii="Arial Narrow" w:hAnsi="Arial Narrow"/>
                <w:sz w:val="16"/>
                <w:szCs w:val="16"/>
                <w:lang w:eastAsia="sk-SK"/>
              </w:rPr>
            </w:pPr>
            <w:r>
              <w:rPr>
                <w:rFonts w:ascii="Arial Narrow" w:hAnsi="Arial Narrow"/>
                <w:sz w:val="16"/>
                <w:szCs w:val="16"/>
              </w:rPr>
              <w:t>Ukazovateľ</w:t>
            </w:r>
          </w:p>
        </w:tc>
        <w:tc>
          <w:tcPr>
            <w:tcW w:w="709" w:type="dxa"/>
            <w:tcBorders>
              <w:top w:val="nil"/>
              <w:left w:val="nil"/>
              <w:bottom w:val="single" w:sz="4" w:space="0" w:color="FF0000"/>
              <w:right w:val="single" w:sz="4" w:space="0" w:color="FF0000"/>
            </w:tcBorders>
            <w:shd w:val="clear" w:color="000000" w:fill="A9D08E"/>
            <w:noWrap/>
            <w:vAlign w:val="center"/>
            <w:hideMark/>
          </w:tcPr>
          <w:p w:rsidR="00DA1052" w:rsidRDefault="00DA1052">
            <w:pPr>
              <w:jc w:val="center"/>
              <w:rPr>
                <w:rFonts w:ascii="Arial Narrow" w:hAnsi="Arial Narrow"/>
                <w:color w:val="000000"/>
                <w:sz w:val="16"/>
                <w:szCs w:val="16"/>
              </w:rPr>
            </w:pPr>
            <w:r>
              <w:rPr>
                <w:rFonts w:ascii="Arial Narrow" w:hAnsi="Arial Narrow"/>
                <w:color w:val="000000"/>
                <w:sz w:val="16"/>
                <w:szCs w:val="16"/>
              </w:rPr>
              <w:t>mil. EUR</w:t>
            </w:r>
          </w:p>
        </w:tc>
        <w:tc>
          <w:tcPr>
            <w:tcW w:w="510" w:type="dxa"/>
            <w:tcBorders>
              <w:top w:val="nil"/>
              <w:left w:val="nil"/>
              <w:bottom w:val="single" w:sz="4" w:space="0" w:color="FF0000"/>
              <w:right w:val="single" w:sz="4" w:space="0" w:color="FF0000"/>
            </w:tcBorders>
            <w:shd w:val="clear" w:color="000000" w:fill="A9D08E"/>
            <w:noWrap/>
            <w:vAlign w:val="center"/>
            <w:hideMark/>
          </w:tcPr>
          <w:p w:rsidR="00DA1052" w:rsidRDefault="007B7FAB">
            <w:pPr>
              <w:jc w:val="center"/>
              <w:rPr>
                <w:rFonts w:ascii="Arial Narrow" w:hAnsi="Arial Narrow"/>
                <w:color w:val="000000"/>
                <w:sz w:val="16"/>
                <w:szCs w:val="16"/>
              </w:rPr>
            </w:pPr>
            <w:r w:rsidRPr="004F1C67">
              <w:rPr>
                <w:rFonts w:ascii="Arial Narrow" w:hAnsi="Arial Narrow"/>
                <w:color w:val="000000"/>
                <w:sz w:val="16"/>
                <w:szCs w:val="16"/>
              </w:rPr>
              <w:t>% z dávok spolu</w:t>
            </w:r>
          </w:p>
        </w:tc>
        <w:tc>
          <w:tcPr>
            <w:tcW w:w="1191" w:type="dxa"/>
            <w:tcBorders>
              <w:top w:val="nil"/>
              <w:left w:val="nil"/>
              <w:bottom w:val="single" w:sz="4" w:space="0" w:color="FF0000"/>
              <w:right w:val="single" w:sz="4" w:space="0" w:color="FF0000"/>
            </w:tcBorders>
            <w:shd w:val="clear" w:color="000000" w:fill="A9D08E"/>
            <w:vAlign w:val="center"/>
            <w:hideMark/>
          </w:tcPr>
          <w:p w:rsidR="00DA1052" w:rsidRDefault="00DA1052">
            <w:pPr>
              <w:jc w:val="center"/>
              <w:rPr>
                <w:rFonts w:ascii="Arial Narrow" w:hAnsi="Arial Narrow"/>
                <w:color w:val="000000"/>
                <w:sz w:val="16"/>
                <w:szCs w:val="16"/>
              </w:rPr>
            </w:pPr>
            <w:r>
              <w:rPr>
                <w:rFonts w:ascii="Arial Narrow" w:hAnsi="Arial Narrow"/>
                <w:color w:val="000000"/>
                <w:sz w:val="16"/>
                <w:szCs w:val="16"/>
              </w:rPr>
              <w:t>EUR na obyv.(s.c.2010)</w:t>
            </w:r>
          </w:p>
        </w:tc>
        <w:tc>
          <w:tcPr>
            <w:tcW w:w="850" w:type="dxa"/>
            <w:tcBorders>
              <w:top w:val="nil"/>
              <w:left w:val="nil"/>
              <w:bottom w:val="single" w:sz="4" w:space="0" w:color="FF0000"/>
              <w:right w:val="single" w:sz="4" w:space="0" w:color="FF0000"/>
            </w:tcBorders>
            <w:shd w:val="clear" w:color="000000" w:fill="A9D08E"/>
            <w:vAlign w:val="center"/>
            <w:hideMark/>
          </w:tcPr>
          <w:p w:rsidR="00DA1052" w:rsidRDefault="00DA1052">
            <w:pPr>
              <w:jc w:val="center"/>
              <w:rPr>
                <w:rFonts w:ascii="Arial Narrow" w:hAnsi="Arial Narrow"/>
                <w:color w:val="000000"/>
                <w:sz w:val="16"/>
                <w:szCs w:val="16"/>
              </w:rPr>
            </w:pPr>
            <w:r>
              <w:rPr>
                <w:rFonts w:ascii="Arial Narrow" w:hAnsi="Arial Narrow"/>
                <w:color w:val="000000"/>
                <w:sz w:val="16"/>
                <w:szCs w:val="16"/>
              </w:rPr>
              <w:t>PPS na obyv.</w:t>
            </w:r>
          </w:p>
        </w:tc>
        <w:tc>
          <w:tcPr>
            <w:tcW w:w="426" w:type="dxa"/>
            <w:tcBorders>
              <w:top w:val="nil"/>
              <w:left w:val="nil"/>
              <w:bottom w:val="single" w:sz="4" w:space="0" w:color="FF0000"/>
              <w:right w:val="single" w:sz="4" w:space="0" w:color="FF0000"/>
            </w:tcBorders>
            <w:shd w:val="clear" w:color="000000" w:fill="A9D08E"/>
            <w:vAlign w:val="center"/>
            <w:hideMark/>
          </w:tcPr>
          <w:p w:rsidR="00DA1052" w:rsidRDefault="00DA1052">
            <w:pPr>
              <w:jc w:val="center"/>
              <w:rPr>
                <w:rFonts w:ascii="Arial Narrow" w:hAnsi="Arial Narrow"/>
                <w:color w:val="000000"/>
                <w:sz w:val="16"/>
                <w:szCs w:val="16"/>
              </w:rPr>
            </w:pPr>
            <w:r>
              <w:rPr>
                <w:rFonts w:ascii="Arial Narrow" w:hAnsi="Arial Narrow"/>
                <w:color w:val="000000"/>
                <w:sz w:val="16"/>
                <w:szCs w:val="16"/>
              </w:rPr>
              <w:t xml:space="preserve">% HDP </w:t>
            </w:r>
          </w:p>
        </w:tc>
        <w:tc>
          <w:tcPr>
            <w:tcW w:w="761" w:type="dxa"/>
            <w:tcBorders>
              <w:top w:val="nil"/>
              <w:left w:val="nil"/>
              <w:bottom w:val="single" w:sz="4" w:space="0" w:color="FF0000"/>
              <w:right w:val="nil"/>
            </w:tcBorders>
            <w:shd w:val="clear" w:color="000000" w:fill="A9D08E"/>
            <w:vAlign w:val="center"/>
            <w:hideMark/>
          </w:tcPr>
          <w:p w:rsidR="00DA1052" w:rsidRDefault="00DA1052" w:rsidP="00DA1052">
            <w:pPr>
              <w:jc w:val="center"/>
              <w:rPr>
                <w:rFonts w:ascii="Arial Narrow" w:hAnsi="Arial Narrow"/>
                <w:color w:val="000000"/>
                <w:sz w:val="16"/>
                <w:szCs w:val="16"/>
              </w:rPr>
            </w:pPr>
            <w:r>
              <w:rPr>
                <w:rFonts w:ascii="Arial Narrow" w:hAnsi="Arial Narrow"/>
                <w:color w:val="000000"/>
                <w:sz w:val="16"/>
                <w:szCs w:val="16"/>
              </w:rPr>
              <w:t>Index 2019/2018</w:t>
            </w:r>
          </w:p>
        </w:tc>
      </w:tr>
      <w:tr w:rsidR="00A413E8" w:rsidTr="00EF1D32">
        <w:trPr>
          <w:trHeight w:val="300"/>
        </w:trPr>
        <w:tc>
          <w:tcPr>
            <w:tcW w:w="4820" w:type="dxa"/>
            <w:gridSpan w:val="5"/>
            <w:tcBorders>
              <w:top w:val="nil"/>
              <w:left w:val="nil"/>
              <w:bottom w:val="nil"/>
              <w:right w:val="single" w:sz="4" w:space="0" w:color="FF0000"/>
            </w:tcBorders>
            <w:shd w:val="clear" w:color="auto" w:fill="A8D08D" w:themeFill="accent6" w:themeFillTint="99"/>
            <w:noWrap/>
            <w:vAlign w:val="center"/>
            <w:hideMark/>
          </w:tcPr>
          <w:p w:rsidR="00A413E8" w:rsidRDefault="00A413E8" w:rsidP="00A413E8">
            <w:pPr>
              <w:rPr>
                <w:rFonts w:ascii="Arial Narrow" w:hAnsi="Arial Narrow"/>
                <w:b/>
                <w:bCs/>
                <w:sz w:val="18"/>
                <w:szCs w:val="18"/>
              </w:rPr>
            </w:pPr>
            <w:r>
              <w:rPr>
                <w:rFonts w:ascii="Arial Narrow" w:hAnsi="Arial Narrow"/>
                <w:b/>
                <w:bCs/>
                <w:sz w:val="18"/>
                <w:szCs w:val="18"/>
              </w:rPr>
              <w:t>Dávky sociálnej ochrany</w:t>
            </w:r>
          </w:p>
        </w:tc>
        <w:tc>
          <w:tcPr>
            <w:tcW w:w="709" w:type="dxa"/>
            <w:tcBorders>
              <w:top w:val="nil"/>
              <w:left w:val="nil"/>
              <w:bottom w:val="nil"/>
              <w:right w:val="nil"/>
            </w:tcBorders>
            <w:shd w:val="clear" w:color="auto" w:fill="A8D08D" w:themeFill="accent6" w:themeFillTint="99"/>
            <w:noWrap/>
            <w:vAlign w:val="bottom"/>
          </w:tcPr>
          <w:p w:rsidR="00A413E8" w:rsidRDefault="00A413E8" w:rsidP="00A413E8">
            <w:pPr>
              <w:jc w:val="right"/>
              <w:rPr>
                <w:rFonts w:ascii="Arial Narrow" w:hAnsi="Arial Narrow" w:cs="Calibri"/>
                <w:b/>
                <w:bCs/>
                <w:sz w:val="18"/>
                <w:szCs w:val="18"/>
                <w:lang w:eastAsia="sk-SK"/>
              </w:rPr>
            </w:pPr>
            <w:r>
              <w:rPr>
                <w:rFonts w:ascii="Arial Narrow" w:hAnsi="Arial Narrow" w:cs="Calibri"/>
                <w:b/>
                <w:bCs/>
                <w:sz w:val="18"/>
                <w:szCs w:val="18"/>
              </w:rPr>
              <w:t>1 514,8</w:t>
            </w:r>
          </w:p>
        </w:tc>
        <w:tc>
          <w:tcPr>
            <w:tcW w:w="510" w:type="dxa"/>
            <w:tcBorders>
              <w:top w:val="nil"/>
              <w:left w:val="single" w:sz="4" w:space="0" w:color="FF0000"/>
              <w:bottom w:val="nil"/>
              <w:right w:val="single" w:sz="4" w:space="0" w:color="FF0000"/>
            </w:tcBorders>
            <w:shd w:val="clear" w:color="auto" w:fill="A8D08D" w:themeFill="accent6" w:themeFillTint="99"/>
            <w:noWrap/>
            <w:vAlign w:val="bottom"/>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100,0</w:t>
            </w:r>
          </w:p>
        </w:tc>
        <w:tc>
          <w:tcPr>
            <w:tcW w:w="1191" w:type="dxa"/>
            <w:tcBorders>
              <w:top w:val="nil"/>
              <w:left w:val="nil"/>
              <w:bottom w:val="nil"/>
              <w:right w:val="nil"/>
            </w:tcBorders>
            <w:shd w:val="clear" w:color="auto" w:fill="A8D08D" w:themeFill="accent6" w:themeFillTint="99"/>
            <w:noWrap/>
            <w:vAlign w:val="bottom"/>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239,8</w:t>
            </w:r>
          </w:p>
        </w:tc>
        <w:tc>
          <w:tcPr>
            <w:tcW w:w="850" w:type="dxa"/>
            <w:tcBorders>
              <w:top w:val="nil"/>
              <w:left w:val="single" w:sz="4" w:space="0" w:color="FF0000"/>
              <w:bottom w:val="nil"/>
              <w:right w:val="nil"/>
            </w:tcBorders>
            <w:shd w:val="clear" w:color="auto" w:fill="A8D08D" w:themeFill="accent6" w:themeFillTint="99"/>
            <w:noWrap/>
            <w:vAlign w:val="bottom"/>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382,4</w:t>
            </w:r>
          </w:p>
        </w:tc>
        <w:tc>
          <w:tcPr>
            <w:tcW w:w="426" w:type="dxa"/>
            <w:tcBorders>
              <w:top w:val="nil"/>
              <w:left w:val="single" w:sz="4" w:space="0" w:color="FF0000"/>
              <w:bottom w:val="nil"/>
              <w:right w:val="nil"/>
            </w:tcBorders>
            <w:shd w:val="clear" w:color="auto" w:fill="A8D08D" w:themeFill="accent6" w:themeFillTint="99"/>
            <w:noWrap/>
            <w:vAlign w:val="bottom"/>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1,6</w:t>
            </w:r>
          </w:p>
        </w:tc>
        <w:tc>
          <w:tcPr>
            <w:tcW w:w="761" w:type="dxa"/>
            <w:tcBorders>
              <w:top w:val="nil"/>
              <w:left w:val="single" w:sz="4" w:space="0" w:color="FF0000"/>
              <w:bottom w:val="nil"/>
              <w:right w:val="nil"/>
            </w:tcBorders>
            <w:shd w:val="clear" w:color="auto" w:fill="A8D08D" w:themeFill="accent6" w:themeFillTint="99"/>
            <w:noWrap/>
            <w:vAlign w:val="bottom"/>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109,7</w:t>
            </w:r>
          </w:p>
        </w:tc>
      </w:tr>
      <w:tr w:rsidR="00A413E8" w:rsidTr="00EF1D32">
        <w:trPr>
          <w:trHeight w:val="225"/>
        </w:trPr>
        <w:tc>
          <w:tcPr>
            <w:tcW w:w="182" w:type="dxa"/>
            <w:tcBorders>
              <w:top w:val="nil"/>
              <w:left w:val="nil"/>
              <w:bottom w:val="nil"/>
              <w:right w:val="nil"/>
            </w:tcBorders>
            <w:shd w:val="clear" w:color="auto" w:fill="C5E0B3" w:themeFill="accent6" w:themeFillTint="66"/>
            <w:noWrap/>
            <w:vAlign w:val="center"/>
            <w:hideMark/>
          </w:tcPr>
          <w:p w:rsidR="00A413E8" w:rsidRDefault="00A413E8" w:rsidP="00A413E8">
            <w:pPr>
              <w:rPr>
                <w:rFonts w:ascii="Arial Narrow" w:hAnsi="Arial Narrow"/>
                <w:b/>
                <w:bCs/>
                <w:sz w:val="18"/>
                <w:szCs w:val="18"/>
              </w:rPr>
            </w:pPr>
            <w:r>
              <w:rPr>
                <w:rFonts w:ascii="Arial Narrow" w:hAnsi="Arial Narrow"/>
                <w:b/>
                <w:bCs/>
                <w:sz w:val="18"/>
                <w:szCs w:val="18"/>
              </w:rPr>
              <w:t> </w:t>
            </w:r>
          </w:p>
        </w:tc>
        <w:tc>
          <w:tcPr>
            <w:tcW w:w="4638" w:type="dxa"/>
            <w:gridSpan w:val="4"/>
            <w:tcBorders>
              <w:top w:val="nil"/>
              <w:left w:val="nil"/>
              <w:bottom w:val="nil"/>
              <w:right w:val="single" w:sz="4" w:space="0" w:color="FF0000"/>
            </w:tcBorders>
            <w:shd w:val="clear" w:color="auto" w:fill="C5E0B3" w:themeFill="accent6" w:themeFillTint="66"/>
            <w:noWrap/>
            <w:vAlign w:val="center"/>
            <w:hideMark/>
          </w:tcPr>
          <w:p w:rsidR="00A413E8" w:rsidRDefault="00A413E8" w:rsidP="00A413E8">
            <w:pPr>
              <w:rPr>
                <w:rFonts w:ascii="Arial Narrow" w:hAnsi="Arial Narrow"/>
                <w:b/>
                <w:bCs/>
                <w:sz w:val="18"/>
                <w:szCs w:val="18"/>
              </w:rPr>
            </w:pPr>
            <w:r>
              <w:rPr>
                <w:rFonts w:ascii="Arial Narrow" w:hAnsi="Arial Narrow"/>
                <w:b/>
                <w:bCs/>
                <w:sz w:val="18"/>
                <w:szCs w:val="18"/>
              </w:rPr>
              <w:t>Netestované dávky na príjem</w:t>
            </w:r>
          </w:p>
        </w:tc>
        <w:tc>
          <w:tcPr>
            <w:tcW w:w="709" w:type="dxa"/>
            <w:tcBorders>
              <w:top w:val="nil"/>
              <w:left w:val="nil"/>
              <w:bottom w:val="nil"/>
              <w:right w:val="nil"/>
            </w:tcBorders>
            <w:shd w:val="clear" w:color="auto" w:fill="C5E0B3" w:themeFill="accent6" w:themeFillTint="66"/>
            <w:noWrap/>
            <w:vAlign w:val="bottom"/>
            <w:hideMark/>
          </w:tcPr>
          <w:p w:rsidR="00A413E8" w:rsidRDefault="00A413E8" w:rsidP="00A413E8">
            <w:pPr>
              <w:jc w:val="right"/>
              <w:rPr>
                <w:rFonts w:ascii="Arial Narrow" w:hAnsi="Arial Narrow" w:cs="Calibri"/>
                <w:b/>
                <w:bCs/>
                <w:sz w:val="18"/>
                <w:szCs w:val="18"/>
                <w:lang w:eastAsia="sk-SK"/>
              </w:rPr>
            </w:pPr>
            <w:r>
              <w:rPr>
                <w:rFonts w:ascii="Arial Narrow" w:hAnsi="Arial Narrow" w:cs="Calibri"/>
                <w:b/>
                <w:bCs/>
                <w:sz w:val="18"/>
                <w:szCs w:val="18"/>
              </w:rPr>
              <w:t>1 498,3</w:t>
            </w:r>
          </w:p>
        </w:tc>
        <w:tc>
          <w:tcPr>
            <w:tcW w:w="510" w:type="dxa"/>
            <w:tcBorders>
              <w:top w:val="nil"/>
              <w:left w:val="single" w:sz="4" w:space="0" w:color="FF0000"/>
              <w:bottom w:val="nil"/>
              <w:right w:val="single" w:sz="4" w:space="0" w:color="FF0000"/>
            </w:tcBorders>
            <w:shd w:val="clear" w:color="auto" w:fill="C5E0B3" w:themeFill="accent6" w:themeFillTint="66"/>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98,9</w:t>
            </w:r>
          </w:p>
        </w:tc>
        <w:tc>
          <w:tcPr>
            <w:tcW w:w="1191" w:type="dxa"/>
            <w:tcBorders>
              <w:top w:val="nil"/>
              <w:left w:val="nil"/>
              <w:bottom w:val="nil"/>
              <w:right w:val="nil"/>
            </w:tcBorders>
            <w:shd w:val="clear" w:color="auto" w:fill="C5E0B3" w:themeFill="accent6" w:themeFillTint="66"/>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237,1</w:t>
            </w:r>
          </w:p>
        </w:tc>
        <w:tc>
          <w:tcPr>
            <w:tcW w:w="850" w:type="dxa"/>
            <w:tcBorders>
              <w:top w:val="nil"/>
              <w:left w:val="single" w:sz="4" w:space="0" w:color="FF0000"/>
              <w:bottom w:val="nil"/>
              <w:right w:val="nil"/>
            </w:tcBorders>
            <w:shd w:val="clear" w:color="auto" w:fill="C5E0B3" w:themeFill="accent6" w:themeFillTint="66"/>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378,3</w:t>
            </w:r>
          </w:p>
        </w:tc>
        <w:tc>
          <w:tcPr>
            <w:tcW w:w="426" w:type="dxa"/>
            <w:tcBorders>
              <w:top w:val="nil"/>
              <w:left w:val="single" w:sz="4" w:space="0" w:color="FF0000"/>
              <w:bottom w:val="nil"/>
              <w:right w:val="nil"/>
            </w:tcBorders>
            <w:shd w:val="clear" w:color="auto" w:fill="C5E0B3" w:themeFill="accent6" w:themeFillTint="66"/>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1,6</w:t>
            </w:r>
          </w:p>
        </w:tc>
        <w:tc>
          <w:tcPr>
            <w:tcW w:w="761" w:type="dxa"/>
            <w:tcBorders>
              <w:top w:val="nil"/>
              <w:left w:val="single" w:sz="4" w:space="0" w:color="FF0000"/>
              <w:bottom w:val="nil"/>
              <w:right w:val="nil"/>
            </w:tcBorders>
            <w:shd w:val="clear" w:color="auto" w:fill="C5E0B3" w:themeFill="accent6" w:themeFillTint="66"/>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109,8</w:t>
            </w:r>
          </w:p>
        </w:tc>
      </w:tr>
      <w:tr w:rsidR="00A413E8" w:rsidTr="00A413E8">
        <w:trPr>
          <w:trHeight w:val="255"/>
        </w:trPr>
        <w:tc>
          <w:tcPr>
            <w:tcW w:w="182" w:type="dxa"/>
            <w:tcBorders>
              <w:top w:val="nil"/>
              <w:left w:val="nil"/>
              <w:bottom w:val="nil"/>
              <w:right w:val="nil"/>
            </w:tcBorders>
            <w:shd w:val="clear" w:color="000000" w:fill="E2EFDA"/>
            <w:noWrap/>
            <w:vAlign w:val="center"/>
            <w:hideMark/>
          </w:tcPr>
          <w:p w:rsidR="00A413E8" w:rsidRDefault="00A413E8" w:rsidP="00A413E8">
            <w:pPr>
              <w:rPr>
                <w:rFonts w:ascii="Arial Narrow" w:hAnsi="Arial Narrow"/>
                <w:b/>
                <w:bCs/>
                <w:sz w:val="18"/>
                <w:szCs w:val="18"/>
              </w:rPr>
            </w:pPr>
            <w:r>
              <w:rPr>
                <w:rFonts w:ascii="Arial Narrow" w:hAnsi="Arial Narrow"/>
                <w:b/>
                <w:bCs/>
                <w:sz w:val="18"/>
                <w:szCs w:val="18"/>
              </w:rPr>
              <w:t> </w:t>
            </w:r>
          </w:p>
        </w:tc>
        <w:tc>
          <w:tcPr>
            <w:tcW w:w="182" w:type="dxa"/>
            <w:tcBorders>
              <w:top w:val="nil"/>
              <w:left w:val="nil"/>
              <w:bottom w:val="nil"/>
              <w:right w:val="nil"/>
            </w:tcBorders>
            <w:shd w:val="clear" w:color="000000" w:fill="E2EFDA"/>
            <w:noWrap/>
            <w:vAlign w:val="center"/>
            <w:hideMark/>
          </w:tcPr>
          <w:p w:rsidR="00A413E8" w:rsidRDefault="00A413E8" w:rsidP="00A413E8">
            <w:pPr>
              <w:rPr>
                <w:rFonts w:ascii="Arial Narrow" w:hAnsi="Arial Narrow"/>
                <w:b/>
                <w:bCs/>
                <w:sz w:val="18"/>
                <w:szCs w:val="18"/>
              </w:rPr>
            </w:pPr>
            <w:r>
              <w:rPr>
                <w:rFonts w:ascii="Arial Narrow" w:hAnsi="Arial Narrow"/>
                <w:b/>
                <w:bCs/>
                <w:sz w:val="18"/>
                <w:szCs w:val="18"/>
              </w:rPr>
              <w:t> </w:t>
            </w:r>
          </w:p>
        </w:tc>
        <w:tc>
          <w:tcPr>
            <w:tcW w:w="4456" w:type="dxa"/>
            <w:gridSpan w:val="3"/>
            <w:tcBorders>
              <w:top w:val="nil"/>
              <w:left w:val="nil"/>
              <w:bottom w:val="nil"/>
              <w:right w:val="single" w:sz="4" w:space="0" w:color="FF0000"/>
            </w:tcBorders>
            <w:shd w:val="clear" w:color="000000" w:fill="E2EFDA"/>
            <w:noWrap/>
            <w:vAlign w:val="center"/>
            <w:hideMark/>
          </w:tcPr>
          <w:p w:rsidR="00A413E8" w:rsidRDefault="00A413E8" w:rsidP="00A413E8">
            <w:pPr>
              <w:rPr>
                <w:rFonts w:ascii="Arial Narrow" w:hAnsi="Arial Narrow"/>
                <w:b/>
                <w:bCs/>
                <w:sz w:val="18"/>
                <w:szCs w:val="18"/>
              </w:rPr>
            </w:pPr>
            <w:r>
              <w:rPr>
                <w:rFonts w:ascii="Arial Narrow" w:hAnsi="Arial Narrow"/>
                <w:b/>
                <w:bCs/>
                <w:sz w:val="18"/>
                <w:szCs w:val="18"/>
              </w:rPr>
              <w:t>Peňažné dávky</w:t>
            </w:r>
          </w:p>
        </w:tc>
        <w:tc>
          <w:tcPr>
            <w:tcW w:w="709" w:type="dxa"/>
            <w:tcBorders>
              <w:top w:val="nil"/>
              <w:left w:val="nil"/>
              <w:bottom w:val="nil"/>
              <w:right w:val="nil"/>
            </w:tcBorders>
            <w:shd w:val="clear" w:color="000000" w:fill="E2EFDA"/>
            <w:noWrap/>
            <w:vAlign w:val="bottom"/>
            <w:hideMark/>
          </w:tcPr>
          <w:p w:rsidR="00A413E8" w:rsidRDefault="00A413E8" w:rsidP="00A413E8">
            <w:pPr>
              <w:jc w:val="right"/>
              <w:rPr>
                <w:rFonts w:ascii="Arial Narrow" w:hAnsi="Arial Narrow" w:cs="Calibri"/>
                <w:b/>
                <w:bCs/>
                <w:sz w:val="18"/>
                <w:szCs w:val="18"/>
                <w:lang w:eastAsia="sk-SK"/>
              </w:rPr>
            </w:pPr>
            <w:r>
              <w:rPr>
                <w:rFonts w:ascii="Arial Narrow" w:hAnsi="Arial Narrow" w:cs="Calibri"/>
                <w:b/>
                <w:bCs/>
                <w:sz w:val="18"/>
                <w:szCs w:val="18"/>
              </w:rPr>
              <w:t>1 337,8</w:t>
            </w:r>
          </w:p>
        </w:tc>
        <w:tc>
          <w:tcPr>
            <w:tcW w:w="510" w:type="dxa"/>
            <w:tcBorders>
              <w:top w:val="nil"/>
              <w:left w:val="single" w:sz="4" w:space="0" w:color="FF0000"/>
              <w:bottom w:val="nil"/>
              <w:right w:val="single" w:sz="4" w:space="0" w:color="FF0000"/>
            </w:tcBorders>
            <w:shd w:val="clear" w:color="000000" w:fill="E2EFDA"/>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88,3</w:t>
            </w:r>
          </w:p>
        </w:tc>
        <w:tc>
          <w:tcPr>
            <w:tcW w:w="1191" w:type="dxa"/>
            <w:tcBorders>
              <w:top w:val="nil"/>
              <w:left w:val="nil"/>
              <w:bottom w:val="nil"/>
              <w:right w:val="nil"/>
            </w:tcBorders>
            <w:shd w:val="clear" w:color="000000" w:fill="E2EFDA"/>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211,7</w:t>
            </w:r>
          </w:p>
        </w:tc>
        <w:tc>
          <w:tcPr>
            <w:tcW w:w="850" w:type="dxa"/>
            <w:tcBorders>
              <w:top w:val="nil"/>
              <w:left w:val="single" w:sz="4" w:space="0" w:color="FF0000"/>
              <w:bottom w:val="nil"/>
              <w:right w:val="nil"/>
            </w:tcBorders>
            <w:shd w:val="clear" w:color="000000" w:fill="E2EFDA"/>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337,7</w:t>
            </w:r>
          </w:p>
        </w:tc>
        <w:tc>
          <w:tcPr>
            <w:tcW w:w="426" w:type="dxa"/>
            <w:tcBorders>
              <w:top w:val="nil"/>
              <w:left w:val="single" w:sz="4" w:space="0" w:color="FF0000"/>
              <w:bottom w:val="nil"/>
              <w:right w:val="nil"/>
            </w:tcBorders>
            <w:shd w:val="clear" w:color="000000" w:fill="E2EFDA"/>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1,4</w:t>
            </w:r>
          </w:p>
        </w:tc>
        <w:tc>
          <w:tcPr>
            <w:tcW w:w="761" w:type="dxa"/>
            <w:tcBorders>
              <w:top w:val="nil"/>
              <w:left w:val="single" w:sz="4" w:space="0" w:color="FF0000"/>
              <w:bottom w:val="nil"/>
              <w:right w:val="nil"/>
            </w:tcBorders>
            <w:shd w:val="clear" w:color="000000" w:fill="E2EFDA"/>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110,7</w:t>
            </w:r>
          </w:p>
        </w:tc>
      </w:tr>
      <w:tr w:rsidR="00A413E8" w:rsidTr="00A413E8">
        <w:trPr>
          <w:trHeight w:val="255"/>
        </w:trPr>
        <w:tc>
          <w:tcPr>
            <w:tcW w:w="182" w:type="dxa"/>
            <w:tcBorders>
              <w:top w:val="nil"/>
              <w:left w:val="nil"/>
              <w:bottom w:val="nil"/>
              <w:right w:val="nil"/>
            </w:tcBorders>
            <w:shd w:val="clear" w:color="auto" w:fill="auto"/>
            <w:noWrap/>
            <w:vAlign w:val="center"/>
            <w:hideMark/>
          </w:tcPr>
          <w:p w:rsidR="00A413E8" w:rsidRDefault="00A413E8" w:rsidP="00A413E8">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4310" w:type="dxa"/>
            <w:gridSpan w:val="2"/>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b/>
                <w:bCs/>
                <w:sz w:val="18"/>
                <w:szCs w:val="18"/>
              </w:rPr>
            </w:pPr>
            <w:r>
              <w:rPr>
                <w:rFonts w:ascii="Arial Narrow" w:hAnsi="Arial Narrow"/>
                <w:b/>
                <w:bCs/>
                <w:sz w:val="18"/>
                <w:szCs w:val="18"/>
              </w:rPr>
              <w:t xml:space="preserve"> Periodické</w:t>
            </w:r>
          </w:p>
        </w:tc>
        <w:tc>
          <w:tcPr>
            <w:tcW w:w="709" w:type="dxa"/>
            <w:tcBorders>
              <w:top w:val="nil"/>
              <w:left w:val="nil"/>
              <w:bottom w:val="nil"/>
              <w:right w:val="nil"/>
            </w:tcBorders>
            <w:shd w:val="clear" w:color="auto" w:fill="auto"/>
            <w:noWrap/>
            <w:vAlign w:val="bottom"/>
            <w:hideMark/>
          </w:tcPr>
          <w:p w:rsidR="00A413E8" w:rsidRPr="00A413E8" w:rsidRDefault="00A413E8" w:rsidP="00A413E8">
            <w:pPr>
              <w:jc w:val="right"/>
              <w:rPr>
                <w:rFonts w:ascii="Arial Narrow" w:hAnsi="Arial Narrow" w:cs="Calibri"/>
                <w:b/>
                <w:sz w:val="18"/>
                <w:szCs w:val="18"/>
                <w:lang w:eastAsia="sk-SK"/>
              </w:rPr>
            </w:pPr>
            <w:r w:rsidRPr="00A413E8">
              <w:rPr>
                <w:rFonts w:ascii="Arial Narrow" w:hAnsi="Arial Narrow" w:cs="Calibri"/>
                <w:b/>
                <w:sz w:val="18"/>
                <w:szCs w:val="18"/>
              </w:rPr>
              <w:t>1 290,5</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Pr="00A413E8" w:rsidRDefault="00A413E8" w:rsidP="00A413E8">
            <w:pPr>
              <w:jc w:val="right"/>
              <w:rPr>
                <w:rFonts w:ascii="Arial Narrow" w:hAnsi="Arial Narrow" w:cs="Calibri"/>
                <w:b/>
                <w:sz w:val="18"/>
                <w:szCs w:val="18"/>
              </w:rPr>
            </w:pPr>
            <w:r w:rsidRPr="00A413E8">
              <w:rPr>
                <w:rFonts w:ascii="Arial Narrow" w:hAnsi="Arial Narrow" w:cs="Calibri"/>
                <w:b/>
                <w:sz w:val="18"/>
                <w:szCs w:val="18"/>
              </w:rPr>
              <w:t>85,2</w:t>
            </w:r>
          </w:p>
        </w:tc>
        <w:tc>
          <w:tcPr>
            <w:tcW w:w="1191" w:type="dxa"/>
            <w:tcBorders>
              <w:top w:val="nil"/>
              <w:left w:val="nil"/>
              <w:bottom w:val="nil"/>
              <w:right w:val="nil"/>
            </w:tcBorders>
            <w:shd w:val="clear" w:color="auto" w:fill="auto"/>
            <w:noWrap/>
            <w:vAlign w:val="bottom"/>
            <w:hideMark/>
          </w:tcPr>
          <w:p w:rsidR="00A413E8" w:rsidRPr="00A413E8" w:rsidRDefault="00A413E8" w:rsidP="00A413E8">
            <w:pPr>
              <w:jc w:val="right"/>
              <w:rPr>
                <w:rFonts w:ascii="Arial Narrow" w:hAnsi="Arial Narrow" w:cs="Calibri"/>
                <w:b/>
                <w:sz w:val="18"/>
                <w:szCs w:val="18"/>
              </w:rPr>
            </w:pPr>
            <w:r w:rsidRPr="00A413E8">
              <w:rPr>
                <w:rFonts w:ascii="Arial Narrow" w:hAnsi="Arial Narrow" w:cs="Calibri"/>
                <w:b/>
                <w:sz w:val="18"/>
                <w:szCs w:val="18"/>
              </w:rPr>
              <w:t>204,2</w:t>
            </w:r>
          </w:p>
        </w:tc>
        <w:tc>
          <w:tcPr>
            <w:tcW w:w="850" w:type="dxa"/>
            <w:tcBorders>
              <w:top w:val="nil"/>
              <w:left w:val="single" w:sz="4" w:space="0" w:color="FF0000"/>
              <w:bottom w:val="nil"/>
              <w:right w:val="nil"/>
            </w:tcBorders>
            <w:shd w:val="clear" w:color="auto" w:fill="auto"/>
            <w:noWrap/>
            <w:vAlign w:val="bottom"/>
            <w:hideMark/>
          </w:tcPr>
          <w:p w:rsidR="00A413E8" w:rsidRPr="00A413E8" w:rsidRDefault="00A413E8" w:rsidP="00A413E8">
            <w:pPr>
              <w:jc w:val="right"/>
              <w:rPr>
                <w:rFonts w:ascii="Arial Narrow" w:hAnsi="Arial Narrow" w:cs="Calibri"/>
                <w:b/>
                <w:sz w:val="18"/>
                <w:szCs w:val="18"/>
              </w:rPr>
            </w:pPr>
            <w:r w:rsidRPr="00A413E8">
              <w:rPr>
                <w:rFonts w:ascii="Arial Narrow" w:hAnsi="Arial Narrow" w:cs="Calibri"/>
                <w:b/>
                <w:sz w:val="18"/>
                <w:szCs w:val="18"/>
              </w:rPr>
              <w:t>325,8</w:t>
            </w:r>
          </w:p>
        </w:tc>
        <w:tc>
          <w:tcPr>
            <w:tcW w:w="426" w:type="dxa"/>
            <w:tcBorders>
              <w:top w:val="nil"/>
              <w:left w:val="single" w:sz="4" w:space="0" w:color="FF0000"/>
              <w:bottom w:val="nil"/>
              <w:right w:val="nil"/>
            </w:tcBorders>
            <w:shd w:val="clear" w:color="auto" w:fill="auto"/>
            <w:noWrap/>
            <w:vAlign w:val="bottom"/>
            <w:hideMark/>
          </w:tcPr>
          <w:p w:rsidR="00A413E8" w:rsidRPr="00A413E8" w:rsidRDefault="00A413E8" w:rsidP="00A413E8">
            <w:pPr>
              <w:jc w:val="right"/>
              <w:rPr>
                <w:rFonts w:ascii="Arial Narrow" w:hAnsi="Arial Narrow" w:cs="Calibri"/>
                <w:b/>
                <w:bCs/>
                <w:sz w:val="18"/>
                <w:szCs w:val="18"/>
              </w:rPr>
            </w:pPr>
            <w:r w:rsidRPr="00A413E8">
              <w:rPr>
                <w:rFonts w:ascii="Arial Narrow" w:hAnsi="Arial Narrow" w:cs="Calibri"/>
                <w:b/>
                <w:bCs/>
                <w:sz w:val="18"/>
                <w:szCs w:val="18"/>
              </w:rPr>
              <w:t>1,4</w:t>
            </w:r>
          </w:p>
        </w:tc>
        <w:tc>
          <w:tcPr>
            <w:tcW w:w="761" w:type="dxa"/>
            <w:tcBorders>
              <w:top w:val="nil"/>
              <w:left w:val="single" w:sz="4" w:space="0" w:color="FF0000"/>
              <w:bottom w:val="nil"/>
              <w:right w:val="nil"/>
            </w:tcBorders>
            <w:shd w:val="clear" w:color="auto" w:fill="auto"/>
            <w:noWrap/>
            <w:vAlign w:val="bottom"/>
            <w:hideMark/>
          </w:tcPr>
          <w:p w:rsidR="00A413E8" w:rsidRPr="00A413E8" w:rsidRDefault="00A413E8" w:rsidP="00A413E8">
            <w:pPr>
              <w:jc w:val="right"/>
              <w:rPr>
                <w:rFonts w:ascii="Arial Narrow" w:hAnsi="Arial Narrow" w:cs="Calibri"/>
                <w:b/>
                <w:sz w:val="18"/>
                <w:szCs w:val="18"/>
              </w:rPr>
            </w:pPr>
            <w:r w:rsidRPr="00A413E8">
              <w:rPr>
                <w:rFonts w:ascii="Arial Narrow" w:hAnsi="Arial Narrow" w:cs="Calibri"/>
                <w:b/>
                <w:sz w:val="18"/>
                <w:szCs w:val="18"/>
              </w:rPr>
              <w:t>110,9</w:t>
            </w:r>
          </w:p>
        </w:tc>
      </w:tr>
      <w:tr w:rsidR="00A413E8" w:rsidTr="00A413E8">
        <w:trPr>
          <w:trHeight w:val="255"/>
        </w:trPr>
        <w:tc>
          <w:tcPr>
            <w:tcW w:w="182" w:type="dxa"/>
            <w:tcBorders>
              <w:top w:val="nil"/>
              <w:left w:val="nil"/>
              <w:bottom w:val="nil"/>
              <w:right w:val="nil"/>
            </w:tcBorders>
            <w:shd w:val="clear" w:color="auto" w:fill="auto"/>
            <w:noWrap/>
            <w:vAlign w:val="center"/>
            <w:hideMark/>
          </w:tcPr>
          <w:p w:rsidR="00A413E8" w:rsidRDefault="00A413E8" w:rsidP="00A413E8">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4164" w:type="dxa"/>
            <w:tcBorders>
              <w:top w:val="nil"/>
              <w:left w:val="nil"/>
              <w:bottom w:val="nil"/>
              <w:right w:val="single" w:sz="4" w:space="0" w:color="FF0000"/>
            </w:tcBorders>
            <w:shd w:val="clear" w:color="auto" w:fill="auto"/>
            <w:vAlign w:val="center"/>
            <w:hideMark/>
          </w:tcPr>
          <w:p w:rsidR="00A413E8" w:rsidRDefault="00A413E8" w:rsidP="00A413E8">
            <w:pPr>
              <w:rPr>
                <w:rFonts w:ascii="Arial Narrow" w:hAnsi="Arial Narrow"/>
                <w:sz w:val="18"/>
                <w:szCs w:val="18"/>
              </w:rPr>
            </w:pPr>
            <w:r>
              <w:rPr>
                <w:rFonts w:ascii="Arial Narrow" w:hAnsi="Arial Narrow"/>
                <w:sz w:val="18"/>
                <w:szCs w:val="18"/>
              </w:rPr>
              <w:t>Dávka na udržanie príjmu v prípade narodenia dieťaťa</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lang w:eastAsia="sk-SK"/>
              </w:rPr>
            </w:pPr>
            <w:r>
              <w:rPr>
                <w:rFonts w:ascii="Arial Narrow" w:hAnsi="Arial Narrow" w:cs="Calibri"/>
                <w:sz w:val="18"/>
                <w:szCs w:val="18"/>
              </w:rPr>
              <w:t>301,7</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19,9</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47,7</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76,2</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0,3</w:t>
            </w:r>
          </w:p>
        </w:tc>
        <w:tc>
          <w:tcPr>
            <w:tcW w:w="761"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161,5</w:t>
            </w:r>
          </w:p>
        </w:tc>
      </w:tr>
      <w:tr w:rsidR="00A413E8" w:rsidTr="00A413E8">
        <w:trPr>
          <w:trHeight w:val="255"/>
        </w:trPr>
        <w:tc>
          <w:tcPr>
            <w:tcW w:w="182" w:type="dxa"/>
            <w:tcBorders>
              <w:top w:val="nil"/>
              <w:left w:val="nil"/>
              <w:bottom w:val="nil"/>
              <w:right w:val="nil"/>
            </w:tcBorders>
            <w:shd w:val="clear" w:color="auto" w:fill="auto"/>
            <w:noWrap/>
            <w:vAlign w:val="center"/>
            <w:hideMark/>
          </w:tcPr>
          <w:p w:rsidR="00A413E8" w:rsidRDefault="00A413E8" w:rsidP="00A413E8">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4164" w:type="dxa"/>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sz w:val="18"/>
                <w:szCs w:val="18"/>
              </w:rPr>
            </w:pPr>
            <w:r>
              <w:rPr>
                <w:rFonts w:ascii="Arial Narrow" w:hAnsi="Arial Narrow"/>
                <w:sz w:val="18"/>
                <w:szCs w:val="18"/>
              </w:rPr>
              <w:t>Dávka na rodičovskú dovolenku</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lang w:eastAsia="sk-SK"/>
              </w:rPr>
            </w:pPr>
            <w:r>
              <w:rPr>
                <w:rFonts w:ascii="Arial Narrow" w:hAnsi="Arial Narrow" w:cs="Calibri"/>
                <w:sz w:val="18"/>
                <w:szCs w:val="18"/>
              </w:rPr>
              <w:t>372,6</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24,6</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59,0</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94,1</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0,4</w:t>
            </w:r>
          </w:p>
        </w:tc>
        <w:tc>
          <w:tcPr>
            <w:tcW w:w="761"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101,0</w:t>
            </w:r>
          </w:p>
        </w:tc>
      </w:tr>
      <w:tr w:rsidR="00A413E8" w:rsidTr="00A413E8">
        <w:trPr>
          <w:trHeight w:val="255"/>
        </w:trPr>
        <w:tc>
          <w:tcPr>
            <w:tcW w:w="182" w:type="dxa"/>
            <w:tcBorders>
              <w:top w:val="nil"/>
              <w:left w:val="nil"/>
              <w:bottom w:val="nil"/>
              <w:right w:val="nil"/>
            </w:tcBorders>
            <w:shd w:val="clear" w:color="auto" w:fill="auto"/>
            <w:noWrap/>
            <w:vAlign w:val="center"/>
            <w:hideMark/>
          </w:tcPr>
          <w:p w:rsidR="00A413E8" w:rsidRDefault="00A413E8" w:rsidP="00A413E8">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4164" w:type="dxa"/>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sz w:val="18"/>
                <w:szCs w:val="18"/>
              </w:rPr>
            </w:pPr>
            <w:r>
              <w:rPr>
                <w:rFonts w:ascii="Arial Narrow" w:hAnsi="Arial Narrow"/>
                <w:sz w:val="18"/>
                <w:szCs w:val="18"/>
              </w:rPr>
              <w:t>Rodinné alebo detské prídavky*</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lang w:eastAsia="sk-SK"/>
              </w:rPr>
            </w:pPr>
            <w:r>
              <w:rPr>
                <w:rFonts w:ascii="Arial Narrow" w:hAnsi="Arial Narrow" w:cs="Calibri"/>
                <w:sz w:val="18"/>
                <w:szCs w:val="18"/>
              </w:rPr>
              <w:t>601,8</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39,7</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95,2</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151,9</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0,6</w:t>
            </w:r>
          </w:p>
        </w:tc>
        <w:tc>
          <w:tcPr>
            <w:tcW w:w="761"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101,4</w:t>
            </w:r>
          </w:p>
        </w:tc>
      </w:tr>
      <w:tr w:rsidR="00A413E8" w:rsidTr="00A413E8">
        <w:trPr>
          <w:trHeight w:val="255"/>
        </w:trPr>
        <w:tc>
          <w:tcPr>
            <w:tcW w:w="182" w:type="dxa"/>
            <w:tcBorders>
              <w:top w:val="nil"/>
              <w:left w:val="nil"/>
              <w:bottom w:val="nil"/>
              <w:right w:val="nil"/>
            </w:tcBorders>
            <w:shd w:val="clear" w:color="auto" w:fill="auto"/>
            <w:noWrap/>
            <w:vAlign w:val="center"/>
            <w:hideMark/>
          </w:tcPr>
          <w:p w:rsidR="00A413E8" w:rsidRDefault="00A413E8" w:rsidP="00A413E8">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4164" w:type="dxa"/>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sz w:val="18"/>
                <w:szCs w:val="18"/>
              </w:rPr>
            </w:pPr>
            <w:r>
              <w:rPr>
                <w:rFonts w:ascii="Arial Narrow" w:hAnsi="Arial Narrow"/>
                <w:sz w:val="18"/>
                <w:szCs w:val="18"/>
              </w:rPr>
              <w:t>Iné peňažné periodické dávky</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lang w:eastAsia="sk-SK"/>
              </w:rPr>
            </w:pPr>
            <w:r>
              <w:rPr>
                <w:rFonts w:ascii="Arial Narrow" w:hAnsi="Arial Narrow" w:cs="Calibri"/>
                <w:sz w:val="18"/>
                <w:szCs w:val="18"/>
              </w:rPr>
              <w:t>14,5</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1,0</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2,3</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3,7</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0,0</w:t>
            </w:r>
          </w:p>
        </w:tc>
        <w:tc>
          <w:tcPr>
            <w:tcW w:w="761" w:type="dxa"/>
            <w:tcBorders>
              <w:top w:val="nil"/>
              <w:left w:val="single" w:sz="4" w:space="0" w:color="FF0000"/>
              <w:bottom w:val="nil"/>
              <w:right w:val="nil"/>
            </w:tcBorders>
            <w:shd w:val="clear" w:color="auto" w:fill="auto"/>
            <w:noWrap/>
            <w:vAlign w:val="bottom"/>
            <w:hideMark/>
          </w:tcPr>
          <w:p w:rsidR="00A413E8" w:rsidRDefault="00A413E8" w:rsidP="00D6262B">
            <w:pPr>
              <w:jc w:val="right"/>
              <w:rPr>
                <w:rFonts w:ascii="Arial Narrow" w:hAnsi="Arial Narrow" w:cs="Calibri"/>
                <w:sz w:val="18"/>
                <w:szCs w:val="18"/>
              </w:rPr>
            </w:pPr>
            <w:r>
              <w:rPr>
                <w:rFonts w:ascii="Arial Narrow" w:hAnsi="Arial Narrow" w:cs="Calibri"/>
                <w:sz w:val="18"/>
                <w:szCs w:val="18"/>
              </w:rPr>
              <w:t>96,</w:t>
            </w:r>
            <w:r w:rsidR="00D6262B">
              <w:rPr>
                <w:rFonts w:ascii="Arial Narrow" w:hAnsi="Arial Narrow" w:cs="Calibri"/>
                <w:sz w:val="18"/>
                <w:szCs w:val="18"/>
              </w:rPr>
              <w:t>7</w:t>
            </w:r>
          </w:p>
        </w:tc>
      </w:tr>
      <w:tr w:rsidR="00A413E8" w:rsidTr="00A413E8">
        <w:trPr>
          <w:trHeight w:val="255"/>
        </w:trPr>
        <w:tc>
          <w:tcPr>
            <w:tcW w:w="182" w:type="dxa"/>
            <w:tcBorders>
              <w:top w:val="nil"/>
              <w:left w:val="nil"/>
              <w:bottom w:val="nil"/>
              <w:right w:val="nil"/>
            </w:tcBorders>
            <w:shd w:val="clear" w:color="auto" w:fill="auto"/>
            <w:noWrap/>
            <w:vAlign w:val="center"/>
            <w:hideMark/>
          </w:tcPr>
          <w:p w:rsidR="00A413E8" w:rsidRDefault="00A413E8" w:rsidP="00A413E8">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4310" w:type="dxa"/>
            <w:gridSpan w:val="2"/>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b/>
                <w:bCs/>
                <w:sz w:val="18"/>
                <w:szCs w:val="18"/>
              </w:rPr>
            </w:pPr>
            <w:r>
              <w:rPr>
                <w:rFonts w:ascii="Arial Narrow" w:hAnsi="Arial Narrow"/>
                <w:b/>
                <w:bCs/>
                <w:sz w:val="18"/>
                <w:szCs w:val="18"/>
              </w:rPr>
              <w:t>Jednorazové</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b/>
                <w:bCs/>
                <w:sz w:val="18"/>
                <w:szCs w:val="18"/>
                <w:lang w:eastAsia="sk-SK"/>
              </w:rPr>
            </w:pPr>
            <w:r>
              <w:rPr>
                <w:rFonts w:ascii="Arial Narrow" w:hAnsi="Arial Narrow" w:cs="Calibri"/>
                <w:b/>
                <w:bCs/>
                <w:sz w:val="18"/>
                <w:szCs w:val="18"/>
              </w:rPr>
              <w:t>47,3</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3,1</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7,5</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11,9</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0,1</w:t>
            </w:r>
          </w:p>
        </w:tc>
        <w:tc>
          <w:tcPr>
            <w:tcW w:w="761" w:type="dxa"/>
            <w:tcBorders>
              <w:top w:val="nil"/>
              <w:left w:val="single" w:sz="4" w:space="0" w:color="FF0000"/>
              <w:bottom w:val="nil"/>
              <w:right w:val="nil"/>
            </w:tcBorders>
            <w:shd w:val="clear" w:color="auto" w:fill="auto"/>
            <w:noWrap/>
            <w:vAlign w:val="bottom"/>
            <w:hideMark/>
          </w:tcPr>
          <w:p w:rsidR="00A413E8" w:rsidRDefault="00D6262B" w:rsidP="00A413E8">
            <w:pPr>
              <w:jc w:val="right"/>
              <w:rPr>
                <w:rFonts w:ascii="Arial Narrow" w:hAnsi="Arial Narrow" w:cs="Calibri"/>
                <w:b/>
                <w:bCs/>
                <w:sz w:val="18"/>
                <w:szCs w:val="18"/>
              </w:rPr>
            </w:pPr>
            <w:r>
              <w:rPr>
                <w:rFonts w:ascii="Arial Narrow" w:hAnsi="Arial Narrow" w:cs="Calibri"/>
                <w:b/>
                <w:bCs/>
                <w:sz w:val="18"/>
                <w:szCs w:val="18"/>
              </w:rPr>
              <w:t>105,1</w:t>
            </w:r>
          </w:p>
        </w:tc>
      </w:tr>
      <w:tr w:rsidR="00A413E8" w:rsidTr="00A413E8">
        <w:trPr>
          <w:trHeight w:val="255"/>
        </w:trPr>
        <w:tc>
          <w:tcPr>
            <w:tcW w:w="182" w:type="dxa"/>
            <w:tcBorders>
              <w:top w:val="nil"/>
              <w:left w:val="nil"/>
              <w:bottom w:val="nil"/>
              <w:right w:val="nil"/>
            </w:tcBorders>
            <w:shd w:val="clear" w:color="auto" w:fill="auto"/>
            <w:noWrap/>
            <w:vAlign w:val="center"/>
            <w:hideMark/>
          </w:tcPr>
          <w:p w:rsidR="00A413E8" w:rsidRDefault="00A413E8" w:rsidP="00A413E8">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bottom"/>
            <w:hideMark/>
          </w:tcPr>
          <w:p w:rsidR="00A413E8" w:rsidRDefault="00A413E8" w:rsidP="00A413E8">
            <w:pPr>
              <w:rPr>
                <w:sz w:val="20"/>
                <w:szCs w:val="20"/>
              </w:rPr>
            </w:pPr>
          </w:p>
        </w:tc>
        <w:tc>
          <w:tcPr>
            <w:tcW w:w="4164" w:type="dxa"/>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sz w:val="18"/>
                <w:szCs w:val="18"/>
              </w:rPr>
            </w:pPr>
            <w:r>
              <w:rPr>
                <w:rFonts w:ascii="Arial Narrow" w:hAnsi="Arial Narrow"/>
                <w:sz w:val="18"/>
                <w:szCs w:val="18"/>
              </w:rPr>
              <w:t>Finančná podpora pri narodení</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lang w:eastAsia="sk-SK"/>
              </w:rPr>
            </w:pPr>
            <w:r>
              <w:rPr>
                <w:rFonts w:ascii="Arial Narrow" w:hAnsi="Arial Narrow" w:cs="Calibri"/>
                <w:sz w:val="18"/>
                <w:szCs w:val="18"/>
              </w:rPr>
              <w:t>46,1</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3,0</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7,3</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11,7</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0,0</w:t>
            </w:r>
          </w:p>
        </w:tc>
        <w:tc>
          <w:tcPr>
            <w:tcW w:w="761" w:type="dxa"/>
            <w:tcBorders>
              <w:top w:val="nil"/>
              <w:left w:val="single" w:sz="4" w:space="0" w:color="FF0000"/>
              <w:bottom w:val="nil"/>
              <w:right w:val="nil"/>
            </w:tcBorders>
            <w:shd w:val="clear" w:color="auto" w:fill="auto"/>
            <w:noWrap/>
            <w:vAlign w:val="bottom"/>
            <w:hideMark/>
          </w:tcPr>
          <w:p w:rsidR="00A413E8" w:rsidRDefault="00D6262B" w:rsidP="00A413E8">
            <w:pPr>
              <w:jc w:val="right"/>
              <w:rPr>
                <w:rFonts w:ascii="Arial Narrow" w:hAnsi="Arial Narrow" w:cs="Calibri"/>
                <w:sz w:val="18"/>
                <w:szCs w:val="18"/>
              </w:rPr>
            </w:pPr>
            <w:r>
              <w:rPr>
                <w:rFonts w:ascii="Arial Narrow" w:hAnsi="Arial Narrow" w:cs="Calibri"/>
                <w:sz w:val="18"/>
                <w:szCs w:val="18"/>
              </w:rPr>
              <w:t>104,8</w:t>
            </w:r>
          </w:p>
        </w:tc>
      </w:tr>
      <w:tr w:rsidR="00DA1052" w:rsidTr="00A413E8">
        <w:trPr>
          <w:trHeight w:val="255"/>
        </w:trPr>
        <w:tc>
          <w:tcPr>
            <w:tcW w:w="182" w:type="dxa"/>
            <w:tcBorders>
              <w:top w:val="nil"/>
              <w:left w:val="nil"/>
              <w:bottom w:val="nil"/>
              <w:right w:val="nil"/>
            </w:tcBorders>
            <w:shd w:val="clear" w:color="auto" w:fill="auto"/>
            <w:noWrap/>
            <w:vAlign w:val="center"/>
            <w:hideMark/>
          </w:tcPr>
          <w:p w:rsidR="00DA1052" w:rsidRDefault="00DA1052">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DA1052" w:rsidRDefault="00DA1052">
            <w:pPr>
              <w:rPr>
                <w:sz w:val="20"/>
                <w:szCs w:val="20"/>
              </w:rPr>
            </w:pPr>
          </w:p>
        </w:tc>
        <w:tc>
          <w:tcPr>
            <w:tcW w:w="146" w:type="dxa"/>
            <w:tcBorders>
              <w:top w:val="nil"/>
              <w:left w:val="nil"/>
              <w:bottom w:val="nil"/>
              <w:right w:val="nil"/>
            </w:tcBorders>
            <w:shd w:val="clear" w:color="auto" w:fill="auto"/>
            <w:noWrap/>
            <w:vAlign w:val="center"/>
            <w:hideMark/>
          </w:tcPr>
          <w:p w:rsidR="00DA1052" w:rsidRDefault="00DA1052">
            <w:pPr>
              <w:rPr>
                <w:sz w:val="20"/>
                <w:szCs w:val="20"/>
              </w:rPr>
            </w:pPr>
          </w:p>
        </w:tc>
        <w:tc>
          <w:tcPr>
            <w:tcW w:w="146" w:type="dxa"/>
            <w:tcBorders>
              <w:top w:val="nil"/>
              <w:left w:val="nil"/>
              <w:bottom w:val="nil"/>
              <w:right w:val="nil"/>
            </w:tcBorders>
            <w:shd w:val="clear" w:color="auto" w:fill="auto"/>
            <w:noWrap/>
            <w:vAlign w:val="center"/>
            <w:hideMark/>
          </w:tcPr>
          <w:p w:rsidR="00DA1052" w:rsidRDefault="00DA1052">
            <w:pPr>
              <w:rPr>
                <w:sz w:val="20"/>
                <w:szCs w:val="20"/>
              </w:rPr>
            </w:pPr>
          </w:p>
        </w:tc>
        <w:tc>
          <w:tcPr>
            <w:tcW w:w="4164" w:type="dxa"/>
            <w:tcBorders>
              <w:top w:val="nil"/>
              <w:left w:val="nil"/>
              <w:bottom w:val="nil"/>
              <w:right w:val="single" w:sz="4" w:space="0" w:color="FF0000"/>
            </w:tcBorders>
            <w:shd w:val="clear" w:color="auto" w:fill="auto"/>
            <w:noWrap/>
            <w:vAlign w:val="center"/>
            <w:hideMark/>
          </w:tcPr>
          <w:p w:rsidR="00DA1052" w:rsidRDefault="00DA1052">
            <w:pPr>
              <w:rPr>
                <w:rFonts w:ascii="Arial Narrow" w:hAnsi="Arial Narrow"/>
                <w:sz w:val="18"/>
                <w:szCs w:val="18"/>
              </w:rPr>
            </w:pPr>
            <w:r>
              <w:rPr>
                <w:rFonts w:ascii="Arial Narrow" w:hAnsi="Arial Narrow"/>
                <w:sz w:val="18"/>
                <w:szCs w:val="18"/>
              </w:rPr>
              <w:t>Dávka na rodičovskú dovolenku</w:t>
            </w:r>
          </w:p>
        </w:tc>
        <w:tc>
          <w:tcPr>
            <w:tcW w:w="709" w:type="dxa"/>
            <w:tcBorders>
              <w:top w:val="nil"/>
              <w:left w:val="nil"/>
              <w:bottom w:val="nil"/>
              <w:right w:val="nil"/>
            </w:tcBorders>
            <w:shd w:val="clear" w:color="auto" w:fill="auto"/>
            <w:noWrap/>
            <w:vAlign w:val="bottom"/>
            <w:hideMark/>
          </w:tcPr>
          <w:p w:rsidR="00DA1052" w:rsidRDefault="00DA1052">
            <w:pPr>
              <w:jc w:val="right"/>
              <w:rPr>
                <w:rFonts w:ascii="Arial Narrow" w:hAnsi="Arial Narrow"/>
                <w:sz w:val="18"/>
                <w:szCs w:val="18"/>
              </w:rPr>
            </w:pPr>
            <w:r>
              <w:rPr>
                <w:rFonts w:ascii="Arial Narrow" w:hAnsi="Arial Narrow"/>
                <w:sz w:val="18"/>
                <w:szCs w:val="18"/>
              </w:rPr>
              <w:t>0,0</w:t>
            </w:r>
          </w:p>
        </w:tc>
        <w:tc>
          <w:tcPr>
            <w:tcW w:w="510" w:type="dxa"/>
            <w:tcBorders>
              <w:top w:val="nil"/>
              <w:left w:val="single" w:sz="4" w:space="0" w:color="FF0000"/>
              <w:bottom w:val="nil"/>
              <w:right w:val="single" w:sz="4" w:space="0" w:color="FF0000"/>
            </w:tcBorders>
            <w:shd w:val="clear" w:color="auto" w:fill="auto"/>
            <w:noWrap/>
            <w:vAlign w:val="bottom"/>
            <w:hideMark/>
          </w:tcPr>
          <w:p w:rsidR="00DA1052" w:rsidRDefault="00DA1052">
            <w:pPr>
              <w:jc w:val="right"/>
              <w:rPr>
                <w:rFonts w:ascii="Arial Narrow" w:hAnsi="Arial Narrow"/>
                <w:sz w:val="18"/>
                <w:szCs w:val="18"/>
              </w:rPr>
            </w:pPr>
            <w:r>
              <w:rPr>
                <w:rFonts w:ascii="Arial Narrow" w:hAnsi="Arial Narrow"/>
                <w:sz w:val="18"/>
                <w:szCs w:val="18"/>
              </w:rPr>
              <w:t>0,0</w:t>
            </w:r>
          </w:p>
        </w:tc>
        <w:tc>
          <w:tcPr>
            <w:tcW w:w="1191" w:type="dxa"/>
            <w:tcBorders>
              <w:top w:val="nil"/>
              <w:left w:val="nil"/>
              <w:bottom w:val="nil"/>
              <w:right w:val="nil"/>
            </w:tcBorders>
            <w:shd w:val="clear" w:color="auto" w:fill="auto"/>
            <w:noWrap/>
            <w:vAlign w:val="bottom"/>
            <w:hideMark/>
          </w:tcPr>
          <w:p w:rsidR="00DA1052" w:rsidRDefault="00DA1052">
            <w:pPr>
              <w:jc w:val="right"/>
              <w:rPr>
                <w:rFonts w:ascii="Arial Narrow" w:hAnsi="Arial Narrow"/>
                <w:sz w:val="18"/>
                <w:szCs w:val="18"/>
              </w:rPr>
            </w:pPr>
            <w:r>
              <w:rPr>
                <w:rFonts w:ascii="Arial Narrow" w:hAnsi="Arial Narrow"/>
                <w:sz w:val="18"/>
                <w:szCs w:val="18"/>
              </w:rPr>
              <w:t>0,0</w:t>
            </w:r>
          </w:p>
        </w:tc>
        <w:tc>
          <w:tcPr>
            <w:tcW w:w="850" w:type="dxa"/>
            <w:tcBorders>
              <w:top w:val="nil"/>
              <w:left w:val="single" w:sz="4" w:space="0" w:color="FF0000"/>
              <w:bottom w:val="nil"/>
              <w:right w:val="nil"/>
            </w:tcBorders>
            <w:shd w:val="clear" w:color="auto" w:fill="auto"/>
            <w:noWrap/>
            <w:vAlign w:val="bottom"/>
            <w:hideMark/>
          </w:tcPr>
          <w:p w:rsidR="00DA1052" w:rsidRDefault="00DA1052">
            <w:pPr>
              <w:jc w:val="right"/>
              <w:rPr>
                <w:rFonts w:ascii="Arial Narrow" w:hAnsi="Arial Narrow"/>
                <w:sz w:val="18"/>
                <w:szCs w:val="18"/>
              </w:rPr>
            </w:pPr>
            <w:r>
              <w:rPr>
                <w:rFonts w:ascii="Arial Narrow" w:hAnsi="Arial Narrow"/>
                <w:sz w:val="18"/>
                <w:szCs w:val="18"/>
              </w:rPr>
              <w:t>0,0</w:t>
            </w:r>
          </w:p>
        </w:tc>
        <w:tc>
          <w:tcPr>
            <w:tcW w:w="426" w:type="dxa"/>
            <w:tcBorders>
              <w:top w:val="nil"/>
              <w:left w:val="single" w:sz="4" w:space="0" w:color="FF0000"/>
              <w:bottom w:val="nil"/>
              <w:right w:val="nil"/>
            </w:tcBorders>
            <w:shd w:val="clear" w:color="auto" w:fill="auto"/>
            <w:noWrap/>
            <w:vAlign w:val="bottom"/>
            <w:hideMark/>
          </w:tcPr>
          <w:p w:rsidR="00DA1052" w:rsidRDefault="00DA1052">
            <w:pPr>
              <w:jc w:val="right"/>
              <w:rPr>
                <w:rFonts w:ascii="Arial Narrow" w:hAnsi="Arial Narrow"/>
                <w:sz w:val="18"/>
                <w:szCs w:val="18"/>
              </w:rPr>
            </w:pPr>
            <w:r>
              <w:rPr>
                <w:rFonts w:ascii="Arial Narrow" w:hAnsi="Arial Narrow"/>
                <w:sz w:val="18"/>
                <w:szCs w:val="18"/>
              </w:rPr>
              <w:t>0,0</w:t>
            </w:r>
          </w:p>
        </w:tc>
        <w:tc>
          <w:tcPr>
            <w:tcW w:w="761" w:type="dxa"/>
            <w:tcBorders>
              <w:top w:val="nil"/>
              <w:left w:val="single" w:sz="4" w:space="0" w:color="FF0000"/>
              <w:bottom w:val="nil"/>
              <w:right w:val="nil"/>
            </w:tcBorders>
            <w:shd w:val="clear" w:color="auto" w:fill="auto"/>
            <w:noWrap/>
            <w:vAlign w:val="bottom"/>
            <w:hideMark/>
          </w:tcPr>
          <w:p w:rsidR="00DA1052" w:rsidRDefault="007B7FAB">
            <w:pPr>
              <w:jc w:val="right"/>
              <w:rPr>
                <w:rFonts w:ascii="Arial Narrow" w:hAnsi="Arial Narrow"/>
                <w:sz w:val="18"/>
                <w:szCs w:val="18"/>
              </w:rPr>
            </w:pPr>
            <w:r>
              <w:rPr>
                <w:rFonts w:ascii="Arial Narrow" w:hAnsi="Arial Narrow"/>
                <w:sz w:val="18"/>
                <w:szCs w:val="18"/>
              </w:rPr>
              <w:t>x</w:t>
            </w:r>
          </w:p>
        </w:tc>
      </w:tr>
      <w:tr w:rsidR="00A413E8" w:rsidTr="00A413E8">
        <w:trPr>
          <w:trHeight w:val="255"/>
        </w:trPr>
        <w:tc>
          <w:tcPr>
            <w:tcW w:w="182" w:type="dxa"/>
            <w:tcBorders>
              <w:top w:val="nil"/>
              <w:left w:val="nil"/>
              <w:bottom w:val="nil"/>
              <w:right w:val="nil"/>
            </w:tcBorders>
            <w:shd w:val="clear" w:color="auto" w:fill="auto"/>
            <w:noWrap/>
            <w:vAlign w:val="center"/>
            <w:hideMark/>
          </w:tcPr>
          <w:p w:rsidR="00A413E8" w:rsidRDefault="00A413E8" w:rsidP="00A413E8">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center"/>
            <w:hideMark/>
          </w:tcPr>
          <w:p w:rsidR="00A413E8" w:rsidRDefault="00A413E8" w:rsidP="00A413E8">
            <w:pPr>
              <w:rPr>
                <w:sz w:val="20"/>
                <w:szCs w:val="20"/>
              </w:rPr>
            </w:pPr>
          </w:p>
        </w:tc>
        <w:tc>
          <w:tcPr>
            <w:tcW w:w="4164" w:type="dxa"/>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sz w:val="18"/>
                <w:szCs w:val="18"/>
              </w:rPr>
            </w:pPr>
            <w:r>
              <w:rPr>
                <w:rFonts w:ascii="Arial Narrow" w:hAnsi="Arial Narrow"/>
                <w:sz w:val="18"/>
                <w:szCs w:val="18"/>
              </w:rPr>
              <w:t>Iné jednorazové dávky</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lang w:eastAsia="sk-SK"/>
              </w:rPr>
            </w:pPr>
            <w:r>
              <w:rPr>
                <w:rFonts w:ascii="Arial Narrow" w:hAnsi="Arial Narrow" w:cs="Calibri"/>
                <w:sz w:val="18"/>
                <w:szCs w:val="18"/>
              </w:rPr>
              <w:t>1,1</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0,1</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0,2</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0,3</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0,0</w:t>
            </w:r>
          </w:p>
        </w:tc>
        <w:tc>
          <w:tcPr>
            <w:tcW w:w="761" w:type="dxa"/>
            <w:tcBorders>
              <w:top w:val="nil"/>
              <w:left w:val="single" w:sz="4" w:space="0" w:color="FF0000"/>
              <w:bottom w:val="nil"/>
              <w:right w:val="nil"/>
            </w:tcBorders>
            <w:shd w:val="clear" w:color="auto" w:fill="auto"/>
            <w:noWrap/>
            <w:vAlign w:val="bottom"/>
            <w:hideMark/>
          </w:tcPr>
          <w:p w:rsidR="00A413E8" w:rsidRDefault="00D6262B" w:rsidP="00A413E8">
            <w:pPr>
              <w:jc w:val="right"/>
              <w:rPr>
                <w:rFonts w:ascii="Arial Narrow" w:hAnsi="Arial Narrow" w:cs="Calibri"/>
                <w:sz w:val="18"/>
                <w:szCs w:val="18"/>
              </w:rPr>
            </w:pPr>
            <w:r>
              <w:rPr>
                <w:rFonts w:ascii="Arial Narrow" w:hAnsi="Arial Narrow" w:cs="Calibri"/>
                <w:sz w:val="18"/>
                <w:szCs w:val="18"/>
              </w:rPr>
              <w:t>110,0</w:t>
            </w:r>
          </w:p>
        </w:tc>
      </w:tr>
      <w:tr w:rsidR="00A413E8" w:rsidTr="00A413E8">
        <w:trPr>
          <w:trHeight w:val="255"/>
        </w:trPr>
        <w:tc>
          <w:tcPr>
            <w:tcW w:w="182" w:type="dxa"/>
            <w:tcBorders>
              <w:top w:val="nil"/>
              <w:left w:val="nil"/>
              <w:bottom w:val="nil"/>
              <w:right w:val="nil"/>
            </w:tcBorders>
            <w:shd w:val="clear" w:color="000000" w:fill="E2EFDA"/>
            <w:noWrap/>
            <w:vAlign w:val="bottom"/>
            <w:hideMark/>
          </w:tcPr>
          <w:p w:rsidR="00A413E8" w:rsidRDefault="00A413E8" w:rsidP="00A413E8">
            <w:pPr>
              <w:rPr>
                <w:rFonts w:ascii="Arial Narrow" w:hAnsi="Arial Narrow"/>
                <w:b/>
                <w:bCs/>
                <w:color w:val="FFFFFF"/>
                <w:sz w:val="18"/>
                <w:szCs w:val="18"/>
              </w:rPr>
            </w:pPr>
            <w:r>
              <w:rPr>
                <w:rFonts w:ascii="Arial Narrow" w:hAnsi="Arial Narrow"/>
                <w:b/>
                <w:bCs/>
                <w:color w:val="FFFFFF"/>
                <w:sz w:val="18"/>
                <w:szCs w:val="18"/>
              </w:rPr>
              <w:t> </w:t>
            </w:r>
          </w:p>
        </w:tc>
        <w:tc>
          <w:tcPr>
            <w:tcW w:w="182" w:type="dxa"/>
            <w:tcBorders>
              <w:top w:val="nil"/>
              <w:left w:val="nil"/>
              <w:bottom w:val="nil"/>
              <w:right w:val="nil"/>
            </w:tcBorders>
            <w:shd w:val="clear" w:color="000000" w:fill="E2EFDA"/>
            <w:noWrap/>
            <w:vAlign w:val="bottom"/>
            <w:hideMark/>
          </w:tcPr>
          <w:p w:rsidR="00A413E8" w:rsidRDefault="00A413E8" w:rsidP="00A413E8">
            <w:pPr>
              <w:rPr>
                <w:rFonts w:ascii="Arial Narrow" w:hAnsi="Arial Narrow"/>
                <w:b/>
                <w:bCs/>
                <w:color w:val="FFFFFF"/>
                <w:sz w:val="18"/>
                <w:szCs w:val="18"/>
              </w:rPr>
            </w:pPr>
            <w:r>
              <w:rPr>
                <w:rFonts w:ascii="Arial Narrow" w:hAnsi="Arial Narrow"/>
                <w:b/>
                <w:bCs/>
                <w:color w:val="FFFFFF"/>
                <w:sz w:val="18"/>
                <w:szCs w:val="18"/>
              </w:rPr>
              <w:t> </w:t>
            </w:r>
          </w:p>
        </w:tc>
        <w:tc>
          <w:tcPr>
            <w:tcW w:w="4456" w:type="dxa"/>
            <w:gridSpan w:val="3"/>
            <w:tcBorders>
              <w:top w:val="nil"/>
              <w:left w:val="nil"/>
              <w:bottom w:val="nil"/>
              <w:right w:val="single" w:sz="4" w:space="0" w:color="FF0000"/>
            </w:tcBorders>
            <w:shd w:val="clear" w:color="000000" w:fill="E2EFDA"/>
            <w:noWrap/>
            <w:vAlign w:val="center"/>
            <w:hideMark/>
          </w:tcPr>
          <w:p w:rsidR="00A413E8" w:rsidRDefault="00A413E8" w:rsidP="00A413E8">
            <w:pPr>
              <w:rPr>
                <w:rFonts w:ascii="Arial Narrow" w:hAnsi="Arial Narrow"/>
                <w:b/>
                <w:bCs/>
                <w:sz w:val="18"/>
                <w:szCs w:val="18"/>
              </w:rPr>
            </w:pPr>
            <w:r>
              <w:rPr>
                <w:rFonts w:ascii="Arial Narrow" w:hAnsi="Arial Narrow"/>
                <w:b/>
                <w:bCs/>
                <w:sz w:val="18"/>
                <w:szCs w:val="18"/>
              </w:rPr>
              <w:t>Vecné dávky</w:t>
            </w:r>
          </w:p>
        </w:tc>
        <w:tc>
          <w:tcPr>
            <w:tcW w:w="709" w:type="dxa"/>
            <w:tcBorders>
              <w:top w:val="nil"/>
              <w:left w:val="nil"/>
              <w:bottom w:val="nil"/>
              <w:right w:val="nil"/>
            </w:tcBorders>
            <w:shd w:val="clear" w:color="000000" w:fill="E2EFDA"/>
            <w:noWrap/>
            <w:vAlign w:val="bottom"/>
            <w:hideMark/>
          </w:tcPr>
          <w:p w:rsidR="00A413E8" w:rsidRDefault="00A413E8" w:rsidP="00A413E8">
            <w:pPr>
              <w:jc w:val="right"/>
              <w:rPr>
                <w:rFonts w:ascii="Arial Narrow" w:hAnsi="Arial Narrow" w:cs="Calibri"/>
                <w:b/>
                <w:bCs/>
                <w:sz w:val="18"/>
                <w:szCs w:val="18"/>
                <w:lang w:eastAsia="sk-SK"/>
              </w:rPr>
            </w:pPr>
            <w:r>
              <w:rPr>
                <w:rFonts w:ascii="Arial Narrow" w:hAnsi="Arial Narrow" w:cs="Calibri"/>
                <w:b/>
                <w:bCs/>
                <w:sz w:val="18"/>
                <w:szCs w:val="18"/>
              </w:rPr>
              <w:t>160,6</w:t>
            </w:r>
          </w:p>
        </w:tc>
        <w:tc>
          <w:tcPr>
            <w:tcW w:w="510" w:type="dxa"/>
            <w:tcBorders>
              <w:top w:val="nil"/>
              <w:left w:val="single" w:sz="4" w:space="0" w:color="FF0000"/>
              <w:bottom w:val="nil"/>
              <w:right w:val="single" w:sz="4" w:space="0" w:color="FF0000"/>
            </w:tcBorders>
            <w:shd w:val="clear" w:color="000000" w:fill="E2EFDA"/>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10,6</w:t>
            </w:r>
          </w:p>
        </w:tc>
        <w:tc>
          <w:tcPr>
            <w:tcW w:w="1191" w:type="dxa"/>
            <w:tcBorders>
              <w:top w:val="nil"/>
              <w:left w:val="nil"/>
              <w:bottom w:val="nil"/>
              <w:right w:val="nil"/>
            </w:tcBorders>
            <w:shd w:val="clear" w:color="000000" w:fill="E2EFDA"/>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25,4</w:t>
            </w:r>
          </w:p>
        </w:tc>
        <w:tc>
          <w:tcPr>
            <w:tcW w:w="850" w:type="dxa"/>
            <w:tcBorders>
              <w:top w:val="nil"/>
              <w:left w:val="single" w:sz="4" w:space="0" w:color="FF0000"/>
              <w:bottom w:val="nil"/>
              <w:right w:val="nil"/>
            </w:tcBorders>
            <w:shd w:val="clear" w:color="000000" w:fill="E2EFDA"/>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40,5</w:t>
            </w:r>
          </w:p>
        </w:tc>
        <w:tc>
          <w:tcPr>
            <w:tcW w:w="426" w:type="dxa"/>
            <w:tcBorders>
              <w:top w:val="nil"/>
              <w:left w:val="single" w:sz="4" w:space="0" w:color="FF0000"/>
              <w:bottom w:val="nil"/>
              <w:right w:val="nil"/>
            </w:tcBorders>
            <w:shd w:val="clear" w:color="000000" w:fill="E2EFDA"/>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0,2</w:t>
            </w:r>
          </w:p>
        </w:tc>
        <w:tc>
          <w:tcPr>
            <w:tcW w:w="761" w:type="dxa"/>
            <w:tcBorders>
              <w:top w:val="nil"/>
              <w:left w:val="single" w:sz="4" w:space="0" w:color="FF0000"/>
              <w:bottom w:val="nil"/>
              <w:right w:val="nil"/>
            </w:tcBorders>
            <w:shd w:val="clear" w:color="000000" w:fill="E2EFDA"/>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102,9</w:t>
            </w:r>
          </w:p>
        </w:tc>
      </w:tr>
      <w:tr w:rsidR="00A413E8" w:rsidTr="00A413E8">
        <w:trPr>
          <w:trHeight w:val="255"/>
        </w:trPr>
        <w:tc>
          <w:tcPr>
            <w:tcW w:w="182"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bottom"/>
            <w:hideMark/>
          </w:tcPr>
          <w:p w:rsidR="00A413E8" w:rsidRDefault="00A413E8" w:rsidP="00A413E8">
            <w:pPr>
              <w:rPr>
                <w:sz w:val="20"/>
                <w:szCs w:val="20"/>
              </w:rPr>
            </w:pPr>
          </w:p>
        </w:tc>
        <w:tc>
          <w:tcPr>
            <w:tcW w:w="4310" w:type="dxa"/>
            <w:gridSpan w:val="2"/>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sz w:val="18"/>
                <w:szCs w:val="18"/>
              </w:rPr>
            </w:pPr>
            <w:r>
              <w:rPr>
                <w:rFonts w:ascii="Arial Narrow" w:hAnsi="Arial Narrow"/>
                <w:sz w:val="18"/>
                <w:szCs w:val="18"/>
              </w:rPr>
              <w:t>Denná starostlivosť o dieťa</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lang w:eastAsia="sk-SK"/>
              </w:rPr>
            </w:pPr>
            <w:r>
              <w:rPr>
                <w:rFonts w:ascii="Arial Narrow" w:hAnsi="Arial Narrow" w:cs="Calibri"/>
                <w:sz w:val="18"/>
                <w:szCs w:val="18"/>
              </w:rPr>
              <w:t>43,0</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2,8</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6,8</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10,9</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0,0</w:t>
            </w:r>
          </w:p>
        </w:tc>
        <w:tc>
          <w:tcPr>
            <w:tcW w:w="761"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107,5</w:t>
            </w:r>
          </w:p>
        </w:tc>
      </w:tr>
      <w:tr w:rsidR="00A413E8" w:rsidTr="00A413E8">
        <w:trPr>
          <w:trHeight w:val="255"/>
        </w:trPr>
        <w:tc>
          <w:tcPr>
            <w:tcW w:w="182"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bottom"/>
            <w:hideMark/>
          </w:tcPr>
          <w:p w:rsidR="00A413E8" w:rsidRDefault="00A413E8" w:rsidP="00A413E8">
            <w:pPr>
              <w:rPr>
                <w:sz w:val="20"/>
                <w:szCs w:val="20"/>
              </w:rPr>
            </w:pPr>
          </w:p>
        </w:tc>
        <w:tc>
          <w:tcPr>
            <w:tcW w:w="4310" w:type="dxa"/>
            <w:gridSpan w:val="2"/>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sz w:val="18"/>
                <w:szCs w:val="18"/>
              </w:rPr>
            </w:pPr>
            <w:r>
              <w:rPr>
                <w:rFonts w:ascii="Arial Narrow" w:hAnsi="Arial Narrow"/>
                <w:sz w:val="18"/>
                <w:szCs w:val="18"/>
              </w:rPr>
              <w:t>Ubytovanie</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lang w:eastAsia="sk-SK"/>
              </w:rPr>
            </w:pPr>
            <w:r>
              <w:rPr>
                <w:rFonts w:ascii="Arial Narrow" w:hAnsi="Arial Narrow" w:cs="Calibri"/>
                <w:sz w:val="18"/>
                <w:szCs w:val="18"/>
              </w:rPr>
              <w:t>81,8</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5,4</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13,0</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20,7</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0,1</w:t>
            </w:r>
          </w:p>
        </w:tc>
        <w:tc>
          <w:tcPr>
            <w:tcW w:w="761" w:type="dxa"/>
            <w:tcBorders>
              <w:top w:val="nil"/>
              <w:left w:val="single" w:sz="4" w:space="0" w:color="FF0000"/>
              <w:bottom w:val="nil"/>
              <w:right w:val="nil"/>
            </w:tcBorders>
            <w:shd w:val="clear" w:color="auto" w:fill="auto"/>
            <w:noWrap/>
            <w:vAlign w:val="bottom"/>
            <w:hideMark/>
          </w:tcPr>
          <w:p w:rsidR="00A413E8" w:rsidRDefault="00D6262B" w:rsidP="00A413E8">
            <w:pPr>
              <w:jc w:val="right"/>
              <w:rPr>
                <w:rFonts w:ascii="Arial Narrow" w:hAnsi="Arial Narrow" w:cs="Calibri"/>
                <w:sz w:val="18"/>
                <w:szCs w:val="18"/>
              </w:rPr>
            </w:pPr>
            <w:r>
              <w:rPr>
                <w:rFonts w:ascii="Arial Narrow" w:hAnsi="Arial Narrow" w:cs="Calibri"/>
                <w:sz w:val="18"/>
                <w:szCs w:val="18"/>
              </w:rPr>
              <w:t>98,4</w:t>
            </w:r>
          </w:p>
        </w:tc>
      </w:tr>
      <w:tr w:rsidR="00A413E8" w:rsidTr="00A413E8">
        <w:trPr>
          <w:trHeight w:val="255"/>
        </w:trPr>
        <w:tc>
          <w:tcPr>
            <w:tcW w:w="182"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bottom"/>
            <w:hideMark/>
          </w:tcPr>
          <w:p w:rsidR="00A413E8" w:rsidRDefault="00A413E8" w:rsidP="00A413E8">
            <w:pPr>
              <w:rPr>
                <w:sz w:val="20"/>
                <w:szCs w:val="20"/>
              </w:rPr>
            </w:pPr>
          </w:p>
        </w:tc>
        <w:tc>
          <w:tcPr>
            <w:tcW w:w="4310" w:type="dxa"/>
            <w:gridSpan w:val="2"/>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sz w:val="18"/>
                <w:szCs w:val="18"/>
              </w:rPr>
            </w:pPr>
            <w:r>
              <w:rPr>
                <w:rFonts w:ascii="Arial Narrow" w:hAnsi="Arial Narrow"/>
                <w:sz w:val="18"/>
                <w:szCs w:val="18"/>
              </w:rPr>
              <w:t>Pomoc v domácnosti</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lang w:eastAsia="sk-SK"/>
              </w:rPr>
            </w:pPr>
            <w:r>
              <w:rPr>
                <w:rFonts w:ascii="Arial Narrow" w:hAnsi="Arial Narrow" w:cs="Calibri"/>
                <w:sz w:val="18"/>
                <w:szCs w:val="18"/>
              </w:rPr>
              <w:t>2,9</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0,2</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0,5</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0,7</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0,0</w:t>
            </w:r>
          </w:p>
        </w:tc>
        <w:tc>
          <w:tcPr>
            <w:tcW w:w="761" w:type="dxa"/>
            <w:tcBorders>
              <w:top w:val="nil"/>
              <w:left w:val="single" w:sz="4" w:space="0" w:color="FF0000"/>
              <w:bottom w:val="nil"/>
              <w:right w:val="nil"/>
            </w:tcBorders>
            <w:shd w:val="clear" w:color="auto" w:fill="auto"/>
            <w:noWrap/>
            <w:vAlign w:val="bottom"/>
            <w:hideMark/>
          </w:tcPr>
          <w:p w:rsidR="00A413E8" w:rsidRDefault="00D6262B" w:rsidP="00A413E8">
            <w:pPr>
              <w:jc w:val="right"/>
              <w:rPr>
                <w:rFonts w:ascii="Arial Narrow" w:hAnsi="Arial Narrow" w:cs="Calibri"/>
                <w:sz w:val="18"/>
                <w:szCs w:val="18"/>
              </w:rPr>
            </w:pPr>
            <w:r>
              <w:rPr>
                <w:rFonts w:ascii="Arial Narrow" w:hAnsi="Arial Narrow" w:cs="Calibri"/>
                <w:sz w:val="18"/>
                <w:szCs w:val="18"/>
              </w:rPr>
              <w:t>120,8</w:t>
            </w:r>
          </w:p>
        </w:tc>
      </w:tr>
      <w:tr w:rsidR="00A413E8" w:rsidTr="00A413E8">
        <w:trPr>
          <w:trHeight w:val="255"/>
        </w:trPr>
        <w:tc>
          <w:tcPr>
            <w:tcW w:w="182"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A413E8" w:rsidRDefault="00A413E8" w:rsidP="00A413E8">
            <w:pPr>
              <w:rPr>
                <w:sz w:val="20"/>
                <w:szCs w:val="20"/>
              </w:rPr>
            </w:pPr>
          </w:p>
        </w:tc>
        <w:tc>
          <w:tcPr>
            <w:tcW w:w="146" w:type="dxa"/>
            <w:tcBorders>
              <w:top w:val="nil"/>
              <w:left w:val="nil"/>
              <w:bottom w:val="nil"/>
              <w:right w:val="nil"/>
            </w:tcBorders>
            <w:shd w:val="clear" w:color="auto" w:fill="auto"/>
            <w:noWrap/>
            <w:vAlign w:val="bottom"/>
            <w:hideMark/>
          </w:tcPr>
          <w:p w:rsidR="00A413E8" w:rsidRDefault="00A413E8" w:rsidP="00A413E8">
            <w:pPr>
              <w:rPr>
                <w:sz w:val="20"/>
                <w:szCs w:val="20"/>
              </w:rPr>
            </w:pPr>
          </w:p>
        </w:tc>
        <w:tc>
          <w:tcPr>
            <w:tcW w:w="4310" w:type="dxa"/>
            <w:gridSpan w:val="2"/>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sz w:val="18"/>
                <w:szCs w:val="18"/>
              </w:rPr>
            </w:pPr>
            <w:r>
              <w:rPr>
                <w:rFonts w:ascii="Arial Narrow" w:hAnsi="Arial Narrow"/>
                <w:sz w:val="18"/>
                <w:szCs w:val="18"/>
              </w:rPr>
              <w:t>Iné vecné dávky</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lang w:eastAsia="sk-SK"/>
              </w:rPr>
            </w:pPr>
            <w:r>
              <w:rPr>
                <w:rFonts w:ascii="Arial Narrow" w:hAnsi="Arial Narrow" w:cs="Calibri"/>
                <w:sz w:val="18"/>
                <w:szCs w:val="18"/>
              </w:rPr>
              <w:t>32,8</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2,2</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5,2</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8,3</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0,0</w:t>
            </w:r>
          </w:p>
        </w:tc>
        <w:tc>
          <w:tcPr>
            <w:tcW w:w="761" w:type="dxa"/>
            <w:tcBorders>
              <w:top w:val="nil"/>
              <w:left w:val="single" w:sz="4" w:space="0" w:color="FF0000"/>
              <w:bottom w:val="nil"/>
              <w:right w:val="nil"/>
            </w:tcBorders>
            <w:shd w:val="clear" w:color="auto" w:fill="auto"/>
            <w:noWrap/>
            <w:vAlign w:val="bottom"/>
            <w:hideMark/>
          </w:tcPr>
          <w:p w:rsidR="00A413E8" w:rsidRDefault="00D6262B" w:rsidP="00A413E8">
            <w:pPr>
              <w:jc w:val="right"/>
              <w:rPr>
                <w:rFonts w:ascii="Arial Narrow" w:hAnsi="Arial Narrow" w:cs="Calibri"/>
                <w:sz w:val="18"/>
                <w:szCs w:val="18"/>
              </w:rPr>
            </w:pPr>
            <w:r>
              <w:rPr>
                <w:rFonts w:ascii="Arial Narrow" w:hAnsi="Arial Narrow" w:cs="Calibri"/>
                <w:sz w:val="18"/>
                <w:szCs w:val="18"/>
              </w:rPr>
              <w:t>107,2</w:t>
            </w:r>
          </w:p>
        </w:tc>
      </w:tr>
      <w:tr w:rsidR="00A413E8" w:rsidTr="00EF1D32">
        <w:trPr>
          <w:trHeight w:val="255"/>
        </w:trPr>
        <w:tc>
          <w:tcPr>
            <w:tcW w:w="182" w:type="dxa"/>
            <w:tcBorders>
              <w:top w:val="nil"/>
              <w:left w:val="nil"/>
              <w:bottom w:val="nil"/>
              <w:right w:val="nil"/>
            </w:tcBorders>
            <w:shd w:val="clear" w:color="auto" w:fill="C5E0B3" w:themeFill="accent6" w:themeFillTint="66"/>
            <w:noWrap/>
            <w:vAlign w:val="bottom"/>
            <w:hideMark/>
          </w:tcPr>
          <w:p w:rsidR="00A413E8" w:rsidRDefault="00A413E8" w:rsidP="00A413E8">
            <w:pPr>
              <w:rPr>
                <w:rFonts w:ascii="Arial Narrow" w:hAnsi="Arial Narrow"/>
                <w:b/>
                <w:bCs/>
                <w:color w:val="FFFFFF"/>
                <w:sz w:val="18"/>
                <w:szCs w:val="18"/>
              </w:rPr>
            </w:pPr>
            <w:r>
              <w:rPr>
                <w:rFonts w:ascii="Arial Narrow" w:hAnsi="Arial Narrow"/>
                <w:b/>
                <w:bCs/>
                <w:color w:val="FFFFFF"/>
                <w:sz w:val="18"/>
                <w:szCs w:val="18"/>
              </w:rPr>
              <w:t> </w:t>
            </w:r>
          </w:p>
        </w:tc>
        <w:tc>
          <w:tcPr>
            <w:tcW w:w="4638" w:type="dxa"/>
            <w:gridSpan w:val="4"/>
            <w:tcBorders>
              <w:top w:val="nil"/>
              <w:left w:val="nil"/>
              <w:bottom w:val="nil"/>
              <w:right w:val="single" w:sz="4" w:space="0" w:color="FF0000"/>
            </w:tcBorders>
            <w:shd w:val="clear" w:color="auto" w:fill="C5E0B3" w:themeFill="accent6" w:themeFillTint="66"/>
            <w:noWrap/>
            <w:vAlign w:val="center"/>
            <w:hideMark/>
          </w:tcPr>
          <w:p w:rsidR="00A413E8" w:rsidRDefault="00A413E8" w:rsidP="00A413E8">
            <w:pPr>
              <w:rPr>
                <w:rFonts w:ascii="Arial Narrow" w:hAnsi="Arial Narrow"/>
                <w:b/>
                <w:bCs/>
                <w:sz w:val="18"/>
                <w:szCs w:val="18"/>
              </w:rPr>
            </w:pPr>
            <w:r>
              <w:rPr>
                <w:rFonts w:ascii="Arial Narrow" w:hAnsi="Arial Narrow"/>
                <w:b/>
                <w:bCs/>
                <w:sz w:val="18"/>
                <w:szCs w:val="18"/>
              </w:rPr>
              <w:t>Testované dávky na príjem</w:t>
            </w:r>
          </w:p>
        </w:tc>
        <w:tc>
          <w:tcPr>
            <w:tcW w:w="709" w:type="dxa"/>
            <w:tcBorders>
              <w:top w:val="nil"/>
              <w:left w:val="nil"/>
              <w:bottom w:val="nil"/>
              <w:right w:val="nil"/>
            </w:tcBorders>
            <w:shd w:val="clear" w:color="auto" w:fill="C5E0B3" w:themeFill="accent6" w:themeFillTint="66"/>
            <w:noWrap/>
            <w:vAlign w:val="bottom"/>
            <w:hideMark/>
          </w:tcPr>
          <w:p w:rsidR="00A413E8" w:rsidRDefault="00A413E8" w:rsidP="00A413E8">
            <w:pPr>
              <w:jc w:val="right"/>
              <w:rPr>
                <w:rFonts w:ascii="Arial Narrow" w:hAnsi="Arial Narrow" w:cs="Calibri"/>
                <w:b/>
                <w:bCs/>
                <w:sz w:val="18"/>
                <w:szCs w:val="18"/>
                <w:lang w:eastAsia="sk-SK"/>
              </w:rPr>
            </w:pPr>
            <w:r>
              <w:rPr>
                <w:rFonts w:ascii="Arial Narrow" w:hAnsi="Arial Narrow" w:cs="Calibri"/>
                <w:b/>
                <w:bCs/>
                <w:sz w:val="18"/>
                <w:szCs w:val="18"/>
              </w:rPr>
              <w:t>16,5</w:t>
            </w:r>
          </w:p>
        </w:tc>
        <w:tc>
          <w:tcPr>
            <w:tcW w:w="510" w:type="dxa"/>
            <w:tcBorders>
              <w:top w:val="nil"/>
              <w:left w:val="single" w:sz="4" w:space="0" w:color="FF0000"/>
              <w:bottom w:val="nil"/>
              <w:right w:val="single" w:sz="4" w:space="0" w:color="FF0000"/>
            </w:tcBorders>
            <w:shd w:val="clear" w:color="auto" w:fill="C5E0B3" w:themeFill="accent6" w:themeFillTint="66"/>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1,1</w:t>
            </w:r>
          </w:p>
        </w:tc>
        <w:tc>
          <w:tcPr>
            <w:tcW w:w="1191" w:type="dxa"/>
            <w:tcBorders>
              <w:top w:val="nil"/>
              <w:left w:val="nil"/>
              <w:bottom w:val="nil"/>
              <w:right w:val="nil"/>
            </w:tcBorders>
            <w:shd w:val="clear" w:color="auto" w:fill="C5E0B3" w:themeFill="accent6" w:themeFillTint="66"/>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2,6</w:t>
            </w:r>
          </w:p>
        </w:tc>
        <w:tc>
          <w:tcPr>
            <w:tcW w:w="850" w:type="dxa"/>
            <w:tcBorders>
              <w:top w:val="nil"/>
              <w:left w:val="single" w:sz="4" w:space="0" w:color="FF0000"/>
              <w:bottom w:val="nil"/>
              <w:right w:val="nil"/>
            </w:tcBorders>
            <w:shd w:val="clear" w:color="auto" w:fill="C5E0B3" w:themeFill="accent6" w:themeFillTint="66"/>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4,2</w:t>
            </w:r>
          </w:p>
        </w:tc>
        <w:tc>
          <w:tcPr>
            <w:tcW w:w="426" w:type="dxa"/>
            <w:tcBorders>
              <w:top w:val="nil"/>
              <w:left w:val="single" w:sz="4" w:space="0" w:color="FF0000"/>
              <w:bottom w:val="nil"/>
              <w:right w:val="nil"/>
            </w:tcBorders>
            <w:shd w:val="clear" w:color="auto" w:fill="C5E0B3" w:themeFill="accent6" w:themeFillTint="66"/>
            <w:noWrap/>
            <w:vAlign w:val="bottom"/>
            <w:hideMark/>
          </w:tcPr>
          <w:p w:rsidR="00A413E8" w:rsidRDefault="00A413E8" w:rsidP="00A413E8">
            <w:pPr>
              <w:jc w:val="right"/>
              <w:rPr>
                <w:rFonts w:ascii="Arial Narrow" w:hAnsi="Arial Narrow" w:cs="Calibri"/>
                <w:b/>
                <w:bCs/>
                <w:sz w:val="18"/>
                <w:szCs w:val="18"/>
              </w:rPr>
            </w:pPr>
            <w:r>
              <w:rPr>
                <w:rFonts w:ascii="Arial Narrow" w:hAnsi="Arial Narrow" w:cs="Calibri"/>
                <w:b/>
                <w:bCs/>
                <w:sz w:val="18"/>
                <w:szCs w:val="18"/>
              </w:rPr>
              <w:t>0,0</w:t>
            </w:r>
          </w:p>
        </w:tc>
        <w:tc>
          <w:tcPr>
            <w:tcW w:w="761" w:type="dxa"/>
            <w:tcBorders>
              <w:top w:val="nil"/>
              <w:left w:val="single" w:sz="4" w:space="0" w:color="FF0000"/>
              <w:bottom w:val="nil"/>
              <w:right w:val="nil"/>
            </w:tcBorders>
            <w:shd w:val="clear" w:color="auto" w:fill="C5E0B3" w:themeFill="accent6" w:themeFillTint="66"/>
            <w:noWrap/>
            <w:vAlign w:val="bottom"/>
            <w:hideMark/>
          </w:tcPr>
          <w:p w:rsidR="00A413E8" w:rsidRDefault="00A413E8" w:rsidP="00D6262B">
            <w:pPr>
              <w:jc w:val="right"/>
              <w:rPr>
                <w:rFonts w:ascii="Arial Narrow" w:hAnsi="Arial Narrow" w:cs="Calibri"/>
                <w:b/>
                <w:bCs/>
                <w:sz w:val="18"/>
                <w:szCs w:val="18"/>
              </w:rPr>
            </w:pPr>
            <w:r>
              <w:rPr>
                <w:rFonts w:ascii="Arial Narrow" w:hAnsi="Arial Narrow" w:cs="Calibri"/>
                <w:b/>
                <w:bCs/>
                <w:sz w:val="18"/>
                <w:szCs w:val="18"/>
              </w:rPr>
              <w:t>103,</w:t>
            </w:r>
            <w:r w:rsidR="00D6262B">
              <w:rPr>
                <w:rFonts w:ascii="Arial Narrow" w:hAnsi="Arial Narrow" w:cs="Calibri"/>
                <w:b/>
                <w:bCs/>
                <w:sz w:val="18"/>
                <w:szCs w:val="18"/>
              </w:rPr>
              <w:t>1</w:t>
            </w:r>
          </w:p>
        </w:tc>
      </w:tr>
      <w:tr w:rsidR="00A413E8" w:rsidTr="00A413E8">
        <w:trPr>
          <w:trHeight w:val="255"/>
        </w:trPr>
        <w:tc>
          <w:tcPr>
            <w:tcW w:w="182"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A413E8" w:rsidRDefault="00A413E8" w:rsidP="00A413E8">
            <w:pPr>
              <w:rPr>
                <w:sz w:val="20"/>
                <w:szCs w:val="20"/>
              </w:rPr>
            </w:pPr>
          </w:p>
        </w:tc>
        <w:tc>
          <w:tcPr>
            <w:tcW w:w="4456" w:type="dxa"/>
            <w:gridSpan w:val="3"/>
            <w:tcBorders>
              <w:top w:val="nil"/>
              <w:left w:val="nil"/>
              <w:bottom w:val="nil"/>
              <w:right w:val="single" w:sz="4" w:space="0" w:color="FF0000"/>
            </w:tcBorders>
            <w:shd w:val="clear" w:color="auto" w:fill="auto"/>
            <w:noWrap/>
            <w:vAlign w:val="center"/>
            <w:hideMark/>
          </w:tcPr>
          <w:p w:rsidR="00A413E8" w:rsidRDefault="00A413E8" w:rsidP="00A413E8">
            <w:pPr>
              <w:rPr>
                <w:rFonts w:ascii="Arial Narrow" w:hAnsi="Arial Narrow"/>
                <w:sz w:val="18"/>
                <w:szCs w:val="18"/>
              </w:rPr>
            </w:pPr>
            <w:r>
              <w:rPr>
                <w:rFonts w:ascii="Arial Narrow" w:hAnsi="Arial Narrow"/>
                <w:sz w:val="18"/>
                <w:szCs w:val="18"/>
              </w:rPr>
              <w:t>Peňažné dávky</w:t>
            </w:r>
          </w:p>
        </w:tc>
        <w:tc>
          <w:tcPr>
            <w:tcW w:w="709"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lang w:eastAsia="sk-SK"/>
              </w:rPr>
            </w:pPr>
            <w:r>
              <w:rPr>
                <w:rFonts w:ascii="Arial Narrow" w:hAnsi="Arial Narrow" w:cs="Calibri"/>
                <w:sz w:val="18"/>
                <w:szCs w:val="18"/>
              </w:rPr>
              <w:t>16,5</w:t>
            </w:r>
          </w:p>
        </w:tc>
        <w:tc>
          <w:tcPr>
            <w:tcW w:w="510" w:type="dxa"/>
            <w:tcBorders>
              <w:top w:val="nil"/>
              <w:left w:val="single" w:sz="4" w:space="0" w:color="FF0000"/>
              <w:bottom w:val="nil"/>
              <w:right w:val="single" w:sz="4" w:space="0" w:color="FF0000"/>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1,1</w:t>
            </w:r>
          </w:p>
        </w:tc>
        <w:tc>
          <w:tcPr>
            <w:tcW w:w="1191" w:type="dxa"/>
            <w:tcBorders>
              <w:top w:val="nil"/>
              <w:left w:val="nil"/>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2,6</w:t>
            </w:r>
          </w:p>
        </w:tc>
        <w:tc>
          <w:tcPr>
            <w:tcW w:w="850"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4,2</w:t>
            </w:r>
          </w:p>
        </w:tc>
        <w:tc>
          <w:tcPr>
            <w:tcW w:w="426" w:type="dxa"/>
            <w:tcBorders>
              <w:top w:val="nil"/>
              <w:left w:val="single" w:sz="4" w:space="0" w:color="FF0000"/>
              <w:bottom w:val="nil"/>
              <w:right w:val="nil"/>
            </w:tcBorders>
            <w:shd w:val="clear" w:color="auto" w:fill="auto"/>
            <w:noWrap/>
            <w:vAlign w:val="bottom"/>
            <w:hideMark/>
          </w:tcPr>
          <w:p w:rsidR="00A413E8" w:rsidRDefault="00A413E8" w:rsidP="00A413E8">
            <w:pPr>
              <w:jc w:val="right"/>
              <w:rPr>
                <w:rFonts w:ascii="Arial Narrow" w:hAnsi="Arial Narrow" w:cs="Calibri"/>
                <w:sz w:val="18"/>
                <w:szCs w:val="18"/>
              </w:rPr>
            </w:pPr>
            <w:r>
              <w:rPr>
                <w:rFonts w:ascii="Arial Narrow" w:hAnsi="Arial Narrow" w:cs="Calibri"/>
                <w:sz w:val="18"/>
                <w:szCs w:val="18"/>
              </w:rPr>
              <w:t>0,0</w:t>
            </w:r>
          </w:p>
        </w:tc>
        <w:tc>
          <w:tcPr>
            <w:tcW w:w="761" w:type="dxa"/>
            <w:tcBorders>
              <w:top w:val="nil"/>
              <w:left w:val="single" w:sz="4" w:space="0" w:color="FF0000"/>
              <w:bottom w:val="nil"/>
              <w:right w:val="nil"/>
            </w:tcBorders>
            <w:shd w:val="clear" w:color="auto" w:fill="auto"/>
            <w:noWrap/>
            <w:vAlign w:val="bottom"/>
            <w:hideMark/>
          </w:tcPr>
          <w:p w:rsidR="00A413E8" w:rsidRDefault="00D6262B" w:rsidP="00A413E8">
            <w:pPr>
              <w:jc w:val="right"/>
              <w:rPr>
                <w:rFonts w:ascii="Arial Narrow" w:hAnsi="Arial Narrow" w:cs="Calibri"/>
                <w:sz w:val="18"/>
                <w:szCs w:val="18"/>
              </w:rPr>
            </w:pPr>
            <w:r>
              <w:rPr>
                <w:rFonts w:ascii="Arial Narrow" w:hAnsi="Arial Narrow" w:cs="Calibri"/>
                <w:sz w:val="18"/>
                <w:szCs w:val="18"/>
              </w:rPr>
              <w:t>103,1</w:t>
            </w:r>
          </w:p>
        </w:tc>
      </w:tr>
      <w:tr w:rsidR="00DA1052" w:rsidTr="00A413E8">
        <w:trPr>
          <w:trHeight w:val="255"/>
        </w:trPr>
        <w:tc>
          <w:tcPr>
            <w:tcW w:w="182" w:type="dxa"/>
            <w:tcBorders>
              <w:top w:val="nil"/>
              <w:left w:val="nil"/>
              <w:bottom w:val="nil"/>
              <w:right w:val="nil"/>
            </w:tcBorders>
            <w:shd w:val="clear" w:color="auto" w:fill="auto"/>
            <w:noWrap/>
            <w:vAlign w:val="bottom"/>
            <w:hideMark/>
          </w:tcPr>
          <w:p w:rsidR="00DA1052" w:rsidRDefault="00DA1052">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DA1052" w:rsidRDefault="00DA1052">
            <w:pPr>
              <w:rPr>
                <w:sz w:val="20"/>
                <w:szCs w:val="20"/>
              </w:rPr>
            </w:pPr>
          </w:p>
        </w:tc>
        <w:tc>
          <w:tcPr>
            <w:tcW w:w="4456" w:type="dxa"/>
            <w:gridSpan w:val="3"/>
            <w:tcBorders>
              <w:top w:val="nil"/>
              <w:left w:val="nil"/>
              <w:bottom w:val="nil"/>
              <w:right w:val="single" w:sz="4" w:space="0" w:color="FF0000"/>
            </w:tcBorders>
            <w:shd w:val="clear" w:color="auto" w:fill="auto"/>
            <w:noWrap/>
            <w:vAlign w:val="center"/>
            <w:hideMark/>
          </w:tcPr>
          <w:p w:rsidR="00DA1052" w:rsidRDefault="00DA1052">
            <w:pPr>
              <w:rPr>
                <w:rFonts w:ascii="Arial Narrow" w:hAnsi="Arial Narrow"/>
                <w:sz w:val="18"/>
                <w:szCs w:val="18"/>
              </w:rPr>
            </w:pPr>
            <w:r>
              <w:rPr>
                <w:rFonts w:ascii="Arial Narrow" w:hAnsi="Arial Narrow"/>
                <w:sz w:val="18"/>
                <w:szCs w:val="18"/>
              </w:rPr>
              <w:t>Vecné dávky</w:t>
            </w:r>
          </w:p>
        </w:tc>
        <w:tc>
          <w:tcPr>
            <w:tcW w:w="709" w:type="dxa"/>
            <w:tcBorders>
              <w:top w:val="nil"/>
              <w:left w:val="nil"/>
              <w:bottom w:val="nil"/>
              <w:right w:val="nil"/>
            </w:tcBorders>
            <w:shd w:val="clear" w:color="auto" w:fill="auto"/>
            <w:noWrap/>
            <w:vAlign w:val="bottom"/>
            <w:hideMark/>
          </w:tcPr>
          <w:p w:rsidR="00DA1052" w:rsidRDefault="00DA1052">
            <w:pPr>
              <w:jc w:val="right"/>
              <w:rPr>
                <w:rFonts w:ascii="Arial Narrow" w:hAnsi="Arial Narrow"/>
                <w:sz w:val="18"/>
                <w:szCs w:val="18"/>
              </w:rPr>
            </w:pPr>
            <w:r>
              <w:rPr>
                <w:rFonts w:ascii="Arial Narrow" w:hAnsi="Arial Narrow"/>
                <w:sz w:val="18"/>
                <w:szCs w:val="18"/>
              </w:rPr>
              <w:t>0,0</w:t>
            </w:r>
          </w:p>
        </w:tc>
        <w:tc>
          <w:tcPr>
            <w:tcW w:w="510" w:type="dxa"/>
            <w:tcBorders>
              <w:top w:val="nil"/>
              <w:left w:val="single" w:sz="4" w:space="0" w:color="FF0000"/>
              <w:bottom w:val="nil"/>
              <w:right w:val="single" w:sz="4" w:space="0" w:color="FF0000"/>
            </w:tcBorders>
            <w:shd w:val="clear" w:color="auto" w:fill="auto"/>
            <w:noWrap/>
            <w:vAlign w:val="bottom"/>
            <w:hideMark/>
          </w:tcPr>
          <w:p w:rsidR="00DA1052" w:rsidRDefault="00DA1052">
            <w:pPr>
              <w:jc w:val="right"/>
              <w:rPr>
                <w:rFonts w:ascii="Arial Narrow" w:hAnsi="Arial Narrow"/>
                <w:sz w:val="18"/>
                <w:szCs w:val="18"/>
              </w:rPr>
            </w:pPr>
            <w:r>
              <w:rPr>
                <w:rFonts w:ascii="Arial Narrow" w:hAnsi="Arial Narrow"/>
                <w:sz w:val="18"/>
                <w:szCs w:val="18"/>
              </w:rPr>
              <w:t>0,0</w:t>
            </w:r>
          </w:p>
        </w:tc>
        <w:tc>
          <w:tcPr>
            <w:tcW w:w="1191" w:type="dxa"/>
            <w:tcBorders>
              <w:top w:val="nil"/>
              <w:left w:val="nil"/>
              <w:bottom w:val="nil"/>
              <w:right w:val="nil"/>
            </w:tcBorders>
            <w:shd w:val="clear" w:color="auto" w:fill="auto"/>
            <w:noWrap/>
            <w:vAlign w:val="bottom"/>
            <w:hideMark/>
          </w:tcPr>
          <w:p w:rsidR="00DA1052" w:rsidRDefault="00DA1052">
            <w:pPr>
              <w:jc w:val="right"/>
              <w:rPr>
                <w:rFonts w:ascii="Arial Narrow" w:hAnsi="Arial Narrow"/>
                <w:sz w:val="18"/>
                <w:szCs w:val="18"/>
              </w:rPr>
            </w:pPr>
            <w:r>
              <w:rPr>
                <w:rFonts w:ascii="Arial Narrow" w:hAnsi="Arial Narrow"/>
                <w:sz w:val="18"/>
                <w:szCs w:val="18"/>
              </w:rPr>
              <w:t>0,0</w:t>
            </w:r>
          </w:p>
        </w:tc>
        <w:tc>
          <w:tcPr>
            <w:tcW w:w="850" w:type="dxa"/>
            <w:tcBorders>
              <w:top w:val="nil"/>
              <w:left w:val="single" w:sz="4" w:space="0" w:color="FF0000"/>
              <w:bottom w:val="nil"/>
              <w:right w:val="nil"/>
            </w:tcBorders>
            <w:shd w:val="clear" w:color="auto" w:fill="auto"/>
            <w:noWrap/>
            <w:vAlign w:val="bottom"/>
            <w:hideMark/>
          </w:tcPr>
          <w:p w:rsidR="00DA1052" w:rsidRDefault="00DA1052">
            <w:pPr>
              <w:jc w:val="right"/>
              <w:rPr>
                <w:rFonts w:ascii="Arial Narrow" w:hAnsi="Arial Narrow"/>
                <w:sz w:val="18"/>
                <w:szCs w:val="18"/>
              </w:rPr>
            </w:pPr>
            <w:r>
              <w:rPr>
                <w:rFonts w:ascii="Arial Narrow" w:hAnsi="Arial Narrow"/>
                <w:sz w:val="18"/>
                <w:szCs w:val="18"/>
              </w:rPr>
              <w:t>0,0</w:t>
            </w:r>
          </w:p>
        </w:tc>
        <w:tc>
          <w:tcPr>
            <w:tcW w:w="426" w:type="dxa"/>
            <w:tcBorders>
              <w:top w:val="nil"/>
              <w:left w:val="single" w:sz="4" w:space="0" w:color="FF0000"/>
              <w:bottom w:val="nil"/>
              <w:right w:val="nil"/>
            </w:tcBorders>
            <w:shd w:val="clear" w:color="auto" w:fill="auto"/>
            <w:noWrap/>
            <w:vAlign w:val="bottom"/>
            <w:hideMark/>
          </w:tcPr>
          <w:p w:rsidR="00DA1052" w:rsidRDefault="00DA1052">
            <w:pPr>
              <w:jc w:val="right"/>
              <w:rPr>
                <w:rFonts w:ascii="Arial Narrow" w:hAnsi="Arial Narrow"/>
                <w:sz w:val="18"/>
                <w:szCs w:val="18"/>
              </w:rPr>
            </w:pPr>
            <w:r>
              <w:rPr>
                <w:rFonts w:ascii="Arial Narrow" w:hAnsi="Arial Narrow"/>
                <w:sz w:val="18"/>
                <w:szCs w:val="18"/>
              </w:rPr>
              <w:t>0,0</w:t>
            </w:r>
          </w:p>
        </w:tc>
        <w:tc>
          <w:tcPr>
            <w:tcW w:w="761" w:type="dxa"/>
            <w:tcBorders>
              <w:top w:val="nil"/>
              <w:left w:val="single" w:sz="4" w:space="0" w:color="FF0000"/>
              <w:bottom w:val="nil"/>
              <w:right w:val="nil"/>
            </w:tcBorders>
            <w:shd w:val="clear" w:color="auto" w:fill="auto"/>
            <w:noWrap/>
            <w:vAlign w:val="bottom"/>
            <w:hideMark/>
          </w:tcPr>
          <w:p w:rsidR="00DA1052" w:rsidRPr="00A413E8" w:rsidRDefault="00DA1052">
            <w:pPr>
              <w:jc w:val="right"/>
              <w:rPr>
                <w:rFonts w:ascii="Arial Narrow" w:hAnsi="Arial Narrow"/>
                <w:bCs/>
                <w:sz w:val="18"/>
                <w:szCs w:val="18"/>
              </w:rPr>
            </w:pPr>
            <w:r w:rsidRPr="00A413E8">
              <w:rPr>
                <w:rFonts w:ascii="Arial Narrow" w:hAnsi="Arial Narrow"/>
                <w:bCs/>
                <w:sz w:val="18"/>
                <w:szCs w:val="18"/>
              </w:rPr>
              <w:t>x</w:t>
            </w:r>
          </w:p>
        </w:tc>
      </w:tr>
    </w:tbl>
    <w:p w:rsidR="005930F1" w:rsidRPr="00D2265B" w:rsidRDefault="005930F1" w:rsidP="00813F36">
      <w:pPr>
        <w:rPr>
          <w:rFonts w:ascii="Arial Narrow" w:hAnsi="Arial Narrow"/>
          <w:noProof/>
          <w:sz w:val="10"/>
          <w:szCs w:val="10"/>
          <w:lang w:eastAsia="sk-SK"/>
        </w:rPr>
      </w:pPr>
    </w:p>
    <w:p w:rsidR="00D2265B" w:rsidRDefault="00D2265B" w:rsidP="00D2265B">
      <w:pPr>
        <w:rPr>
          <w:rFonts w:ascii="Arial Narrow" w:hAnsi="Arial Narrow"/>
          <w:i/>
          <w:sz w:val="16"/>
          <w:szCs w:val="16"/>
        </w:rPr>
      </w:pPr>
      <w:r w:rsidRPr="00133A2B">
        <w:rPr>
          <w:rFonts w:ascii="Arial Narrow" w:hAnsi="Arial Narrow"/>
          <w:i/>
          <w:sz w:val="16"/>
          <w:szCs w:val="16"/>
        </w:rPr>
        <w:t xml:space="preserve">Zdroj: ŠÚ SR </w:t>
      </w:r>
      <w:r>
        <w:rPr>
          <w:rFonts w:ascii="Arial Narrow" w:hAnsi="Arial Narrow"/>
          <w:i/>
          <w:sz w:val="16"/>
          <w:szCs w:val="16"/>
        </w:rPr>
        <w:t>–</w:t>
      </w:r>
      <w:r w:rsidRPr="00133A2B">
        <w:rPr>
          <w:rFonts w:ascii="Arial Narrow" w:hAnsi="Arial Narrow"/>
          <w:i/>
          <w:sz w:val="16"/>
          <w:szCs w:val="16"/>
        </w:rPr>
        <w:t xml:space="preserve"> ESSPRO</w:t>
      </w:r>
      <w:r>
        <w:rPr>
          <w:rFonts w:ascii="Arial Narrow" w:hAnsi="Arial Narrow"/>
          <w:i/>
          <w:sz w:val="16"/>
          <w:szCs w:val="16"/>
        </w:rPr>
        <w:t>S</w:t>
      </w:r>
    </w:p>
    <w:p w:rsidR="00D2265B" w:rsidRDefault="00133A2B" w:rsidP="00813F36">
      <w:pPr>
        <w:rPr>
          <w:rFonts w:ascii="Arial Narrow" w:hAnsi="Arial Narrow"/>
          <w:i/>
          <w:sz w:val="16"/>
          <w:szCs w:val="16"/>
        </w:rPr>
      </w:pPr>
      <w:r>
        <w:rPr>
          <w:rFonts w:ascii="Arial Narrow" w:hAnsi="Arial Narrow"/>
          <w:sz w:val="16"/>
          <w:szCs w:val="16"/>
        </w:rPr>
        <w:t>*</w:t>
      </w:r>
      <w:r w:rsidRPr="00133A2B">
        <w:rPr>
          <w:rFonts w:ascii="Arial Narrow" w:hAnsi="Arial Narrow"/>
          <w:i/>
          <w:sz w:val="16"/>
          <w:szCs w:val="16"/>
        </w:rPr>
        <w:t>vrátane daňového bonusu na dieťa</w:t>
      </w:r>
      <w:r w:rsidRPr="00133A2B">
        <w:rPr>
          <w:rFonts w:ascii="Arial Narrow" w:hAnsi="Arial Narrow"/>
          <w:i/>
          <w:sz w:val="16"/>
          <w:szCs w:val="16"/>
        </w:rPr>
        <w:tab/>
      </w:r>
    </w:p>
    <w:p w:rsidR="00D2265B" w:rsidRPr="00133A2B" w:rsidRDefault="00133A2B" w:rsidP="00813F36">
      <w:pPr>
        <w:rPr>
          <w:rFonts w:ascii="Arial Narrow" w:hAnsi="Arial Narrow"/>
          <w:sz w:val="16"/>
          <w:szCs w:val="16"/>
        </w:rPr>
      </w:pP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t xml:space="preserve">         </w:t>
      </w:r>
    </w:p>
    <w:p w:rsidR="002C3124" w:rsidRDefault="002C3124" w:rsidP="00CA10F3">
      <w:pPr>
        <w:ind w:firstLine="708"/>
        <w:jc w:val="both"/>
        <w:rPr>
          <w:rFonts w:ascii="Arial Narrow" w:hAnsi="Arial Narrow" w:cs="Arial"/>
          <w:sz w:val="22"/>
          <w:szCs w:val="20"/>
        </w:rPr>
      </w:pPr>
      <w:r w:rsidRPr="00D2265B">
        <w:rPr>
          <w:rFonts w:ascii="Arial Narrow" w:hAnsi="Arial Narrow" w:cs="Arial"/>
          <w:sz w:val="22"/>
          <w:szCs w:val="20"/>
        </w:rPr>
        <w:t>Výdavky na účel rodina/deti v roku 201</w:t>
      </w:r>
      <w:r w:rsidR="006518E3" w:rsidRPr="00D2265B">
        <w:rPr>
          <w:rFonts w:ascii="Arial Narrow" w:hAnsi="Arial Narrow" w:cs="Arial"/>
          <w:sz w:val="22"/>
          <w:szCs w:val="20"/>
        </w:rPr>
        <w:t>9</w:t>
      </w:r>
      <w:r w:rsidR="00DF7D15" w:rsidRPr="00D2265B">
        <w:rPr>
          <w:rFonts w:ascii="Arial Narrow" w:hAnsi="Arial Narrow" w:cs="Arial"/>
          <w:sz w:val="22"/>
          <w:szCs w:val="20"/>
        </w:rPr>
        <w:t xml:space="preserve"> dosiahli 1 </w:t>
      </w:r>
      <w:r w:rsidR="006518E3" w:rsidRPr="00D2265B">
        <w:rPr>
          <w:rFonts w:ascii="Arial Narrow" w:hAnsi="Arial Narrow" w:cs="Arial"/>
          <w:sz w:val="22"/>
          <w:szCs w:val="20"/>
        </w:rPr>
        <w:t>514</w:t>
      </w:r>
      <w:r w:rsidRPr="00D2265B">
        <w:rPr>
          <w:rFonts w:ascii="Arial Narrow" w:hAnsi="Arial Narrow" w:cs="Arial"/>
          <w:sz w:val="22"/>
          <w:szCs w:val="20"/>
        </w:rPr>
        <w:t>,</w:t>
      </w:r>
      <w:r w:rsidR="006518E3" w:rsidRPr="00D2265B">
        <w:rPr>
          <w:rFonts w:ascii="Arial Narrow" w:hAnsi="Arial Narrow" w:cs="Arial"/>
          <w:sz w:val="22"/>
          <w:szCs w:val="20"/>
        </w:rPr>
        <w:t>8</w:t>
      </w:r>
      <w:r w:rsidRPr="00D2265B">
        <w:rPr>
          <w:rFonts w:ascii="Arial Narrow" w:hAnsi="Arial Narrow" w:cs="Arial"/>
          <w:sz w:val="22"/>
          <w:szCs w:val="20"/>
        </w:rPr>
        <w:t xml:space="preserve"> mil. eur </w:t>
      </w:r>
      <w:r w:rsidR="00DF7D15" w:rsidRPr="00D2265B">
        <w:rPr>
          <w:rFonts w:ascii="Arial Narrow" w:hAnsi="Arial Narrow" w:cs="Arial"/>
          <w:sz w:val="22"/>
          <w:szCs w:val="20"/>
        </w:rPr>
        <w:t>(1,6 % HDP)</w:t>
      </w:r>
      <w:r w:rsidR="0024263E" w:rsidRPr="00D2265B">
        <w:rPr>
          <w:rFonts w:ascii="Arial Narrow" w:hAnsi="Arial Narrow" w:cs="Arial"/>
          <w:sz w:val="22"/>
          <w:szCs w:val="20"/>
        </w:rPr>
        <w:t xml:space="preserve">. </w:t>
      </w:r>
      <w:r w:rsidR="00CD5C4B" w:rsidRPr="00D2265B">
        <w:rPr>
          <w:rFonts w:ascii="Arial Narrow" w:hAnsi="Arial Narrow" w:cs="Arial"/>
          <w:sz w:val="22"/>
          <w:szCs w:val="20"/>
        </w:rPr>
        <w:t>M</w:t>
      </w:r>
      <w:r w:rsidR="006518E3" w:rsidRPr="00D2265B">
        <w:rPr>
          <w:rFonts w:ascii="Arial Narrow" w:hAnsi="Arial Narrow" w:cs="Arial"/>
          <w:sz w:val="22"/>
          <w:szCs w:val="20"/>
        </w:rPr>
        <w:t>edziročne sa výdavky zvýšili o 9</w:t>
      </w:r>
      <w:r w:rsidR="00CD5C4B" w:rsidRPr="00D2265B">
        <w:rPr>
          <w:rFonts w:ascii="Arial Narrow" w:hAnsi="Arial Narrow" w:cs="Arial"/>
          <w:sz w:val="22"/>
          <w:szCs w:val="20"/>
        </w:rPr>
        <w:t>,</w:t>
      </w:r>
      <w:r w:rsidR="006518E3" w:rsidRPr="00D2265B">
        <w:rPr>
          <w:rFonts w:ascii="Arial Narrow" w:hAnsi="Arial Narrow" w:cs="Arial"/>
          <w:sz w:val="22"/>
          <w:szCs w:val="20"/>
        </w:rPr>
        <w:t>7</w:t>
      </w:r>
      <w:r w:rsidR="00CD5C4B" w:rsidRPr="00D2265B">
        <w:rPr>
          <w:rFonts w:ascii="Arial Narrow" w:hAnsi="Arial Narrow" w:cs="Arial"/>
          <w:sz w:val="22"/>
          <w:szCs w:val="20"/>
        </w:rPr>
        <w:t xml:space="preserve"> %.</w:t>
      </w:r>
    </w:p>
    <w:p w:rsidR="00C30D7F" w:rsidRPr="00D2265B" w:rsidRDefault="00C30D7F" w:rsidP="00CA10F3">
      <w:pPr>
        <w:ind w:firstLine="708"/>
        <w:jc w:val="both"/>
        <w:rPr>
          <w:rFonts w:ascii="Arial Narrow" w:hAnsi="Arial Narrow" w:cs="Arial"/>
          <w:sz w:val="22"/>
          <w:szCs w:val="20"/>
        </w:rPr>
      </w:pPr>
    </w:p>
    <w:p w:rsidR="002C3124" w:rsidRPr="00D2265B" w:rsidRDefault="002C3124" w:rsidP="00CA10F3">
      <w:pPr>
        <w:ind w:firstLine="708"/>
        <w:jc w:val="both"/>
        <w:rPr>
          <w:rFonts w:ascii="Arial Narrow" w:hAnsi="Arial Narrow"/>
          <w:sz w:val="22"/>
          <w:szCs w:val="20"/>
        </w:rPr>
      </w:pPr>
      <w:r w:rsidRPr="00D2265B">
        <w:rPr>
          <w:rFonts w:ascii="Arial Narrow" w:hAnsi="Arial Narrow"/>
          <w:sz w:val="22"/>
          <w:szCs w:val="20"/>
        </w:rPr>
        <w:t>V roku 201</w:t>
      </w:r>
      <w:r w:rsidR="006518E3" w:rsidRPr="00D2265B">
        <w:rPr>
          <w:rFonts w:ascii="Arial Narrow" w:hAnsi="Arial Narrow"/>
          <w:sz w:val="22"/>
          <w:szCs w:val="20"/>
        </w:rPr>
        <w:t>9</w:t>
      </w:r>
      <w:r w:rsidRPr="00D2265B">
        <w:rPr>
          <w:rFonts w:ascii="Arial Narrow" w:hAnsi="Arial Narrow"/>
          <w:sz w:val="22"/>
          <w:szCs w:val="20"/>
        </w:rPr>
        <w:t xml:space="preserve"> bol podiel výdavkov </w:t>
      </w:r>
      <w:r w:rsidR="00CA10F3">
        <w:rPr>
          <w:rFonts w:ascii="Arial Narrow" w:hAnsi="Arial Narrow"/>
          <w:sz w:val="22"/>
          <w:szCs w:val="20"/>
        </w:rPr>
        <w:t xml:space="preserve">na </w:t>
      </w:r>
      <w:r w:rsidR="00CA10F3" w:rsidRPr="00D2265B">
        <w:rPr>
          <w:rFonts w:ascii="Arial Narrow" w:hAnsi="Arial Narrow"/>
          <w:sz w:val="22"/>
          <w:szCs w:val="20"/>
        </w:rPr>
        <w:t>rodinné prídavky (vrátane daňového bonusu na dieťa) 39,7 %</w:t>
      </w:r>
      <w:r w:rsidR="00CA10F3">
        <w:rPr>
          <w:rFonts w:ascii="Arial Narrow" w:hAnsi="Arial Narrow"/>
          <w:sz w:val="22"/>
          <w:szCs w:val="20"/>
        </w:rPr>
        <w:t xml:space="preserve">, </w:t>
      </w:r>
      <w:r w:rsidRPr="00D2265B">
        <w:rPr>
          <w:rFonts w:ascii="Arial Narrow" w:hAnsi="Arial Narrow"/>
          <w:sz w:val="22"/>
          <w:szCs w:val="20"/>
        </w:rPr>
        <w:t xml:space="preserve">na </w:t>
      </w:r>
      <w:r w:rsidR="000F5968" w:rsidRPr="00D2265B">
        <w:rPr>
          <w:rFonts w:ascii="Arial Narrow" w:hAnsi="Arial Narrow"/>
          <w:sz w:val="22"/>
          <w:szCs w:val="20"/>
        </w:rPr>
        <w:t>rodičovskú dovolenku</w:t>
      </w:r>
      <w:r w:rsidRPr="00D2265B">
        <w:rPr>
          <w:rFonts w:ascii="Arial Narrow" w:hAnsi="Arial Narrow"/>
          <w:sz w:val="22"/>
          <w:szCs w:val="20"/>
        </w:rPr>
        <w:t xml:space="preserve"> </w:t>
      </w:r>
      <w:r w:rsidR="002C3EF2" w:rsidRPr="00D2265B">
        <w:rPr>
          <w:rFonts w:ascii="Arial Narrow" w:hAnsi="Arial Narrow"/>
          <w:sz w:val="22"/>
          <w:szCs w:val="20"/>
        </w:rPr>
        <w:t xml:space="preserve">(rodičovský príspevok) </w:t>
      </w:r>
      <w:r w:rsidR="000F5968" w:rsidRPr="00D2265B">
        <w:rPr>
          <w:rFonts w:ascii="Arial Narrow" w:hAnsi="Arial Narrow"/>
          <w:sz w:val="22"/>
          <w:szCs w:val="20"/>
        </w:rPr>
        <w:t>2</w:t>
      </w:r>
      <w:r w:rsidR="006518E3" w:rsidRPr="00D2265B">
        <w:rPr>
          <w:rFonts w:ascii="Arial Narrow" w:hAnsi="Arial Narrow"/>
          <w:sz w:val="22"/>
          <w:szCs w:val="20"/>
        </w:rPr>
        <w:t>4</w:t>
      </w:r>
      <w:r w:rsidR="000F5968" w:rsidRPr="00D2265B">
        <w:rPr>
          <w:rFonts w:ascii="Arial Narrow" w:hAnsi="Arial Narrow"/>
          <w:sz w:val="22"/>
          <w:szCs w:val="20"/>
        </w:rPr>
        <w:t>,</w:t>
      </w:r>
      <w:r w:rsidR="00D140F9" w:rsidRPr="00D2265B">
        <w:rPr>
          <w:rFonts w:ascii="Arial Narrow" w:hAnsi="Arial Narrow"/>
          <w:sz w:val="22"/>
          <w:szCs w:val="20"/>
        </w:rPr>
        <w:t>6</w:t>
      </w:r>
      <w:r w:rsidR="00CA10F3">
        <w:rPr>
          <w:rFonts w:ascii="Arial Narrow" w:hAnsi="Arial Narrow"/>
          <w:sz w:val="22"/>
          <w:szCs w:val="20"/>
        </w:rPr>
        <w:t xml:space="preserve"> % </w:t>
      </w:r>
      <w:r w:rsidR="009A1986" w:rsidRPr="00D2265B">
        <w:rPr>
          <w:rFonts w:ascii="Arial Narrow" w:hAnsi="Arial Narrow"/>
          <w:sz w:val="22"/>
          <w:szCs w:val="20"/>
        </w:rPr>
        <w:t>a na</w:t>
      </w:r>
      <w:r w:rsidRPr="00D2265B">
        <w:rPr>
          <w:rFonts w:ascii="Arial Narrow" w:hAnsi="Arial Narrow"/>
          <w:sz w:val="22"/>
          <w:szCs w:val="20"/>
        </w:rPr>
        <w:t xml:space="preserve"> </w:t>
      </w:r>
      <w:r w:rsidR="002C3EF2" w:rsidRPr="00D2265B">
        <w:rPr>
          <w:rFonts w:ascii="Arial Narrow" w:hAnsi="Arial Narrow"/>
          <w:sz w:val="22"/>
          <w:szCs w:val="20"/>
        </w:rPr>
        <w:t xml:space="preserve">jednorazovú finančnú podporu pri narodení </w:t>
      </w:r>
      <w:r w:rsidR="003272A8" w:rsidRPr="00D2265B">
        <w:rPr>
          <w:rFonts w:ascii="Arial Narrow" w:hAnsi="Arial Narrow"/>
          <w:sz w:val="22"/>
          <w:szCs w:val="20"/>
        </w:rPr>
        <w:t xml:space="preserve">dieťaťa </w:t>
      </w:r>
      <w:r w:rsidR="003A1BB1" w:rsidRPr="00D2265B">
        <w:rPr>
          <w:rFonts w:ascii="Arial Narrow" w:hAnsi="Arial Narrow"/>
          <w:sz w:val="22"/>
          <w:szCs w:val="20"/>
        </w:rPr>
        <w:t>3,0</w:t>
      </w:r>
      <w:r w:rsidR="002C3EF2" w:rsidRPr="00D2265B">
        <w:rPr>
          <w:rFonts w:ascii="Arial Narrow" w:hAnsi="Arial Narrow"/>
          <w:sz w:val="22"/>
          <w:szCs w:val="20"/>
        </w:rPr>
        <w:t xml:space="preserve"> %. Z vecných dávok </w:t>
      </w:r>
      <w:r w:rsidR="009A1986" w:rsidRPr="00D2265B">
        <w:rPr>
          <w:rFonts w:ascii="Arial Narrow" w:hAnsi="Arial Narrow"/>
          <w:sz w:val="22"/>
          <w:szCs w:val="20"/>
        </w:rPr>
        <w:t>výdavky na</w:t>
      </w:r>
      <w:r w:rsidR="008F1D09" w:rsidRPr="00D2265B">
        <w:rPr>
          <w:rFonts w:ascii="Arial Narrow" w:hAnsi="Arial Narrow"/>
          <w:sz w:val="22"/>
          <w:szCs w:val="20"/>
        </w:rPr>
        <w:t xml:space="preserve"> ubytovanie (detské domovy a iné sociálne zariadenia pre matky s deťmi) tvorili 5,</w:t>
      </w:r>
      <w:r w:rsidR="003A1BB1" w:rsidRPr="00D2265B">
        <w:rPr>
          <w:rFonts w:ascii="Arial Narrow" w:hAnsi="Arial Narrow"/>
          <w:sz w:val="22"/>
          <w:szCs w:val="20"/>
        </w:rPr>
        <w:t>4</w:t>
      </w:r>
      <w:r w:rsidR="008F1D09" w:rsidRPr="00D2265B">
        <w:rPr>
          <w:rFonts w:ascii="Arial Narrow" w:hAnsi="Arial Narrow"/>
          <w:sz w:val="22"/>
          <w:szCs w:val="20"/>
        </w:rPr>
        <w:t xml:space="preserve"> %. Do </w:t>
      </w:r>
      <w:r w:rsidR="009C63A3" w:rsidRPr="00D2265B">
        <w:rPr>
          <w:rFonts w:ascii="Arial Narrow" w:hAnsi="Arial Narrow"/>
          <w:sz w:val="22"/>
          <w:szCs w:val="20"/>
        </w:rPr>
        <w:t>výdavkov na</w:t>
      </w:r>
      <w:r w:rsidR="008F1D09" w:rsidRPr="00D2265B">
        <w:rPr>
          <w:rFonts w:ascii="Arial Narrow" w:hAnsi="Arial Narrow"/>
          <w:sz w:val="22"/>
          <w:szCs w:val="20"/>
        </w:rPr>
        <w:t xml:space="preserve"> denn</w:t>
      </w:r>
      <w:r w:rsidR="009C63A3" w:rsidRPr="00D2265B">
        <w:rPr>
          <w:rFonts w:ascii="Arial Narrow" w:hAnsi="Arial Narrow"/>
          <w:sz w:val="22"/>
          <w:szCs w:val="20"/>
        </w:rPr>
        <w:t>ú</w:t>
      </w:r>
      <w:r w:rsidR="008F1D09" w:rsidRPr="00D2265B">
        <w:rPr>
          <w:rFonts w:ascii="Arial Narrow" w:hAnsi="Arial Narrow"/>
          <w:sz w:val="22"/>
          <w:szCs w:val="20"/>
        </w:rPr>
        <w:t xml:space="preserve"> starostlivosť boli zaradené </w:t>
      </w:r>
      <w:r w:rsidR="00F03262" w:rsidRPr="00D2265B">
        <w:rPr>
          <w:rFonts w:ascii="Arial Narrow" w:hAnsi="Arial Narrow"/>
          <w:sz w:val="22"/>
          <w:szCs w:val="20"/>
        </w:rPr>
        <w:t xml:space="preserve">aj </w:t>
      </w:r>
      <w:r w:rsidR="008F1D09" w:rsidRPr="00D2265B">
        <w:rPr>
          <w:rFonts w:ascii="Arial Narrow" w:hAnsi="Arial Narrow"/>
          <w:sz w:val="22"/>
          <w:szCs w:val="20"/>
        </w:rPr>
        <w:t>výdavky obcí na jasle</w:t>
      </w:r>
      <w:r w:rsidR="00FB3988" w:rsidRPr="00D2265B">
        <w:rPr>
          <w:rFonts w:ascii="Arial Narrow" w:hAnsi="Arial Narrow"/>
          <w:sz w:val="22"/>
          <w:szCs w:val="20"/>
        </w:rPr>
        <w:t xml:space="preserve"> </w:t>
      </w:r>
      <w:r w:rsidR="00F03262" w:rsidRPr="00D2265B">
        <w:rPr>
          <w:rFonts w:ascii="Arial Narrow" w:hAnsi="Arial Narrow"/>
          <w:sz w:val="22"/>
          <w:szCs w:val="20"/>
        </w:rPr>
        <w:t xml:space="preserve">a škôlky </w:t>
      </w:r>
      <w:r w:rsidR="008F1D09" w:rsidRPr="00D2265B">
        <w:rPr>
          <w:rFonts w:ascii="Arial Narrow" w:hAnsi="Arial Narrow"/>
          <w:sz w:val="22"/>
          <w:szCs w:val="20"/>
        </w:rPr>
        <w:t>(</w:t>
      </w:r>
      <w:r w:rsidR="00F03262" w:rsidRPr="00D2265B">
        <w:rPr>
          <w:rFonts w:ascii="Arial Narrow" w:hAnsi="Arial Narrow"/>
          <w:sz w:val="22"/>
          <w:szCs w:val="20"/>
        </w:rPr>
        <w:t>2</w:t>
      </w:r>
      <w:r w:rsidR="003A1BB1" w:rsidRPr="00D2265B">
        <w:rPr>
          <w:rFonts w:ascii="Arial Narrow" w:hAnsi="Arial Narrow"/>
          <w:sz w:val="22"/>
          <w:szCs w:val="20"/>
        </w:rPr>
        <w:t>,8</w:t>
      </w:r>
      <w:r w:rsidR="008F1D09" w:rsidRPr="00D2265B">
        <w:rPr>
          <w:rFonts w:ascii="Arial Narrow" w:hAnsi="Arial Narrow"/>
          <w:sz w:val="22"/>
          <w:szCs w:val="20"/>
        </w:rPr>
        <w:t xml:space="preserve"> %). </w:t>
      </w:r>
    </w:p>
    <w:p w:rsidR="002C3124" w:rsidRPr="00C30D7F" w:rsidRDefault="002C3124" w:rsidP="00834055">
      <w:pPr>
        <w:pStyle w:val="Nadpis6"/>
        <w:jc w:val="left"/>
        <w:rPr>
          <w:rFonts w:ascii="Arial Narrow" w:hAnsi="Arial Narrow"/>
          <w:sz w:val="10"/>
          <w:szCs w:val="10"/>
          <w:highlight w:val="cyan"/>
        </w:rPr>
      </w:pPr>
    </w:p>
    <w:p w:rsidR="00105D60" w:rsidRDefault="00105D60" w:rsidP="00C30D7F">
      <w:pPr>
        <w:pStyle w:val="Nadpis6"/>
        <w:jc w:val="left"/>
        <w:rPr>
          <w:rFonts w:ascii="Arial Narrow" w:hAnsi="Arial Narrow"/>
          <w:sz w:val="20"/>
          <w:szCs w:val="20"/>
        </w:rPr>
      </w:pPr>
    </w:p>
    <w:p w:rsidR="00105D60" w:rsidRDefault="00105D60" w:rsidP="00C30D7F">
      <w:pPr>
        <w:pStyle w:val="Nadpis6"/>
        <w:jc w:val="left"/>
        <w:rPr>
          <w:rFonts w:ascii="Arial Narrow" w:hAnsi="Arial Narrow"/>
          <w:sz w:val="20"/>
          <w:szCs w:val="20"/>
        </w:rPr>
      </w:pPr>
    </w:p>
    <w:p w:rsidR="00105D60" w:rsidRDefault="00105D60" w:rsidP="00C30D7F">
      <w:pPr>
        <w:pStyle w:val="Nadpis6"/>
        <w:jc w:val="left"/>
        <w:rPr>
          <w:rFonts w:ascii="Arial Narrow" w:hAnsi="Arial Narrow"/>
          <w:sz w:val="20"/>
          <w:szCs w:val="20"/>
        </w:rPr>
      </w:pPr>
    </w:p>
    <w:p w:rsidR="00105D60" w:rsidRDefault="00105D60" w:rsidP="00C30D7F">
      <w:pPr>
        <w:pStyle w:val="Nadpis6"/>
        <w:jc w:val="left"/>
        <w:rPr>
          <w:rFonts w:ascii="Arial Narrow" w:hAnsi="Arial Narrow"/>
          <w:sz w:val="20"/>
          <w:szCs w:val="20"/>
        </w:rPr>
      </w:pPr>
    </w:p>
    <w:p w:rsidR="00105D60" w:rsidRDefault="00105D60" w:rsidP="00C30D7F">
      <w:pPr>
        <w:pStyle w:val="Nadpis6"/>
        <w:jc w:val="left"/>
        <w:rPr>
          <w:rFonts w:ascii="Arial Narrow" w:hAnsi="Arial Narrow"/>
          <w:sz w:val="20"/>
          <w:szCs w:val="20"/>
        </w:rPr>
      </w:pPr>
    </w:p>
    <w:p w:rsidR="00105D60" w:rsidRDefault="00105D60" w:rsidP="00C30D7F">
      <w:pPr>
        <w:pStyle w:val="Nadpis6"/>
        <w:jc w:val="left"/>
        <w:rPr>
          <w:rFonts w:ascii="Arial Narrow" w:hAnsi="Arial Narrow"/>
          <w:sz w:val="20"/>
          <w:szCs w:val="20"/>
        </w:rPr>
      </w:pPr>
    </w:p>
    <w:p w:rsidR="00105D60" w:rsidRDefault="00105D60" w:rsidP="00C30D7F">
      <w:pPr>
        <w:pStyle w:val="Nadpis6"/>
        <w:jc w:val="left"/>
        <w:rPr>
          <w:rFonts w:ascii="Arial Narrow" w:hAnsi="Arial Narrow"/>
          <w:sz w:val="20"/>
          <w:szCs w:val="20"/>
        </w:rPr>
      </w:pPr>
    </w:p>
    <w:p w:rsidR="00105D60" w:rsidRDefault="00105D60" w:rsidP="00C30D7F">
      <w:pPr>
        <w:pStyle w:val="Nadpis6"/>
        <w:jc w:val="left"/>
        <w:rPr>
          <w:rFonts w:ascii="Arial Narrow" w:hAnsi="Arial Narrow"/>
          <w:sz w:val="20"/>
          <w:szCs w:val="20"/>
        </w:rPr>
      </w:pPr>
    </w:p>
    <w:p w:rsidR="00105D60" w:rsidRDefault="00105D60" w:rsidP="00C30D7F">
      <w:pPr>
        <w:pStyle w:val="Nadpis6"/>
        <w:jc w:val="left"/>
        <w:rPr>
          <w:rFonts w:ascii="Arial Narrow" w:hAnsi="Arial Narrow"/>
          <w:sz w:val="20"/>
          <w:szCs w:val="20"/>
        </w:rPr>
      </w:pPr>
    </w:p>
    <w:p w:rsidR="00105D60" w:rsidRDefault="00105D60" w:rsidP="00C30D7F">
      <w:pPr>
        <w:pStyle w:val="Nadpis6"/>
        <w:jc w:val="left"/>
        <w:rPr>
          <w:rFonts w:ascii="Arial Narrow" w:hAnsi="Arial Narrow"/>
          <w:sz w:val="20"/>
          <w:szCs w:val="20"/>
        </w:rPr>
      </w:pPr>
    </w:p>
    <w:p w:rsidR="00105D60" w:rsidRDefault="00105D60" w:rsidP="00C30D7F">
      <w:pPr>
        <w:pStyle w:val="Nadpis6"/>
        <w:jc w:val="left"/>
        <w:rPr>
          <w:rFonts w:ascii="Arial Narrow" w:hAnsi="Arial Narrow"/>
          <w:sz w:val="20"/>
          <w:szCs w:val="20"/>
        </w:rPr>
      </w:pPr>
    </w:p>
    <w:p w:rsidR="00105D60" w:rsidRDefault="00105D60" w:rsidP="00105D60"/>
    <w:p w:rsidR="00105D60" w:rsidRDefault="00105D60" w:rsidP="00105D60"/>
    <w:p w:rsidR="00105D60" w:rsidRDefault="00105D60" w:rsidP="00105D60"/>
    <w:p w:rsidR="00105D60" w:rsidRDefault="00105D60" w:rsidP="00105D60"/>
    <w:p w:rsidR="00105D60" w:rsidRDefault="00105D60" w:rsidP="00105D60"/>
    <w:p w:rsidR="00105D60" w:rsidRDefault="00105D60" w:rsidP="00105D60"/>
    <w:p w:rsidR="00105D60" w:rsidRDefault="00105D60" w:rsidP="00105D60"/>
    <w:p w:rsidR="007B7FAB" w:rsidRDefault="007B7FAB" w:rsidP="00105D60"/>
    <w:p w:rsidR="007B7FAB" w:rsidRDefault="007B7FAB" w:rsidP="00105D60"/>
    <w:p w:rsidR="007B7FAB" w:rsidRDefault="007B7FAB" w:rsidP="00105D60"/>
    <w:p w:rsidR="00105D60" w:rsidRPr="00105D60" w:rsidRDefault="00105D60" w:rsidP="00105D60"/>
    <w:p w:rsidR="00240206" w:rsidRDefault="00240206" w:rsidP="00C30D7F">
      <w:pPr>
        <w:pStyle w:val="Nadpis6"/>
        <w:jc w:val="left"/>
        <w:rPr>
          <w:rFonts w:ascii="Arial Narrow" w:hAnsi="Arial Narrow"/>
          <w:sz w:val="20"/>
          <w:szCs w:val="20"/>
        </w:rPr>
      </w:pPr>
      <w:r w:rsidRPr="003A1BB1">
        <w:rPr>
          <w:rFonts w:ascii="Arial Narrow" w:hAnsi="Arial Narrow"/>
          <w:sz w:val="20"/>
          <w:szCs w:val="20"/>
        </w:rPr>
        <w:lastRenderedPageBreak/>
        <w:t xml:space="preserve">Graf </w:t>
      </w:r>
      <w:r w:rsidR="001871C0" w:rsidRPr="003A1BB1">
        <w:rPr>
          <w:rFonts w:ascii="Arial Narrow" w:hAnsi="Arial Narrow"/>
          <w:sz w:val="20"/>
          <w:szCs w:val="20"/>
        </w:rPr>
        <w:t>1</w:t>
      </w:r>
      <w:r w:rsidR="002C3124" w:rsidRPr="003A1BB1">
        <w:rPr>
          <w:rFonts w:ascii="Arial Narrow" w:hAnsi="Arial Narrow"/>
          <w:sz w:val="20"/>
          <w:szCs w:val="20"/>
        </w:rPr>
        <w:t>.</w:t>
      </w:r>
      <w:r w:rsidR="001871C0" w:rsidRPr="003A1BB1">
        <w:rPr>
          <w:rFonts w:ascii="Arial Narrow" w:hAnsi="Arial Narrow"/>
          <w:sz w:val="20"/>
          <w:szCs w:val="20"/>
        </w:rPr>
        <w:t>1</w:t>
      </w:r>
      <w:r w:rsidR="00D45BCA">
        <w:rPr>
          <w:rFonts w:ascii="Arial Narrow" w:hAnsi="Arial Narrow"/>
          <w:sz w:val="20"/>
          <w:szCs w:val="20"/>
        </w:rPr>
        <w:t>3</w:t>
      </w:r>
      <w:r w:rsidR="00F03262" w:rsidRPr="003A1BB1">
        <w:rPr>
          <w:rFonts w:ascii="Arial Narrow" w:hAnsi="Arial Narrow"/>
          <w:sz w:val="20"/>
          <w:szCs w:val="20"/>
        </w:rPr>
        <w:t xml:space="preserve"> </w:t>
      </w:r>
      <w:r w:rsidRPr="003A1BB1">
        <w:rPr>
          <w:rFonts w:ascii="Arial Narrow" w:hAnsi="Arial Narrow"/>
          <w:sz w:val="20"/>
          <w:szCs w:val="20"/>
        </w:rPr>
        <w:t xml:space="preserve"> Výdavky na sociálne dávky v SR na účel rodina/ deti, 199</w:t>
      </w:r>
      <w:r w:rsidR="003A1BB1" w:rsidRPr="003A1BB1">
        <w:rPr>
          <w:rFonts w:ascii="Arial Narrow" w:hAnsi="Arial Narrow"/>
          <w:sz w:val="20"/>
          <w:szCs w:val="20"/>
        </w:rPr>
        <w:t>8</w:t>
      </w:r>
      <w:r w:rsidRPr="003A1BB1">
        <w:rPr>
          <w:rFonts w:ascii="Arial Narrow" w:hAnsi="Arial Narrow"/>
          <w:sz w:val="20"/>
          <w:szCs w:val="20"/>
        </w:rPr>
        <w:t xml:space="preserve"> </w:t>
      </w:r>
      <w:r w:rsidR="00D2265B">
        <w:rPr>
          <w:rFonts w:ascii="Arial Narrow" w:hAnsi="Arial Narrow"/>
          <w:sz w:val="20"/>
          <w:szCs w:val="20"/>
        </w:rPr>
        <w:t>–</w:t>
      </w:r>
      <w:r w:rsidRPr="003A1BB1">
        <w:rPr>
          <w:rFonts w:ascii="Arial Narrow" w:hAnsi="Arial Narrow"/>
          <w:sz w:val="20"/>
          <w:szCs w:val="20"/>
        </w:rPr>
        <w:t xml:space="preserve"> 201</w:t>
      </w:r>
      <w:r w:rsidR="003A1BB1" w:rsidRPr="003A1BB1">
        <w:rPr>
          <w:rFonts w:ascii="Arial Narrow" w:hAnsi="Arial Narrow"/>
          <w:sz w:val="20"/>
          <w:szCs w:val="20"/>
        </w:rPr>
        <w:t>9</w:t>
      </w:r>
    </w:p>
    <w:p w:rsidR="00C30D7F" w:rsidRPr="00C30D7F" w:rsidRDefault="00C30D7F" w:rsidP="00C30D7F">
      <w:pPr>
        <w:rPr>
          <w:sz w:val="10"/>
          <w:szCs w:val="10"/>
        </w:rPr>
      </w:pPr>
    </w:p>
    <w:p w:rsidR="00D2265B" w:rsidRPr="00D2265B" w:rsidRDefault="00C30D7F" w:rsidP="00D2265B">
      <w:pPr>
        <w:rPr>
          <w:sz w:val="10"/>
          <w:szCs w:val="10"/>
        </w:rPr>
      </w:pPr>
      <w:r>
        <w:rPr>
          <w:noProof/>
          <w:lang w:eastAsia="sk-SK"/>
        </w:rPr>
        <w:drawing>
          <wp:inline distT="0" distB="0" distL="0" distR="0" wp14:anchorId="486CE827" wp14:editId="1512F3F1">
            <wp:extent cx="5759450" cy="3000375"/>
            <wp:effectExtent l="0" t="0" r="12700" b="9525"/>
            <wp:docPr id="33" name="Graf 33">
              <a:extLst xmlns:a="http://schemas.openxmlformats.org/drawingml/2006/main">
                <a:ext uri="{FF2B5EF4-FFF2-40B4-BE49-F238E27FC236}">
                  <a16:creationId xmlns:a16="http://schemas.microsoft.com/office/drawing/2014/main" id="{00000000-0008-0000-07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240206" w:rsidRPr="00F03262" w:rsidRDefault="00240206" w:rsidP="00307B0E">
      <w:pPr>
        <w:rPr>
          <w:rFonts w:ascii="Arial Narrow" w:hAnsi="Arial Narrow"/>
          <w:sz w:val="10"/>
          <w:szCs w:val="10"/>
        </w:rPr>
        <w:sectPr w:rsidR="00240206" w:rsidRPr="00F03262" w:rsidSect="0050625F">
          <w:type w:val="continuous"/>
          <w:pgSz w:w="11906" w:h="16838"/>
          <w:pgMar w:top="1418" w:right="1418" w:bottom="964" w:left="1418" w:header="720" w:footer="720" w:gutter="0"/>
          <w:cols w:space="286"/>
          <w:docGrid w:linePitch="360"/>
        </w:sectPr>
      </w:pPr>
    </w:p>
    <w:p w:rsidR="00D2265B" w:rsidRDefault="00F03262" w:rsidP="001E7079">
      <w:pPr>
        <w:jc w:val="both"/>
        <w:rPr>
          <w:rFonts w:ascii="Arial Narrow" w:hAnsi="Arial Narrow"/>
          <w:i/>
          <w:sz w:val="16"/>
          <w:szCs w:val="16"/>
        </w:rPr>
      </w:pPr>
      <w:r>
        <w:rPr>
          <w:rFonts w:ascii="Arial Narrow" w:hAnsi="Arial Narrow"/>
          <w:i/>
          <w:sz w:val="16"/>
          <w:szCs w:val="16"/>
        </w:rPr>
        <w:lastRenderedPageBreak/>
        <w:t xml:space="preserve">                </w:t>
      </w:r>
      <w:r>
        <w:rPr>
          <w:rFonts w:ascii="Arial Narrow" w:hAnsi="Arial Narrow"/>
          <w:i/>
          <w:sz w:val="16"/>
          <w:szCs w:val="16"/>
        </w:rPr>
        <w:tab/>
      </w:r>
      <w:r w:rsidR="001E7079">
        <w:rPr>
          <w:rFonts w:ascii="Arial Narrow" w:hAnsi="Arial Narrow"/>
          <w:i/>
          <w:sz w:val="16"/>
          <w:szCs w:val="16"/>
        </w:rPr>
        <w:tab/>
      </w:r>
      <w:r w:rsidR="001E7079">
        <w:rPr>
          <w:rFonts w:ascii="Arial Narrow" w:hAnsi="Arial Narrow"/>
          <w:i/>
          <w:sz w:val="16"/>
          <w:szCs w:val="16"/>
        </w:rPr>
        <w:tab/>
      </w:r>
      <w:r w:rsidR="001E7079">
        <w:rPr>
          <w:rFonts w:ascii="Arial Narrow" w:hAnsi="Arial Narrow"/>
          <w:i/>
          <w:sz w:val="16"/>
          <w:szCs w:val="16"/>
        </w:rPr>
        <w:tab/>
      </w:r>
      <w:r w:rsidR="001E7079">
        <w:rPr>
          <w:rFonts w:ascii="Arial Narrow" w:hAnsi="Arial Narrow"/>
          <w:i/>
          <w:sz w:val="16"/>
          <w:szCs w:val="16"/>
        </w:rPr>
        <w:tab/>
      </w:r>
      <w:r w:rsidR="001E7079">
        <w:rPr>
          <w:rFonts w:ascii="Arial Narrow" w:hAnsi="Arial Narrow"/>
          <w:i/>
          <w:sz w:val="16"/>
          <w:szCs w:val="16"/>
        </w:rPr>
        <w:tab/>
      </w:r>
      <w:r w:rsidR="001E7079">
        <w:rPr>
          <w:rFonts w:ascii="Arial Narrow" w:hAnsi="Arial Narrow"/>
          <w:i/>
          <w:sz w:val="16"/>
          <w:szCs w:val="16"/>
        </w:rPr>
        <w:tab/>
      </w:r>
      <w:r w:rsidR="001E7079">
        <w:rPr>
          <w:rFonts w:ascii="Arial Narrow" w:hAnsi="Arial Narrow"/>
          <w:i/>
          <w:sz w:val="16"/>
          <w:szCs w:val="16"/>
        </w:rPr>
        <w:tab/>
      </w:r>
      <w:r w:rsidR="001E7079">
        <w:rPr>
          <w:rFonts w:ascii="Arial Narrow" w:hAnsi="Arial Narrow"/>
          <w:i/>
          <w:sz w:val="16"/>
          <w:szCs w:val="16"/>
        </w:rPr>
        <w:tab/>
      </w:r>
    </w:p>
    <w:p w:rsidR="00C04243" w:rsidRPr="00C30D7F" w:rsidRDefault="0050625F" w:rsidP="00C30D7F">
      <w:pPr>
        <w:jc w:val="both"/>
        <w:rPr>
          <w:rFonts w:ascii="Arial Narrow" w:hAnsi="Arial Narrow"/>
          <w:sz w:val="20"/>
          <w:szCs w:val="20"/>
        </w:rPr>
      </w:pPr>
      <w:r>
        <w:rPr>
          <w:rFonts w:ascii="Arial Narrow" w:hAnsi="Arial Narrow"/>
          <w:i/>
          <w:sz w:val="16"/>
          <w:szCs w:val="16"/>
        </w:rPr>
        <w:t xml:space="preserve">Zdroj: ŠÚ SR </w:t>
      </w:r>
      <w:r w:rsidR="000C3E4C">
        <w:rPr>
          <w:rFonts w:ascii="Arial Narrow" w:hAnsi="Arial Narrow"/>
          <w:i/>
          <w:sz w:val="16"/>
          <w:szCs w:val="16"/>
        </w:rPr>
        <w:t>-</w:t>
      </w:r>
      <w:r>
        <w:rPr>
          <w:rFonts w:ascii="Arial Narrow" w:hAnsi="Arial Narrow"/>
          <w:i/>
          <w:sz w:val="16"/>
          <w:szCs w:val="16"/>
        </w:rPr>
        <w:t xml:space="preserve"> ESSPROS</w:t>
      </w:r>
    </w:p>
    <w:p w:rsidR="007B7FAB" w:rsidRDefault="007B7FAB" w:rsidP="00074552">
      <w:pPr>
        <w:pStyle w:val="Nadpis6"/>
        <w:jc w:val="both"/>
        <w:rPr>
          <w:rFonts w:ascii="Arial Narrow" w:hAnsi="Arial Narrow"/>
          <w:sz w:val="24"/>
          <w:szCs w:val="22"/>
        </w:rPr>
      </w:pPr>
    </w:p>
    <w:p w:rsidR="00EA376E" w:rsidRPr="00D2265B" w:rsidRDefault="00F76580" w:rsidP="00074552">
      <w:pPr>
        <w:pStyle w:val="Nadpis6"/>
        <w:jc w:val="both"/>
        <w:rPr>
          <w:rFonts w:ascii="Arial Narrow" w:hAnsi="Arial Narrow"/>
          <w:sz w:val="24"/>
          <w:szCs w:val="22"/>
        </w:rPr>
      </w:pPr>
      <w:r w:rsidRPr="00D2265B">
        <w:rPr>
          <w:rFonts w:ascii="Arial Narrow" w:hAnsi="Arial Narrow"/>
          <w:sz w:val="24"/>
          <w:szCs w:val="22"/>
        </w:rPr>
        <w:t>1.</w:t>
      </w:r>
      <w:r w:rsidR="009A4B24" w:rsidRPr="00D2265B">
        <w:rPr>
          <w:rFonts w:ascii="Arial Narrow" w:hAnsi="Arial Narrow"/>
          <w:sz w:val="24"/>
          <w:szCs w:val="22"/>
        </w:rPr>
        <w:t>2.6</w:t>
      </w:r>
      <w:r w:rsidR="00550864" w:rsidRPr="00D2265B">
        <w:rPr>
          <w:rFonts w:ascii="Arial Narrow" w:hAnsi="Arial Narrow"/>
          <w:sz w:val="24"/>
          <w:szCs w:val="22"/>
        </w:rPr>
        <w:t xml:space="preserve"> </w:t>
      </w:r>
      <w:r w:rsidR="007C6A51" w:rsidRPr="00D2265B">
        <w:rPr>
          <w:rFonts w:ascii="Arial Narrow" w:hAnsi="Arial Narrow"/>
          <w:sz w:val="24"/>
          <w:szCs w:val="22"/>
        </w:rPr>
        <w:t xml:space="preserve"> </w:t>
      </w:r>
      <w:r w:rsidR="00C02616" w:rsidRPr="00D2265B">
        <w:rPr>
          <w:rFonts w:ascii="Arial Narrow" w:hAnsi="Arial Narrow"/>
          <w:sz w:val="24"/>
          <w:szCs w:val="22"/>
        </w:rPr>
        <w:t>Výdavky na účel nezamestnanosť</w:t>
      </w:r>
      <w:r w:rsidR="00EA376E" w:rsidRPr="00D2265B">
        <w:rPr>
          <w:rFonts w:ascii="Arial Narrow" w:hAnsi="Arial Narrow"/>
          <w:b w:val="0"/>
          <w:sz w:val="24"/>
          <w:szCs w:val="22"/>
        </w:rPr>
        <w:t xml:space="preserve"> </w:t>
      </w:r>
      <w:r w:rsidRPr="00D2265B">
        <w:rPr>
          <w:rFonts w:ascii="Arial Narrow" w:hAnsi="Arial Narrow"/>
          <w:sz w:val="24"/>
          <w:szCs w:val="22"/>
        </w:rPr>
        <w:t xml:space="preserve">v SR </w:t>
      </w:r>
      <w:r w:rsidR="00EA376E" w:rsidRPr="00D2265B">
        <w:rPr>
          <w:rFonts w:ascii="Arial Narrow" w:hAnsi="Arial Narrow"/>
          <w:b w:val="0"/>
          <w:sz w:val="24"/>
          <w:szCs w:val="22"/>
        </w:rPr>
        <w:t>(Programy sociálnej ochrany č.: 3, 7, 8, 13, 16, 18, 21)</w:t>
      </w:r>
    </w:p>
    <w:p w:rsidR="00D52F28" w:rsidRPr="00D2265B" w:rsidRDefault="00D52F28" w:rsidP="00FD28D8">
      <w:pPr>
        <w:jc w:val="both"/>
        <w:rPr>
          <w:rFonts w:ascii="Arial Narrow" w:hAnsi="Arial Narrow"/>
          <w:b/>
          <w:sz w:val="20"/>
          <w:szCs w:val="18"/>
        </w:rPr>
      </w:pPr>
    </w:p>
    <w:p w:rsidR="00D52F28" w:rsidRPr="00D2265B" w:rsidRDefault="00D52F28" w:rsidP="00D52F28">
      <w:pPr>
        <w:jc w:val="both"/>
        <w:rPr>
          <w:rFonts w:ascii="Arial Narrow" w:hAnsi="Arial Narrow"/>
          <w:sz w:val="22"/>
          <w:szCs w:val="20"/>
        </w:rPr>
      </w:pPr>
      <w:r w:rsidRPr="00D2265B">
        <w:rPr>
          <w:rFonts w:ascii="Arial Narrow" w:hAnsi="Arial Narrow"/>
          <w:sz w:val="22"/>
          <w:szCs w:val="20"/>
        </w:rPr>
        <w:t>Účel nezamestnanosť zahŕňa dávky, ktoré:</w:t>
      </w:r>
    </w:p>
    <w:p w:rsidR="00D52F28" w:rsidRPr="00D2265B" w:rsidRDefault="00D52F28" w:rsidP="00074552">
      <w:pPr>
        <w:pStyle w:val="Odsekzoznamu"/>
        <w:numPr>
          <w:ilvl w:val="0"/>
          <w:numId w:val="9"/>
        </w:numPr>
        <w:jc w:val="both"/>
        <w:rPr>
          <w:rFonts w:ascii="Arial Narrow" w:hAnsi="Arial Narrow"/>
          <w:sz w:val="22"/>
          <w:szCs w:val="20"/>
        </w:rPr>
      </w:pPr>
      <w:r w:rsidRPr="00D2265B">
        <w:rPr>
          <w:rFonts w:ascii="Arial Narrow" w:hAnsi="Arial Narrow"/>
          <w:sz w:val="22"/>
          <w:szCs w:val="20"/>
        </w:rPr>
        <w:t>nahradzujú celkom alebo sčasti príjem, o ktorý pracovník prišiel v súvislosti so stratou zárobkovej činnosti</w:t>
      </w:r>
      <w:r w:rsidR="00210926" w:rsidRPr="00D2265B">
        <w:rPr>
          <w:rFonts w:ascii="Arial Narrow" w:hAnsi="Arial Narrow"/>
          <w:sz w:val="22"/>
          <w:szCs w:val="20"/>
          <w:lang w:val="en-US"/>
        </w:rPr>
        <w:t>,</w:t>
      </w:r>
    </w:p>
    <w:p w:rsidR="00D52F28" w:rsidRPr="00D2265B" w:rsidRDefault="00D52F28" w:rsidP="00074552">
      <w:pPr>
        <w:pStyle w:val="Odsekzoznamu"/>
        <w:numPr>
          <w:ilvl w:val="0"/>
          <w:numId w:val="9"/>
        </w:numPr>
        <w:jc w:val="both"/>
        <w:rPr>
          <w:rFonts w:ascii="Arial Narrow" w:hAnsi="Arial Narrow"/>
          <w:sz w:val="22"/>
          <w:szCs w:val="20"/>
        </w:rPr>
      </w:pPr>
      <w:r w:rsidRPr="00D2265B">
        <w:rPr>
          <w:rFonts w:ascii="Arial Narrow" w:hAnsi="Arial Narrow"/>
          <w:sz w:val="22"/>
          <w:szCs w:val="20"/>
        </w:rPr>
        <w:t>poskytujú minimálne životné prostriedky alebo príjem osobám, ktoré vstupujú alebo sa vracajú na pracovný trh</w:t>
      </w:r>
      <w:r w:rsidR="00210926" w:rsidRPr="00D2265B">
        <w:rPr>
          <w:rFonts w:ascii="Arial Narrow" w:hAnsi="Arial Narrow"/>
          <w:sz w:val="22"/>
          <w:szCs w:val="20"/>
        </w:rPr>
        <w:t>,</w:t>
      </w:r>
    </w:p>
    <w:p w:rsidR="00D52F28" w:rsidRPr="00D2265B" w:rsidRDefault="00D52F28" w:rsidP="00074552">
      <w:pPr>
        <w:pStyle w:val="Odsekzoznamu"/>
        <w:numPr>
          <w:ilvl w:val="0"/>
          <w:numId w:val="9"/>
        </w:numPr>
        <w:jc w:val="both"/>
        <w:rPr>
          <w:rFonts w:ascii="Arial Narrow" w:hAnsi="Arial Narrow"/>
          <w:sz w:val="22"/>
          <w:szCs w:val="20"/>
        </w:rPr>
      </w:pPr>
      <w:r w:rsidRPr="00D2265B">
        <w:rPr>
          <w:rFonts w:ascii="Arial Narrow" w:hAnsi="Arial Narrow"/>
          <w:sz w:val="22"/>
          <w:szCs w:val="20"/>
        </w:rPr>
        <w:t>kompenzujú stratu zárobkov vo vzťahu k čiastočnej nezamestnanosti</w:t>
      </w:r>
      <w:r w:rsidR="00210926" w:rsidRPr="00D2265B">
        <w:rPr>
          <w:rFonts w:ascii="Arial Narrow" w:hAnsi="Arial Narrow"/>
          <w:sz w:val="22"/>
          <w:szCs w:val="20"/>
        </w:rPr>
        <w:t>,</w:t>
      </w:r>
    </w:p>
    <w:p w:rsidR="00D52F28" w:rsidRPr="00D2265B" w:rsidRDefault="00D52F28" w:rsidP="00074552">
      <w:pPr>
        <w:pStyle w:val="Odsekzoznamu"/>
        <w:numPr>
          <w:ilvl w:val="0"/>
          <w:numId w:val="9"/>
        </w:numPr>
        <w:jc w:val="both"/>
        <w:rPr>
          <w:rFonts w:ascii="Arial Narrow" w:hAnsi="Arial Narrow"/>
          <w:sz w:val="22"/>
          <w:szCs w:val="20"/>
        </w:rPr>
      </w:pPr>
      <w:r w:rsidRPr="00D2265B">
        <w:rPr>
          <w:rFonts w:ascii="Arial Narrow" w:hAnsi="Arial Narrow"/>
          <w:sz w:val="22"/>
          <w:szCs w:val="20"/>
        </w:rPr>
        <w:t>nahradzujú celkom alebo čiastočne príjem, o ktorý prichádza starší pracovník odchodom zo zárobkovej činnosti do dôchodku dosiahnutím zákonom stanoveného veku odchodu do dôchodku kvôli znižovaniu pracovných miest z ekonomických dôvodov</w:t>
      </w:r>
      <w:r w:rsidR="00210926" w:rsidRPr="00D2265B">
        <w:rPr>
          <w:rFonts w:ascii="Arial Narrow" w:hAnsi="Arial Narrow"/>
          <w:sz w:val="22"/>
          <w:szCs w:val="20"/>
        </w:rPr>
        <w:t>,</w:t>
      </w:r>
      <w:r w:rsidRPr="00D2265B">
        <w:rPr>
          <w:rFonts w:ascii="Arial Narrow" w:hAnsi="Arial Narrow"/>
          <w:sz w:val="22"/>
          <w:szCs w:val="20"/>
        </w:rPr>
        <w:t xml:space="preserve"> </w:t>
      </w:r>
    </w:p>
    <w:p w:rsidR="00D52F28" w:rsidRPr="00D2265B" w:rsidRDefault="00D52F28" w:rsidP="00074552">
      <w:pPr>
        <w:pStyle w:val="Odsekzoznamu"/>
        <w:numPr>
          <w:ilvl w:val="0"/>
          <w:numId w:val="9"/>
        </w:numPr>
        <w:jc w:val="both"/>
        <w:rPr>
          <w:rFonts w:ascii="Arial Narrow" w:hAnsi="Arial Narrow"/>
          <w:sz w:val="22"/>
          <w:szCs w:val="20"/>
        </w:rPr>
      </w:pPr>
      <w:r w:rsidRPr="00D2265B">
        <w:rPr>
          <w:rFonts w:ascii="Arial Narrow" w:hAnsi="Arial Narrow"/>
          <w:sz w:val="22"/>
          <w:szCs w:val="20"/>
        </w:rPr>
        <w:t>prispievajú na náklady na zaškolenie alebo rekvalifikáciu osôb, ktoré si hľadajú zamestnanie</w:t>
      </w:r>
      <w:r w:rsidR="00210926" w:rsidRPr="00D2265B">
        <w:rPr>
          <w:rFonts w:ascii="Arial Narrow" w:hAnsi="Arial Narrow"/>
          <w:sz w:val="22"/>
          <w:szCs w:val="20"/>
        </w:rPr>
        <w:t>,</w:t>
      </w:r>
    </w:p>
    <w:p w:rsidR="00D52F28" w:rsidRPr="00D2265B" w:rsidRDefault="00D52F28" w:rsidP="00074552">
      <w:pPr>
        <w:pStyle w:val="Odsekzoznamu"/>
        <w:numPr>
          <w:ilvl w:val="0"/>
          <w:numId w:val="9"/>
        </w:numPr>
        <w:jc w:val="both"/>
        <w:rPr>
          <w:rFonts w:ascii="Arial Narrow" w:hAnsi="Arial Narrow"/>
          <w:sz w:val="22"/>
          <w:szCs w:val="20"/>
        </w:rPr>
      </w:pPr>
      <w:r w:rsidRPr="00D2265B">
        <w:rPr>
          <w:rFonts w:ascii="Arial Narrow" w:hAnsi="Arial Narrow"/>
          <w:sz w:val="22"/>
          <w:szCs w:val="20"/>
        </w:rPr>
        <w:t>pomáhajú nezamestnaným osobám uhradiť cestovné alebo presťahovanie kvôli získaniu zamestnania</w:t>
      </w:r>
      <w:r w:rsidR="00210926" w:rsidRPr="00D2265B">
        <w:rPr>
          <w:rFonts w:ascii="Arial Narrow" w:hAnsi="Arial Narrow"/>
          <w:sz w:val="22"/>
          <w:szCs w:val="20"/>
        </w:rPr>
        <w:t>,</w:t>
      </w:r>
    </w:p>
    <w:p w:rsidR="00D52F28" w:rsidRPr="00D2265B" w:rsidRDefault="00D52F28" w:rsidP="00074552">
      <w:pPr>
        <w:pStyle w:val="Odsekzoznamu"/>
        <w:numPr>
          <w:ilvl w:val="0"/>
          <w:numId w:val="9"/>
        </w:numPr>
        <w:jc w:val="both"/>
        <w:rPr>
          <w:rFonts w:ascii="Arial Narrow" w:hAnsi="Arial Narrow"/>
          <w:sz w:val="22"/>
          <w:szCs w:val="20"/>
        </w:rPr>
      </w:pPr>
      <w:r w:rsidRPr="00D2265B">
        <w:rPr>
          <w:rFonts w:ascii="Arial Narrow" w:hAnsi="Arial Narrow"/>
          <w:sz w:val="22"/>
          <w:szCs w:val="20"/>
        </w:rPr>
        <w:t>poskytujú pomoc a úľavu pri úhrade príslušných tovarov a</w:t>
      </w:r>
      <w:r w:rsidR="00F76580" w:rsidRPr="00D2265B">
        <w:rPr>
          <w:rFonts w:ascii="Arial Narrow" w:hAnsi="Arial Narrow"/>
          <w:sz w:val="22"/>
          <w:szCs w:val="20"/>
        </w:rPr>
        <w:t> </w:t>
      </w:r>
      <w:r w:rsidRPr="00D2265B">
        <w:rPr>
          <w:rFonts w:ascii="Arial Narrow" w:hAnsi="Arial Narrow"/>
          <w:sz w:val="22"/>
          <w:szCs w:val="20"/>
        </w:rPr>
        <w:t>služieb</w:t>
      </w:r>
      <w:r w:rsidR="00F76580" w:rsidRPr="00D2265B">
        <w:rPr>
          <w:rFonts w:ascii="Arial Narrow" w:hAnsi="Arial Narrow"/>
          <w:sz w:val="22"/>
          <w:szCs w:val="20"/>
        </w:rPr>
        <w:t>.</w:t>
      </w:r>
    </w:p>
    <w:p w:rsidR="0067659C" w:rsidRPr="00D2265B" w:rsidRDefault="00270BF6" w:rsidP="00D52F28">
      <w:pPr>
        <w:jc w:val="both"/>
        <w:rPr>
          <w:rFonts w:ascii="Arial Narrow" w:hAnsi="Arial Narrow"/>
          <w:b/>
          <w:sz w:val="22"/>
          <w:szCs w:val="20"/>
        </w:rPr>
      </w:pPr>
      <w:r w:rsidRPr="00D2265B">
        <w:rPr>
          <w:rFonts w:ascii="Arial Narrow" w:hAnsi="Arial Narrow"/>
          <w:sz w:val="22"/>
          <w:szCs w:val="20"/>
        </w:rPr>
        <w:t xml:space="preserve">Účel nezamestnanosť obsahuje predovšetkým pasívne opatrenia trhu práce. </w:t>
      </w:r>
    </w:p>
    <w:p w:rsidR="00D52F28" w:rsidRPr="00902297" w:rsidRDefault="00D52F28" w:rsidP="00FD28D8">
      <w:pPr>
        <w:jc w:val="both"/>
        <w:rPr>
          <w:rFonts w:ascii="Arial Narrow" w:hAnsi="Arial Narrow"/>
          <w:b/>
          <w:sz w:val="18"/>
          <w:szCs w:val="18"/>
        </w:rPr>
      </w:pPr>
    </w:p>
    <w:p w:rsidR="00270BF6" w:rsidRPr="00D2265B" w:rsidRDefault="00270BF6" w:rsidP="00270BF6">
      <w:pPr>
        <w:jc w:val="both"/>
        <w:rPr>
          <w:rFonts w:ascii="Arial Narrow" w:hAnsi="Arial Narrow"/>
          <w:sz w:val="22"/>
          <w:szCs w:val="20"/>
        </w:rPr>
      </w:pPr>
      <w:r w:rsidRPr="00D2265B">
        <w:rPr>
          <w:rFonts w:ascii="Arial Narrow" w:hAnsi="Arial Narrow"/>
          <w:b/>
          <w:sz w:val="22"/>
          <w:szCs w:val="20"/>
        </w:rPr>
        <w:t>Plné dávky v nezamestnanosti</w:t>
      </w:r>
      <w:r w:rsidRPr="00D2265B">
        <w:rPr>
          <w:rFonts w:ascii="Arial Narrow" w:hAnsi="Arial Narrow"/>
          <w:sz w:val="22"/>
          <w:szCs w:val="20"/>
        </w:rPr>
        <w:t xml:space="preserve">: dávky kompenzujúce stratu zárobku vtedy, keď je osoba spôsobilá pracovať a je práceschopná, ale nemôže si nájsť vhodné zamestnanie, vrátane osôb, ktoré predtým neboli zamestnané. </w:t>
      </w:r>
    </w:p>
    <w:p w:rsidR="00270BF6" w:rsidRPr="00D2265B" w:rsidRDefault="00270BF6" w:rsidP="00902297">
      <w:pPr>
        <w:jc w:val="both"/>
        <w:rPr>
          <w:rFonts w:ascii="Arial Narrow" w:hAnsi="Arial Narrow"/>
          <w:sz w:val="18"/>
          <w:szCs w:val="16"/>
        </w:rPr>
      </w:pPr>
    </w:p>
    <w:p w:rsidR="00270BF6" w:rsidRPr="00D2265B" w:rsidRDefault="00270BF6" w:rsidP="00270BF6">
      <w:pPr>
        <w:jc w:val="both"/>
        <w:rPr>
          <w:rFonts w:ascii="Arial Narrow" w:hAnsi="Arial Narrow"/>
          <w:sz w:val="22"/>
          <w:szCs w:val="20"/>
        </w:rPr>
      </w:pPr>
      <w:r w:rsidRPr="00D2265B">
        <w:rPr>
          <w:rFonts w:ascii="Arial Narrow" w:hAnsi="Arial Narrow"/>
          <w:b/>
          <w:sz w:val="22"/>
          <w:szCs w:val="20"/>
        </w:rPr>
        <w:t>Čiastočné dávky v nezamestnanosti</w:t>
      </w:r>
      <w:r w:rsidRPr="00D2265B">
        <w:rPr>
          <w:rFonts w:ascii="Arial Narrow" w:hAnsi="Arial Narrow"/>
          <w:sz w:val="22"/>
          <w:szCs w:val="20"/>
        </w:rPr>
        <w:t>: dávky kompenzujúce stratu mzdy alebo platu vzhľadom k formálnej dohode o zamestnaní na skrátený pracovný úväzok a/alebo sporadické pracovné rozpisy bez ohľadu na ich príčinu (podnikateľská recesia alebo spomalenie rozvoja podnikania, zlyhanie vybavenia, klimatické podmienky, nehody a tak ďalej) a keď vzťah zamestnávateľ/zamestnanec pokračuje.</w:t>
      </w:r>
    </w:p>
    <w:p w:rsidR="00270BF6" w:rsidRPr="00D2265B" w:rsidRDefault="00270BF6" w:rsidP="00270BF6">
      <w:pPr>
        <w:pStyle w:val="Odsekzoznamu"/>
        <w:ind w:left="360"/>
        <w:rPr>
          <w:rFonts w:ascii="Arial Narrow" w:hAnsi="Arial Narrow"/>
          <w:sz w:val="18"/>
          <w:szCs w:val="16"/>
        </w:rPr>
      </w:pPr>
    </w:p>
    <w:p w:rsidR="00270BF6" w:rsidRPr="00D2265B" w:rsidRDefault="00270BF6" w:rsidP="00270BF6">
      <w:pPr>
        <w:jc w:val="both"/>
        <w:rPr>
          <w:rFonts w:ascii="Arial Narrow" w:hAnsi="Arial Narrow"/>
          <w:sz w:val="22"/>
          <w:szCs w:val="20"/>
        </w:rPr>
      </w:pPr>
      <w:r w:rsidRPr="00D2265B">
        <w:rPr>
          <w:rFonts w:ascii="Arial Narrow" w:hAnsi="Arial Narrow"/>
          <w:b/>
          <w:sz w:val="22"/>
          <w:szCs w:val="20"/>
        </w:rPr>
        <w:t>Dávky pre predčasný odchod do dôchodku z dôvodov trhu práce</w:t>
      </w:r>
      <w:r w:rsidRPr="00D2265B">
        <w:rPr>
          <w:rFonts w:ascii="Arial Narrow" w:hAnsi="Arial Narrow"/>
          <w:sz w:val="22"/>
          <w:szCs w:val="20"/>
        </w:rPr>
        <w:t>: periodické platby starším pracujúcim odchádzajúcim do dôchodku pred dosiahnutím zákonného/ štandardného dôchodkového veku vzhľadom k nezamestnanosti alebo k</w:t>
      </w:r>
      <w:r w:rsidR="006747FA" w:rsidRPr="00D2265B">
        <w:rPr>
          <w:rFonts w:ascii="Arial Narrow" w:hAnsi="Arial Narrow"/>
          <w:sz w:val="22"/>
          <w:szCs w:val="20"/>
        </w:rPr>
        <w:t> </w:t>
      </w:r>
      <w:r w:rsidRPr="00D2265B">
        <w:rPr>
          <w:rFonts w:ascii="Arial Narrow" w:hAnsi="Arial Narrow"/>
          <w:sz w:val="22"/>
          <w:szCs w:val="20"/>
        </w:rPr>
        <w:t>obmedzeniu práce spôso</w:t>
      </w:r>
      <w:r w:rsidR="00210926" w:rsidRPr="00D2265B">
        <w:rPr>
          <w:rFonts w:ascii="Arial Narrow" w:hAnsi="Arial Narrow"/>
          <w:sz w:val="22"/>
          <w:szCs w:val="20"/>
        </w:rPr>
        <w:t>benému ekonomickými opatreniami,</w:t>
      </w:r>
      <w:r w:rsidRPr="00D2265B">
        <w:rPr>
          <w:rFonts w:ascii="Arial Narrow" w:hAnsi="Arial Narrow"/>
          <w:sz w:val="22"/>
          <w:szCs w:val="20"/>
        </w:rPr>
        <w:t xml:space="preserve">  akými sú reštrukturalizácia priemyselného odvetvia alebo podniku. Tieto platby zvyčajne zanikajú, keď užívateľ získa nárok na starobný dôchodok.</w:t>
      </w:r>
    </w:p>
    <w:p w:rsidR="00270BF6" w:rsidRPr="00D2265B" w:rsidRDefault="00270BF6" w:rsidP="00270BF6">
      <w:pPr>
        <w:pStyle w:val="Odsekzoznamu"/>
        <w:ind w:left="360"/>
        <w:rPr>
          <w:rFonts w:ascii="Arial Narrow" w:hAnsi="Arial Narrow"/>
          <w:sz w:val="18"/>
          <w:szCs w:val="16"/>
        </w:rPr>
      </w:pPr>
    </w:p>
    <w:p w:rsidR="00270BF6" w:rsidRPr="00D2265B" w:rsidRDefault="00270BF6" w:rsidP="00270BF6">
      <w:pPr>
        <w:jc w:val="both"/>
        <w:rPr>
          <w:rFonts w:ascii="Arial Narrow" w:hAnsi="Arial Narrow"/>
          <w:sz w:val="22"/>
          <w:szCs w:val="20"/>
        </w:rPr>
      </w:pPr>
      <w:r w:rsidRPr="00D2265B">
        <w:rPr>
          <w:rFonts w:ascii="Arial Narrow" w:hAnsi="Arial Narrow"/>
          <w:b/>
          <w:sz w:val="22"/>
          <w:szCs w:val="20"/>
        </w:rPr>
        <w:t>Prídavok na odborný výcvik</w:t>
      </w:r>
      <w:r w:rsidRPr="00D2265B">
        <w:rPr>
          <w:rFonts w:ascii="Arial Narrow" w:hAnsi="Arial Narrow"/>
          <w:sz w:val="22"/>
          <w:szCs w:val="20"/>
        </w:rPr>
        <w:t>: platby z fondov sociálneho zabezpečenia alebo verejných úradov pre cieľové skupiny ekonomicky aktívnych osôb, ktoré sa zúčastňujú vzdelávacích programov, ktorých cieľom je rozvinúť ich potenciál pre zamestnanosť.</w:t>
      </w:r>
    </w:p>
    <w:p w:rsidR="00270BF6" w:rsidRPr="00D2265B" w:rsidRDefault="00270BF6" w:rsidP="00270BF6">
      <w:pPr>
        <w:pStyle w:val="Odsekzoznamu"/>
        <w:ind w:left="360"/>
        <w:rPr>
          <w:rFonts w:ascii="Arial Narrow" w:hAnsi="Arial Narrow"/>
          <w:sz w:val="16"/>
          <w:szCs w:val="14"/>
        </w:rPr>
      </w:pPr>
    </w:p>
    <w:p w:rsidR="00270BF6" w:rsidRPr="00D2265B" w:rsidRDefault="00270BF6" w:rsidP="00270BF6">
      <w:pPr>
        <w:jc w:val="both"/>
        <w:rPr>
          <w:rFonts w:ascii="Arial Narrow" w:hAnsi="Arial Narrow"/>
          <w:sz w:val="22"/>
          <w:szCs w:val="20"/>
        </w:rPr>
      </w:pPr>
      <w:r w:rsidRPr="00D2265B">
        <w:rPr>
          <w:rFonts w:ascii="Arial Narrow" w:hAnsi="Arial Narrow"/>
          <w:b/>
          <w:sz w:val="22"/>
          <w:szCs w:val="20"/>
        </w:rPr>
        <w:t>Kompenzácia za nadbytočnosť:</w:t>
      </w:r>
      <w:r w:rsidRPr="00D2265B">
        <w:rPr>
          <w:rFonts w:ascii="Arial Narrow" w:hAnsi="Arial Narrow"/>
          <w:sz w:val="22"/>
          <w:szCs w:val="20"/>
        </w:rPr>
        <w:t xml:space="preserve"> kapitálové čiastky platené zamestnancom, ktorí prišli o prácu nie vlastnou chybou v takom podniku,  ktorý zanecháva alebo obmedzuje svoje aktivity. </w:t>
      </w:r>
    </w:p>
    <w:p w:rsidR="00270BF6" w:rsidRPr="00D2265B" w:rsidRDefault="00270BF6" w:rsidP="00270BF6">
      <w:pPr>
        <w:jc w:val="both"/>
        <w:rPr>
          <w:rFonts w:ascii="Arial Narrow" w:hAnsi="Arial Narrow"/>
          <w:sz w:val="22"/>
          <w:szCs w:val="20"/>
        </w:rPr>
      </w:pPr>
      <w:r w:rsidRPr="00D2265B">
        <w:rPr>
          <w:rFonts w:ascii="Arial Narrow" w:hAnsi="Arial Narrow"/>
          <w:b/>
          <w:sz w:val="22"/>
          <w:szCs w:val="20"/>
        </w:rPr>
        <w:lastRenderedPageBreak/>
        <w:t>Iné peňažné dávky</w:t>
      </w:r>
      <w:r w:rsidRPr="00D2265B">
        <w:rPr>
          <w:rFonts w:ascii="Arial Narrow" w:hAnsi="Arial Narrow"/>
          <w:sz w:val="22"/>
          <w:szCs w:val="20"/>
        </w:rPr>
        <w:t>: iná finančná podpora, najmä platby dlhodobo nezamestnaným, akými sú štartovacie stimuly formou vyplácania dávky v nezamestnanosti.</w:t>
      </w:r>
    </w:p>
    <w:p w:rsidR="0062634D" w:rsidRPr="00D2265B" w:rsidRDefault="0062634D" w:rsidP="00270BF6">
      <w:pPr>
        <w:jc w:val="both"/>
        <w:rPr>
          <w:rFonts w:ascii="Arial Narrow" w:hAnsi="Arial Narrow"/>
          <w:sz w:val="20"/>
          <w:szCs w:val="18"/>
        </w:rPr>
      </w:pPr>
    </w:p>
    <w:p w:rsidR="0062634D" w:rsidRPr="00D2265B" w:rsidRDefault="0062634D" w:rsidP="0062634D">
      <w:pPr>
        <w:jc w:val="both"/>
        <w:rPr>
          <w:rFonts w:ascii="Arial Narrow" w:hAnsi="Arial Narrow"/>
          <w:sz w:val="22"/>
          <w:szCs w:val="20"/>
        </w:rPr>
      </w:pPr>
      <w:r w:rsidRPr="00D2265B">
        <w:rPr>
          <w:rFonts w:ascii="Arial Narrow" w:hAnsi="Arial Narrow"/>
          <w:b/>
          <w:sz w:val="22"/>
          <w:szCs w:val="20"/>
        </w:rPr>
        <w:t>Mobilita a presťahovanie</w:t>
      </w:r>
      <w:r w:rsidRPr="00D2265B">
        <w:rPr>
          <w:rFonts w:ascii="Arial Narrow" w:hAnsi="Arial Narrow"/>
          <w:sz w:val="22"/>
          <w:szCs w:val="20"/>
        </w:rPr>
        <w:t>: platby z fondov sociálneho zabezpečenia alebo verejných úradov pre nezamestnané osoby na podporu ich prechodu do ďalšej lokality ich zamestnania v záujme hľadania alebo získania práce.</w:t>
      </w:r>
    </w:p>
    <w:p w:rsidR="0062634D" w:rsidRPr="00D2265B" w:rsidRDefault="0062634D" w:rsidP="0062634D">
      <w:pPr>
        <w:pStyle w:val="Odsekzoznamu"/>
        <w:ind w:left="993"/>
        <w:jc w:val="both"/>
        <w:rPr>
          <w:rFonts w:ascii="Arial Narrow" w:hAnsi="Arial Narrow"/>
          <w:sz w:val="16"/>
          <w:szCs w:val="14"/>
        </w:rPr>
      </w:pPr>
    </w:p>
    <w:p w:rsidR="0062634D" w:rsidRPr="00D2265B" w:rsidRDefault="0062634D" w:rsidP="0062634D">
      <w:pPr>
        <w:jc w:val="both"/>
        <w:rPr>
          <w:rFonts w:ascii="Arial Narrow" w:hAnsi="Arial Narrow"/>
          <w:sz w:val="22"/>
          <w:szCs w:val="20"/>
        </w:rPr>
      </w:pPr>
      <w:r w:rsidRPr="00D2265B">
        <w:rPr>
          <w:rFonts w:ascii="Arial Narrow" w:hAnsi="Arial Narrow"/>
          <w:b/>
          <w:sz w:val="22"/>
          <w:szCs w:val="20"/>
        </w:rPr>
        <w:t>Odborný výcvik</w:t>
      </w:r>
      <w:r w:rsidRPr="00D2265B">
        <w:rPr>
          <w:rFonts w:ascii="Arial Narrow" w:hAnsi="Arial Narrow"/>
          <w:sz w:val="22"/>
          <w:szCs w:val="20"/>
        </w:rPr>
        <w:t>: platby z fondov sociálneho zabezpečenia alebo verejných úradov inštitúciám, ktoré poskytujú odborný výcvik ľuďom bez práce alebo s rizikom straty práce v krátkom čase, aby rozvinuli svoj potenciál pre ďalšie zamestnanie.</w:t>
      </w:r>
    </w:p>
    <w:p w:rsidR="0062634D" w:rsidRPr="00D2265B" w:rsidRDefault="0062634D" w:rsidP="0062634D">
      <w:pPr>
        <w:pStyle w:val="Odsekzoznamu"/>
        <w:ind w:left="360"/>
        <w:rPr>
          <w:rFonts w:ascii="Arial Narrow" w:hAnsi="Arial Narrow"/>
          <w:sz w:val="16"/>
          <w:szCs w:val="14"/>
        </w:rPr>
      </w:pPr>
    </w:p>
    <w:p w:rsidR="0062634D" w:rsidRPr="00D2265B" w:rsidRDefault="0062634D" w:rsidP="0062634D">
      <w:pPr>
        <w:jc w:val="both"/>
        <w:rPr>
          <w:rFonts w:ascii="Arial Narrow" w:hAnsi="Arial Narrow"/>
          <w:sz w:val="22"/>
          <w:szCs w:val="20"/>
        </w:rPr>
      </w:pPr>
      <w:r w:rsidRPr="00D2265B">
        <w:rPr>
          <w:rFonts w:ascii="Arial Narrow" w:hAnsi="Arial Narrow"/>
          <w:b/>
          <w:sz w:val="22"/>
          <w:szCs w:val="20"/>
        </w:rPr>
        <w:t>Služby na umiestnenie a pomoc pri hľadaní zamestnania</w:t>
      </w:r>
      <w:r w:rsidRPr="00D2265B">
        <w:rPr>
          <w:rFonts w:ascii="Arial Narrow" w:hAnsi="Arial Narrow"/>
          <w:sz w:val="22"/>
          <w:szCs w:val="20"/>
        </w:rPr>
        <w:t xml:space="preserve"> pokrývajú sprostredkovanie, informácie a služby profesijného vedenia poskytované agentúrami na pracovné zaradenie/zamestnanosť. </w:t>
      </w:r>
    </w:p>
    <w:p w:rsidR="0062634D" w:rsidRPr="00D2265B" w:rsidRDefault="0062634D" w:rsidP="0062634D">
      <w:pPr>
        <w:pStyle w:val="Odsekzoznamu"/>
        <w:ind w:left="360"/>
        <w:rPr>
          <w:rFonts w:ascii="Arial Narrow" w:hAnsi="Arial Narrow"/>
          <w:sz w:val="16"/>
          <w:szCs w:val="14"/>
        </w:rPr>
      </w:pPr>
    </w:p>
    <w:p w:rsidR="002673C9" w:rsidRDefault="0062634D" w:rsidP="00241464">
      <w:pPr>
        <w:jc w:val="both"/>
        <w:rPr>
          <w:rFonts w:ascii="Arial Narrow" w:hAnsi="Arial Narrow"/>
          <w:sz w:val="22"/>
          <w:szCs w:val="20"/>
        </w:rPr>
      </w:pPr>
      <w:r w:rsidRPr="00D2265B">
        <w:rPr>
          <w:rFonts w:ascii="Arial Narrow" w:hAnsi="Arial Narrow"/>
          <w:b/>
          <w:sz w:val="22"/>
          <w:szCs w:val="20"/>
        </w:rPr>
        <w:t>Iné vecné dávky</w:t>
      </w:r>
      <w:r w:rsidRPr="00D2265B">
        <w:rPr>
          <w:rFonts w:ascii="Arial Narrow" w:hAnsi="Arial Narrow"/>
          <w:sz w:val="22"/>
          <w:szCs w:val="20"/>
        </w:rPr>
        <w:t>: vecné dávky inde neklasifikované, akými je poskytnutie bývania, jedla alebo šatstva alebo podobná podpora nezamestnaným osobám a ich rodinám, vrátane zníženia cien, taríf, cestovného atď. pre nezamestnané osoby.</w:t>
      </w:r>
    </w:p>
    <w:p w:rsidR="00241464" w:rsidRPr="00241464" w:rsidRDefault="00241464" w:rsidP="00241464">
      <w:pPr>
        <w:jc w:val="both"/>
        <w:rPr>
          <w:rFonts w:ascii="Arial Narrow" w:hAnsi="Arial Narrow"/>
          <w:sz w:val="22"/>
          <w:szCs w:val="20"/>
        </w:rPr>
      </w:pPr>
    </w:p>
    <w:p w:rsidR="003815DD" w:rsidRDefault="002C3124" w:rsidP="00F9237D">
      <w:pPr>
        <w:ind w:firstLine="708"/>
        <w:jc w:val="both"/>
        <w:rPr>
          <w:rFonts w:ascii="Arial Narrow" w:hAnsi="Arial Narrow"/>
          <w:sz w:val="22"/>
          <w:szCs w:val="20"/>
        </w:rPr>
      </w:pPr>
      <w:r w:rsidRPr="00D2265B">
        <w:rPr>
          <w:rFonts w:ascii="Arial Narrow" w:hAnsi="Arial Narrow"/>
          <w:sz w:val="22"/>
          <w:szCs w:val="20"/>
        </w:rPr>
        <w:t xml:space="preserve">V účele </w:t>
      </w:r>
      <w:r w:rsidR="008F1D09" w:rsidRPr="00D2265B">
        <w:rPr>
          <w:rFonts w:ascii="Arial Narrow" w:hAnsi="Arial Narrow"/>
          <w:sz w:val="22"/>
          <w:szCs w:val="20"/>
        </w:rPr>
        <w:t>nezamestnanosť</w:t>
      </w:r>
      <w:r w:rsidRPr="00D2265B">
        <w:rPr>
          <w:rFonts w:ascii="Arial Narrow" w:hAnsi="Arial Narrow"/>
          <w:sz w:val="22"/>
          <w:szCs w:val="20"/>
        </w:rPr>
        <w:t xml:space="preserve"> prevládali </w:t>
      </w:r>
      <w:r w:rsidR="008F1D09" w:rsidRPr="00D2265B">
        <w:rPr>
          <w:rFonts w:ascii="Arial Narrow" w:hAnsi="Arial Narrow"/>
          <w:sz w:val="22"/>
          <w:szCs w:val="20"/>
        </w:rPr>
        <w:t>peňažné</w:t>
      </w:r>
      <w:r w:rsidRPr="00D2265B">
        <w:rPr>
          <w:rFonts w:ascii="Arial Narrow" w:hAnsi="Arial Narrow"/>
          <w:sz w:val="22"/>
          <w:szCs w:val="20"/>
        </w:rPr>
        <w:t xml:space="preserve"> dávky financované </w:t>
      </w:r>
      <w:r w:rsidR="008F1D09" w:rsidRPr="00D2265B">
        <w:rPr>
          <w:rFonts w:ascii="Arial Narrow" w:hAnsi="Arial Narrow"/>
          <w:sz w:val="22"/>
          <w:szCs w:val="20"/>
        </w:rPr>
        <w:t xml:space="preserve">zo sociálneho poistenia, </w:t>
      </w:r>
      <w:r w:rsidR="00C66C9D" w:rsidRPr="00D2265B">
        <w:rPr>
          <w:rFonts w:ascii="Arial Narrow" w:hAnsi="Arial Narrow"/>
          <w:sz w:val="22"/>
          <w:szCs w:val="20"/>
        </w:rPr>
        <w:t>najmä dávky v nezamestnanosti (45</w:t>
      </w:r>
      <w:r w:rsidR="008F1D09" w:rsidRPr="00D2265B">
        <w:rPr>
          <w:rFonts w:ascii="Arial Narrow" w:hAnsi="Arial Narrow"/>
          <w:sz w:val="22"/>
          <w:szCs w:val="20"/>
        </w:rPr>
        <w:t>,</w:t>
      </w:r>
      <w:r w:rsidR="00C66C9D" w:rsidRPr="00D2265B">
        <w:rPr>
          <w:rFonts w:ascii="Arial Narrow" w:hAnsi="Arial Narrow"/>
          <w:sz w:val="22"/>
          <w:szCs w:val="20"/>
        </w:rPr>
        <w:t>6</w:t>
      </w:r>
      <w:r w:rsidR="008F1D09" w:rsidRPr="00D2265B">
        <w:rPr>
          <w:rFonts w:ascii="Arial Narrow" w:hAnsi="Arial Narrow"/>
          <w:sz w:val="22"/>
          <w:szCs w:val="20"/>
        </w:rPr>
        <w:t xml:space="preserve"> %), odstupné platené zamestnávateľmi (</w:t>
      </w:r>
      <w:r w:rsidR="00C66C9D" w:rsidRPr="00D2265B">
        <w:rPr>
          <w:rFonts w:ascii="Arial Narrow" w:hAnsi="Arial Narrow"/>
          <w:sz w:val="22"/>
          <w:szCs w:val="20"/>
        </w:rPr>
        <w:t>27,5</w:t>
      </w:r>
      <w:r w:rsidR="008F1D09" w:rsidRPr="00D2265B">
        <w:rPr>
          <w:rFonts w:ascii="Arial Narrow" w:hAnsi="Arial Narrow"/>
          <w:sz w:val="22"/>
          <w:szCs w:val="20"/>
        </w:rPr>
        <w:t xml:space="preserve"> %) a</w:t>
      </w:r>
      <w:r w:rsidR="00F76CAE" w:rsidRPr="00D2265B">
        <w:rPr>
          <w:rFonts w:ascii="Arial Narrow" w:hAnsi="Arial Narrow"/>
          <w:sz w:val="22"/>
          <w:szCs w:val="20"/>
        </w:rPr>
        <w:t xml:space="preserve"> predčasný dôchodok </w:t>
      </w:r>
      <w:r w:rsidR="00615A32" w:rsidRPr="00D2265B">
        <w:rPr>
          <w:rFonts w:ascii="Arial Narrow" w:hAnsi="Arial Narrow"/>
          <w:sz w:val="22"/>
          <w:szCs w:val="20"/>
        </w:rPr>
        <w:t>(</w:t>
      </w:r>
      <w:r w:rsidR="00C66C9D" w:rsidRPr="00D2265B">
        <w:rPr>
          <w:rFonts w:ascii="Arial Narrow" w:hAnsi="Arial Narrow"/>
          <w:sz w:val="22"/>
          <w:szCs w:val="20"/>
        </w:rPr>
        <w:t>18</w:t>
      </w:r>
      <w:r w:rsidR="00F76CAE" w:rsidRPr="00D2265B">
        <w:rPr>
          <w:rFonts w:ascii="Arial Narrow" w:hAnsi="Arial Narrow"/>
          <w:sz w:val="22"/>
          <w:szCs w:val="20"/>
        </w:rPr>
        <w:t>,</w:t>
      </w:r>
      <w:r w:rsidR="00C66C9D" w:rsidRPr="00D2265B">
        <w:rPr>
          <w:rFonts w:ascii="Arial Narrow" w:hAnsi="Arial Narrow"/>
          <w:sz w:val="22"/>
          <w:szCs w:val="20"/>
        </w:rPr>
        <w:t>9</w:t>
      </w:r>
      <w:r w:rsidR="00F76CAE" w:rsidRPr="00D2265B">
        <w:rPr>
          <w:rFonts w:ascii="Arial Narrow" w:hAnsi="Arial Narrow"/>
          <w:sz w:val="22"/>
          <w:szCs w:val="20"/>
        </w:rPr>
        <w:t xml:space="preserve"> %</w:t>
      </w:r>
      <w:r w:rsidR="00615A32" w:rsidRPr="00D2265B">
        <w:rPr>
          <w:rFonts w:ascii="Arial Narrow" w:hAnsi="Arial Narrow"/>
          <w:sz w:val="22"/>
          <w:szCs w:val="20"/>
        </w:rPr>
        <w:t>)</w:t>
      </w:r>
      <w:r w:rsidR="00F76CAE" w:rsidRPr="00D2265B">
        <w:rPr>
          <w:rFonts w:ascii="Arial Narrow" w:hAnsi="Arial Narrow"/>
          <w:sz w:val="22"/>
          <w:szCs w:val="20"/>
        </w:rPr>
        <w:t>.</w:t>
      </w:r>
    </w:p>
    <w:p w:rsidR="00F9237D" w:rsidRDefault="00F9237D" w:rsidP="00F9237D">
      <w:pPr>
        <w:ind w:firstLine="708"/>
        <w:jc w:val="both"/>
        <w:rPr>
          <w:rFonts w:ascii="Arial Narrow" w:hAnsi="Arial Narrow"/>
          <w:sz w:val="22"/>
          <w:szCs w:val="20"/>
        </w:rPr>
      </w:pPr>
    </w:p>
    <w:p w:rsidR="00F9237D" w:rsidRPr="00F9237D" w:rsidRDefault="00F9237D" w:rsidP="00F9237D">
      <w:pPr>
        <w:ind w:firstLine="708"/>
        <w:jc w:val="both"/>
        <w:rPr>
          <w:rFonts w:ascii="Arial Narrow" w:hAnsi="Arial Narrow"/>
          <w:sz w:val="22"/>
          <w:szCs w:val="20"/>
        </w:rPr>
      </w:pPr>
    </w:p>
    <w:p w:rsidR="00241464" w:rsidRDefault="00C02616" w:rsidP="00AD175F">
      <w:pPr>
        <w:jc w:val="both"/>
        <w:rPr>
          <w:rFonts w:ascii="Arial Narrow" w:hAnsi="Arial Narrow"/>
          <w:b/>
          <w:sz w:val="20"/>
          <w:szCs w:val="20"/>
        </w:rPr>
      </w:pPr>
      <w:r w:rsidRPr="00B251DB">
        <w:rPr>
          <w:rFonts w:ascii="Arial Narrow" w:hAnsi="Arial Narrow"/>
          <w:b/>
          <w:sz w:val="20"/>
          <w:szCs w:val="20"/>
        </w:rPr>
        <w:t>Tab</w:t>
      </w:r>
      <w:r>
        <w:rPr>
          <w:rFonts w:ascii="Arial Narrow" w:hAnsi="Arial Narrow"/>
          <w:b/>
          <w:sz w:val="20"/>
          <w:szCs w:val="20"/>
        </w:rPr>
        <w:t xml:space="preserve">. </w:t>
      </w:r>
      <w:r w:rsidR="00F1117C">
        <w:rPr>
          <w:rFonts w:ascii="Arial Narrow" w:hAnsi="Arial Narrow"/>
          <w:b/>
          <w:sz w:val="20"/>
          <w:szCs w:val="20"/>
        </w:rPr>
        <w:t>1.</w:t>
      </w:r>
      <w:r w:rsidR="00701A7E">
        <w:rPr>
          <w:rFonts w:ascii="Arial Narrow" w:hAnsi="Arial Narrow"/>
          <w:b/>
          <w:sz w:val="20"/>
          <w:szCs w:val="20"/>
        </w:rPr>
        <w:t>10</w:t>
      </w:r>
      <w:r>
        <w:rPr>
          <w:rFonts w:ascii="Arial Narrow" w:hAnsi="Arial Narrow"/>
          <w:b/>
          <w:sz w:val="20"/>
          <w:szCs w:val="20"/>
        </w:rPr>
        <w:t xml:space="preserve"> </w:t>
      </w:r>
      <w:r w:rsidR="002C43AC">
        <w:rPr>
          <w:rFonts w:ascii="Arial Narrow" w:hAnsi="Arial Narrow"/>
          <w:b/>
          <w:sz w:val="20"/>
          <w:szCs w:val="20"/>
        </w:rPr>
        <w:t xml:space="preserve"> </w:t>
      </w:r>
      <w:r w:rsidRPr="00B251DB">
        <w:rPr>
          <w:rFonts w:ascii="Arial Narrow" w:hAnsi="Arial Narrow"/>
          <w:b/>
          <w:sz w:val="20"/>
          <w:szCs w:val="20"/>
        </w:rPr>
        <w:t>Výdavky na sociálne dávky na účel nezamestnanosť</w:t>
      </w:r>
      <w:r>
        <w:rPr>
          <w:rFonts w:ascii="Arial Narrow" w:hAnsi="Arial Narrow"/>
          <w:b/>
          <w:sz w:val="20"/>
          <w:szCs w:val="20"/>
        </w:rPr>
        <w:t xml:space="preserve"> v</w:t>
      </w:r>
      <w:r w:rsidR="00F1117C">
        <w:rPr>
          <w:rFonts w:ascii="Arial Narrow" w:hAnsi="Arial Narrow"/>
          <w:b/>
          <w:sz w:val="20"/>
          <w:szCs w:val="20"/>
        </w:rPr>
        <w:t> </w:t>
      </w:r>
      <w:r>
        <w:rPr>
          <w:rFonts w:ascii="Arial Narrow" w:hAnsi="Arial Narrow"/>
          <w:b/>
          <w:sz w:val="20"/>
          <w:szCs w:val="20"/>
        </w:rPr>
        <w:t>SR</w:t>
      </w:r>
      <w:r w:rsidR="00F1117C">
        <w:rPr>
          <w:rFonts w:ascii="Arial Narrow" w:hAnsi="Arial Narrow"/>
          <w:b/>
          <w:sz w:val="20"/>
          <w:szCs w:val="20"/>
        </w:rPr>
        <w:t xml:space="preserve">, </w:t>
      </w:r>
      <w:r w:rsidR="002C43AC">
        <w:rPr>
          <w:rFonts w:ascii="Arial Narrow" w:hAnsi="Arial Narrow"/>
          <w:b/>
          <w:sz w:val="20"/>
          <w:szCs w:val="20"/>
        </w:rPr>
        <w:t>201</w:t>
      </w:r>
      <w:r w:rsidR="003E226C">
        <w:rPr>
          <w:rFonts w:ascii="Arial Narrow" w:hAnsi="Arial Narrow"/>
          <w:b/>
          <w:sz w:val="20"/>
          <w:szCs w:val="20"/>
        </w:rPr>
        <w:t>9</w:t>
      </w:r>
    </w:p>
    <w:p w:rsidR="00240206" w:rsidRPr="00AD175F" w:rsidRDefault="00C02616" w:rsidP="00AD175F">
      <w:pPr>
        <w:jc w:val="both"/>
        <w:rPr>
          <w:rFonts w:ascii="Arial Narrow" w:hAnsi="Arial Narrow"/>
          <w:b/>
          <w:sz w:val="10"/>
          <w:szCs w:val="10"/>
        </w:rPr>
        <w:sectPr w:rsidR="00240206" w:rsidRPr="00AD175F" w:rsidSect="0050625F">
          <w:type w:val="continuous"/>
          <w:pgSz w:w="11906" w:h="16838"/>
          <w:pgMar w:top="1418" w:right="1418" w:bottom="964" w:left="1418" w:header="720" w:footer="720" w:gutter="0"/>
          <w:cols w:space="720"/>
          <w:docGrid w:linePitch="360"/>
        </w:sectPr>
      </w:pPr>
      <w:r w:rsidRPr="00B251DB">
        <w:rPr>
          <w:rFonts w:ascii="Arial Narrow" w:hAnsi="Arial Narrow"/>
          <w:b/>
          <w:sz w:val="20"/>
          <w:szCs w:val="20"/>
        </w:rPr>
        <w:tab/>
      </w:r>
      <w:r w:rsidRPr="00B251DB">
        <w:rPr>
          <w:rFonts w:ascii="Arial Narrow" w:hAnsi="Arial Narrow"/>
          <w:b/>
          <w:sz w:val="20"/>
          <w:szCs w:val="20"/>
        </w:rPr>
        <w:tab/>
      </w:r>
      <w:r w:rsidRPr="00B251DB">
        <w:rPr>
          <w:rFonts w:ascii="Arial Narrow" w:hAnsi="Arial Narrow"/>
          <w:b/>
          <w:sz w:val="20"/>
          <w:szCs w:val="20"/>
        </w:rPr>
        <w:tab/>
      </w:r>
    </w:p>
    <w:tbl>
      <w:tblPr>
        <w:tblW w:w="9214" w:type="dxa"/>
        <w:tblCellMar>
          <w:left w:w="70" w:type="dxa"/>
          <w:right w:w="70" w:type="dxa"/>
        </w:tblCellMar>
        <w:tblLook w:val="04A0" w:firstRow="1" w:lastRow="0" w:firstColumn="1" w:lastColumn="0" w:noHBand="0" w:noVBand="1"/>
      </w:tblPr>
      <w:tblGrid>
        <w:gridCol w:w="182"/>
        <w:gridCol w:w="182"/>
        <w:gridCol w:w="146"/>
        <w:gridCol w:w="146"/>
        <w:gridCol w:w="3911"/>
        <w:gridCol w:w="678"/>
        <w:gridCol w:w="663"/>
        <w:gridCol w:w="1038"/>
        <w:gridCol w:w="851"/>
        <w:gridCol w:w="567"/>
        <w:gridCol w:w="850"/>
      </w:tblGrid>
      <w:tr w:rsidR="00206A1E" w:rsidTr="00206A1E">
        <w:trPr>
          <w:trHeight w:val="465"/>
        </w:trPr>
        <w:tc>
          <w:tcPr>
            <w:tcW w:w="4567" w:type="dxa"/>
            <w:gridSpan w:val="5"/>
            <w:tcBorders>
              <w:top w:val="nil"/>
              <w:left w:val="nil"/>
              <w:bottom w:val="single" w:sz="4" w:space="0" w:color="FF0000"/>
              <w:right w:val="single" w:sz="4" w:space="0" w:color="FF0000"/>
            </w:tcBorders>
            <w:shd w:val="clear" w:color="000000" w:fill="A9D08E"/>
            <w:vAlign w:val="center"/>
            <w:hideMark/>
          </w:tcPr>
          <w:p w:rsidR="00206A1E" w:rsidRDefault="00206A1E">
            <w:pPr>
              <w:rPr>
                <w:rFonts w:ascii="Arial Narrow" w:hAnsi="Arial Narrow"/>
                <w:i/>
                <w:iCs/>
                <w:sz w:val="16"/>
                <w:szCs w:val="16"/>
                <w:lang w:eastAsia="sk-SK"/>
              </w:rPr>
            </w:pPr>
            <w:r>
              <w:rPr>
                <w:rFonts w:ascii="Arial Narrow" w:hAnsi="Arial Narrow"/>
                <w:i/>
                <w:iCs/>
                <w:sz w:val="16"/>
                <w:szCs w:val="16"/>
              </w:rPr>
              <w:lastRenderedPageBreak/>
              <w:t>Ukazovateľ</w:t>
            </w:r>
          </w:p>
        </w:tc>
        <w:tc>
          <w:tcPr>
            <w:tcW w:w="678" w:type="dxa"/>
            <w:tcBorders>
              <w:top w:val="nil"/>
              <w:left w:val="nil"/>
              <w:bottom w:val="single" w:sz="4" w:space="0" w:color="FF0000"/>
              <w:right w:val="single" w:sz="4" w:space="0" w:color="FF0000"/>
            </w:tcBorders>
            <w:shd w:val="clear" w:color="000000" w:fill="A9D08E"/>
            <w:noWrap/>
            <w:vAlign w:val="center"/>
            <w:hideMark/>
          </w:tcPr>
          <w:p w:rsidR="00206A1E" w:rsidRDefault="00206A1E">
            <w:pPr>
              <w:jc w:val="center"/>
              <w:rPr>
                <w:rFonts w:ascii="Arial Narrow" w:hAnsi="Arial Narrow"/>
                <w:color w:val="000000"/>
                <w:sz w:val="16"/>
                <w:szCs w:val="16"/>
              </w:rPr>
            </w:pPr>
            <w:r>
              <w:rPr>
                <w:rFonts w:ascii="Arial Narrow" w:hAnsi="Arial Narrow"/>
                <w:color w:val="000000"/>
                <w:sz w:val="16"/>
                <w:szCs w:val="16"/>
              </w:rPr>
              <w:t>mil. EUR</w:t>
            </w:r>
          </w:p>
        </w:tc>
        <w:tc>
          <w:tcPr>
            <w:tcW w:w="663" w:type="dxa"/>
            <w:tcBorders>
              <w:top w:val="nil"/>
              <w:left w:val="nil"/>
              <w:bottom w:val="single" w:sz="4" w:space="0" w:color="FF0000"/>
              <w:right w:val="single" w:sz="4" w:space="0" w:color="FF0000"/>
            </w:tcBorders>
            <w:shd w:val="clear" w:color="000000" w:fill="A9D08E"/>
            <w:noWrap/>
            <w:vAlign w:val="center"/>
            <w:hideMark/>
          </w:tcPr>
          <w:p w:rsidR="00206A1E" w:rsidRDefault="007B7FAB">
            <w:pPr>
              <w:jc w:val="center"/>
              <w:rPr>
                <w:rFonts w:ascii="Arial Narrow" w:hAnsi="Arial Narrow"/>
                <w:color w:val="000000"/>
                <w:sz w:val="16"/>
                <w:szCs w:val="16"/>
              </w:rPr>
            </w:pPr>
            <w:r w:rsidRPr="004F1C67">
              <w:rPr>
                <w:rFonts w:ascii="Arial Narrow" w:hAnsi="Arial Narrow"/>
                <w:color w:val="000000"/>
                <w:sz w:val="16"/>
                <w:szCs w:val="16"/>
              </w:rPr>
              <w:t>% z dávok spolu</w:t>
            </w:r>
          </w:p>
        </w:tc>
        <w:tc>
          <w:tcPr>
            <w:tcW w:w="1038" w:type="dxa"/>
            <w:tcBorders>
              <w:top w:val="nil"/>
              <w:left w:val="nil"/>
              <w:bottom w:val="nil"/>
              <w:right w:val="single" w:sz="4" w:space="0" w:color="FF0000"/>
            </w:tcBorders>
            <w:shd w:val="clear" w:color="000000" w:fill="A9D08E"/>
            <w:vAlign w:val="center"/>
            <w:hideMark/>
          </w:tcPr>
          <w:p w:rsidR="00206A1E" w:rsidRDefault="00206A1E">
            <w:pPr>
              <w:jc w:val="center"/>
              <w:rPr>
                <w:rFonts w:ascii="Arial Narrow" w:hAnsi="Arial Narrow"/>
                <w:color w:val="000000"/>
                <w:sz w:val="16"/>
                <w:szCs w:val="16"/>
              </w:rPr>
            </w:pPr>
            <w:r>
              <w:rPr>
                <w:rFonts w:ascii="Arial Narrow" w:hAnsi="Arial Narrow"/>
                <w:color w:val="000000"/>
                <w:sz w:val="16"/>
                <w:szCs w:val="16"/>
              </w:rPr>
              <w:t>EUR na obyv.(s.c.2010)</w:t>
            </w:r>
          </w:p>
        </w:tc>
        <w:tc>
          <w:tcPr>
            <w:tcW w:w="851" w:type="dxa"/>
            <w:tcBorders>
              <w:top w:val="nil"/>
              <w:left w:val="nil"/>
              <w:bottom w:val="single" w:sz="4" w:space="0" w:color="FF0000"/>
              <w:right w:val="single" w:sz="4" w:space="0" w:color="FF0000"/>
            </w:tcBorders>
            <w:shd w:val="clear" w:color="000000" w:fill="A9D08E"/>
            <w:vAlign w:val="center"/>
            <w:hideMark/>
          </w:tcPr>
          <w:p w:rsidR="00206A1E" w:rsidRDefault="00206A1E">
            <w:pPr>
              <w:jc w:val="center"/>
              <w:rPr>
                <w:rFonts w:ascii="Arial Narrow" w:hAnsi="Arial Narrow"/>
                <w:color w:val="000000"/>
                <w:sz w:val="16"/>
                <w:szCs w:val="16"/>
              </w:rPr>
            </w:pPr>
            <w:r>
              <w:rPr>
                <w:rFonts w:ascii="Arial Narrow" w:hAnsi="Arial Narrow"/>
                <w:color w:val="000000"/>
                <w:sz w:val="16"/>
                <w:szCs w:val="16"/>
              </w:rPr>
              <w:t>PPS na obyv.</w:t>
            </w:r>
          </w:p>
        </w:tc>
        <w:tc>
          <w:tcPr>
            <w:tcW w:w="567" w:type="dxa"/>
            <w:tcBorders>
              <w:top w:val="nil"/>
              <w:left w:val="nil"/>
              <w:bottom w:val="single" w:sz="4" w:space="0" w:color="FF0000"/>
              <w:right w:val="single" w:sz="4" w:space="0" w:color="FF0000"/>
            </w:tcBorders>
            <w:shd w:val="clear" w:color="000000" w:fill="A9D08E"/>
            <w:vAlign w:val="center"/>
            <w:hideMark/>
          </w:tcPr>
          <w:p w:rsidR="00206A1E" w:rsidRDefault="00206A1E">
            <w:pPr>
              <w:jc w:val="center"/>
              <w:rPr>
                <w:rFonts w:ascii="Arial Narrow" w:hAnsi="Arial Narrow"/>
                <w:color w:val="000000"/>
                <w:sz w:val="16"/>
                <w:szCs w:val="16"/>
              </w:rPr>
            </w:pPr>
            <w:r>
              <w:rPr>
                <w:rFonts w:ascii="Arial Narrow" w:hAnsi="Arial Narrow"/>
                <w:color w:val="000000"/>
                <w:sz w:val="16"/>
                <w:szCs w:val="16"/>
              </w:rPr>
              <w:t>% HDP</w:t>
            </w:r>
          </w:p>
        </w:tc>
        <w:tc>
          <w:tcPr>
            <w:tcW w:w="850" w:type="dxa"/>
            <w:tcBorders>
              <w:top w:val="nil"/>
              <w:left w:val="nil"/>
              <w:bottom w:val="single" w:sz="4" w:space="0" w:color="FF0000"/>
              <w:right w:val="nil"/>
            </w:tcBorders>
            <w:shd w:val="clear" w:color="000000" w:fill="A9D08E"/>
            <w:vAlign w:val="center"/>
            <w:hideMark/>
          </w:tcPr>
          <w:p w:rsidR="00206A1E" w:rsidRDefault="00206A1E" w:rsidP="003E226C">
            <w:pPr>
              <w:jc w:val="center"/>
              <w:rPr>
                <w:rFonts w:ascii="Arial Narrow" w:hAnsi="Arial Narrow"/>
                <w:color w:val="000000"/>
                <w:sz w:val="16"/>
                <w:szCs w:val="16"/>
              </w:rPr>
            </w:pPr>
            <w:r>
              <w:rPr>
                <w:rFonts w:ascii="Arial Narrow" w:hAnsi="Arial Narrow"/>
                <w:color w:val="000000"/>
                <w:sz w:val="16"/>
                <w:szCs w:val="16"/>
              </w:rPr>
              <w:t>Index 201</w:t>
            </w:r>
            <w:r w:rsidR="003E226C">
              <w:rPr>
                <w:rFonts w:ascii="Arial Narrow" w:hAnsi="Arial Narrow"/>
                <w:color w:val="000000"/>
                <w:sz w:val="16"/>
                <w:szCs w:val="16"/>
              </w:rPr>
              <w:t>9</w:t>
            </w:r>
            <w:r>
              <w:rPr>
                <w:rFonts w:ascii="Arial Narrow" w:hAnsi="Arial Narrow"/>
                <w:color w:val="000000"/>
                <w:sz w:val="16"/>
                <w:szCs w:val="16"/>
              </w:rPr>
              <w:t>/201</w:t>
            </w:r>
            <w:r w:rsidR="003E226C">
              <w:rPr>
                <w:rFonts w:ascii="Arial Narrow" w:hAnsi="Arial Narrow"/>
                <w:color w:val="000000"/>
                <w:sz w:val="16"/>
                <w:szCs w:val="16"/>
              </w:rPr>
              <w:t>8</w:t>
            </w:r>
          </w:p>
        </w:tc>
      </w:tr>
      <w:tr w:rsidR="003E226C" w:rsidTr="00EF1D32">
        <w:trPr>
          <w:trHeight w:val="240"/>
        </w:trPr>
        <w:tc>
          <w:tcPr>
            <w:tcW w:w="4567" w:type="dxa"/>
            <w:gridSpan w:val="5"/>
            <w:tcBorders>
              <w:top w:val="nil"/>
              <w:left w:val="nil"/>
              <w:bottom w:val="nil"/>
              <w:right w:val="single" w:sz="4" w:space="0" w:color="FF0000"/>
            </w:tcBorders>
            <w:shd w:val="clear" w:color="auto" w:fill="A8D08D" w:themeFill="accent6" w:themeFillTint="99"/>
            <w:noWrap/>
            <w:vAlign w:val="center"/>
            <w:hideMark/>
          </w:tcPr>
          <w:p w:rsidR="003E226C" w:rsidRDefault="003E226C" w:rsidP="003E226C">
            <w:pPr>
              <w:rPr>
                <w:rFonts w:ascii="Arial Narrow" w:hAnsi="Arial Narrow"/>
                <w:b/>
                <w:bCs/>
                <w:sz w:val="18"/>
                <w:szCs w:val="18"/>
              </w:rPr>
            </w:pPr>
            <w:r>
              <w:rPr>
                <w:rFonts w:ascii="Arial Narrow" w:hAnsi="Arial Narrow"/>
                <w:b/>
                <w:bCs/>
                <w:sz w:val="18"/>
                <w:szCs w:val="18"/>
              </w:rPr>
              <w:t>Dávky sociálnej ochrany</w:t>
            </w:r>
          </w:p>
        </w:tc>
        <w:tc>
          <w:tcPr>
            <w:tcW w:w="678" w:type="dxa"/>
            <w:tcBorders>
              <w:top w:val="nil"/>
              <w:left w:val="nil"/>
              <w:bottom w:val="nil"/>
              <w:right w:val="single" w:sz="4" w:space="0" w:color="FF0000"/>
            </w:tcBorders>
            <w:shd w:val="clear" w:color="auto" w:fill="A8D08D" w:themeFill="accent6" w:themeFillTint="99"/>
            <w:noWrap/>
            <w:vAlign w:val="bottom"/>
            <w:hideMark/>
          </w:tcPr>
          <w:p w:rsidR="003E226C" w:rsidRDefault="003E226C" w:rsidP="003E226C">
            <w:pPr>
              <w:jc w:val="right"/>
              <w:rPr>
                <w:rFonts w:ascii="Arial Narrow" w:hAnsi="Arial Narrow" w:cs="Calibri"/>
                <w:b/>
                <w:bCs/>
                <w:sz w:val="18"/>
                <w:szCs w:val="18"/>
                <w:lang w:eastAsia="sk-SK"/>
              </w:rPr>
            </w:pPr>
            <w:r>
              <w:rPr>
                <w:rFonts w:ascii="Arial Narrow" w:hAnsi="Arial Narrow" w:cs="Calibri"/>
                <w:b/>
                <w:bCs/>
                <w:sz w:val="18"/>
                <w:szCs w:val="18"/>
              </w:rPr>
              <w:t>469,3</w:t>
            </w:r>
          </w:p>
        </w:tc>
        <w:tc>
          <w:tcPr>
            <w:tcW w:w="663" w:type="dxa"/>
            <w:tcBorders>
              <w:top w:val="nil"/>
              <w:left w:val="nil"/>
              <w:bottom w:val="nil"/>
              <w:right w:val="single" w:sz="4" w:space="0" w:color="FF0000"/>
            </w:tcBorders>
            <w:shd w:val="clear" w:color="auto" w:fill="A8D08D" w:themeFill="accent6" w:themeFillTint="99"/>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100,0</w:t>
            </w:r>
          </w:p>
        </w:tc>
        <w:tc>
          <w:tcPr>
            <w:tcW w:w="1038" w:type="dxa"/>
            <w:tcBorders>
              <w:top w:val="single" w:sz="4" w:space="0" w:color="FF0000"/>
              <w:left w:val="nil"/>
              <w:bottom w:val="nil"/>
              <w:right w:val="single" w:sz="4" w:space="0" w:color="FF0000"/>
            </w:tcBorders>
            <w:shd w:val="clear" w:color="auto" w:fill="A8D08D" w:themeFill="accent6" w:themeFillTint="99"/>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74,3</w:t>
            </w:r>
          </w:p>
        </w:tc>
        <w:tc>
          <w:tcPr>
            <w:tcW w:w="851" w:type="dxa"/>
            <w:tcBorders>
              <w:top w:val="nil"/>
              <w:left w:val="nil"/>
              <w:bottom w:val="nil"/>
              <w:right w:val="single" w:sz="4" w:space="0" w:color="FF0000"/>
            </w:tcBorders>
            <w:shd w:val="clear" w:color="auto" w:fill="A8D08D" w:themeFill="accent6" w:themeFillTint="99"/>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118,5</w:t>
            </w:r>
          </w:p>
        </w:tc>
        <w:tc>
          <w:tcPr>
            <w:tcW w:w="567" w:type="dxa"/>
            <w:tcBorders>
              <w:top w:val="nil"/>
              <w:left w:val="nil"/>
              <w:bottom w:val="nil"/>
              <w:right w:val="single" w:sz="4" w:space="0" w:color="FF0000"/>
            </w:tcBorders>
            <w:shd w:val="clear" w:color="auto" w:fill="A8D08D" w:themeFill="accent6" w:themeFillTint="99"/>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0,5</w:t>
            </w:r>
          </w:p>
        </w:tc>
        <w:tc>
          <w:tcPr>
            <w:tcW w:w="850" w:type="dxa"/>
            <w:tcBorders>
              <w:top w:val="nil"/>
              <w:left w:val="nil"/>
              <w:bottom w:val="nil"/>
              <w:right w:val="nil"/>
            </w:tcBorders>
            <w:shd w:val="clear" w:color="auto" w:fill="A8D08D" w:themeFill="accent6" w:themeFillTint="99"/>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108,9</w:t>
            </w:r>
          </w:p>
        </w:tc>
      </w:tr>
      <w:tr w:rsidR="003E226C" w:rsidTr="00EF1D32">
        <w:trPr>
          <w:trHeight w:val="240"/>
        </w:trPr>
        <w:tc>
          <w:tcPr>
            <w:tcW w:w="182" w:type="dxa"/>
            <w:tcBorders>
              <w:top w:val="nil"/>
              <w:left w:val="nil"/>
              <w:bottom w:val="nil"/>
              <w:right w:val="nil"/>
            </w:tcBorders>
            <w:shd w:val="clear" w:color="auto" w:fill="C5E0B3" w:themeFill="accent6" w:themeFillTint="66"/>
            <w:noWrap/>
            <w:vAlign w:val="center"/>
            <w:hideMark/>
          </w:tcPr>
          <w:p w:rsidR="003E226C" w:rsidRDefault="003E226C" w:rsidP="003E226C">
            <w:pPr>
              <w:rPr>
                <w:rFonts w:ascii="Arial Narrow" w:hAnsi="Arial Narrow"/>
                <w:b/>
                <w:bCs/>
                <w:sz w:val="18"/>
                <w:szCs w:val="18"/>
              </w:rPr>
            </w:pPr>
            <w:r>
              <w:rPr>
                <w:rFonts w:ascii="Arial Narrow" w:hAnsi="Arial Narrow"/>
                <w:b/>
                <w:bCs/>
                <w:sz w:val="18"/>
                <w:szCs w:val="18"/>
              </w:rPr>
              <w:t> </w:t>
            </w:r>
          </w:p>
        </w:tc>
        <w:tc>
          <w:tcPr>
            <w:tcW w:w="4385" w:type="dxa"/>
            <w:gridSpan w:val="4"/>
            <w:tcBorders>
              <w:top w:val="nil"/>
              <w:left w:val="nil"/>
              <w:bottom w:val="nil"/>
              <w:right w:val="single" w:sz="4" w:space="0" w:color="FF0000"/>
            </w:tcBorders>
            <w:shd w:val="clear" w:color="auto" w:fill="C5E0B3" w:themeFill="accent6" w:themeFillTint="66"/>
            <w:noWrap/>
            <w:vAlign w:val="center"/>
            <w:hideMark/>
          </w:tcPr>
          <w:p w:rsidR="003E226C" w:rsidRDefault="003E226C" w:rsidP="003E226C">
            <w:pPr>
              <w:rPr>
                <w:rFonts w:ascii="Arial Narrow" w:hAnsi="Arial Narrow"/>
                <w:b/>
                <w:bCs/>
                <w:sz w:val="18"/>
                <w:szCs w:val="18"/>
              </w:rPr>
            </w:pPr>
            <w:r>
              <w:rPr>
                <w:rFonts w:ascii="Arial Narrow" w:hAnsi="Arial Narrow"/>
                <w:b/>
                <w:bCs/>
                <w:sz w:val="18"/>
                <w:szCs w:val="18"/>
              </w:rPr>
              <w:t>Netestované dávky na príjem</w:t>
            </w:r>
          </w:p>
        </w:tc>
        <w:tc>
          <w:tcPr>
            <w:tcW w:w="678" w:type="dxa"/>
            <w:tcBorders>
              <w:top w:val="nil"/>
              <w:left w:val="nil"/>
              <w:bottom w:val="nil"/>
              <w:right w:val="single" w:sz="4" w:space="0" w:color="FF0000"/>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lang w:eastAsia="sk-SK"/>
              </w:rPr>
            </w:pPr>
            <w:r>
              <w:rPr>
                <w:rFonts w:ascii="Arial Narrow" w:hAnsi="Arial Narrow" w:cs="Calibri"/>
                <w:b/>
                <w:bCs/>
                <w:sz w:val="18"/>
                <w:szCs w:val="18"/>
              </w:rPr>
              <w:t>468,3</w:t>
            </w:r>
          </w:p>
        </w:tc>
        <w:tc>
          <w:tcPr>
            <w:tcW w:w="663" w:type="dxa"/>
            <w:tcBorders>
              <w:top w:val="nil"/>
              <w:left w:val="nil"/>
              <w:bottom w:val="nil"/>
              <w:right w:val="single" w:sz="4" w:space="0" w:color="FF0000"/>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99,8</w:t>
            </w:r>
          </w:p>
        </w:tc>
        <w:tc>
          <w:tcPr>
            <w:tcW w:w="1038" w:type="dxa"/>
            <w:tcBorders>
              <w:top w:val="nil"/>
              <w:left w:val="nil"/>
              <w:bottom w:val="nil"/>
              <w:right w:val="single" w:sz="4" w:space="0" w:color="FF0000"/>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74,1</w:t>
            </w:r>
          </w:p>
        </w:tc>
        <w:tc>
          <w:tcPr>
            <w:tcW w:w="851" w:type="dxa"/>
            <w:tcBorders>
              <w:top w:val="nil"/>
              <w:left w:val="nil"/>
              <w:bottom w:val="nil"/>
              <w:right w:val="single" w:sz="4" w:space="0" w:color="FF0000"/>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118,2</w:t>
            </w:r>
          </w:p>
        </w:tc>
        <w:tc>
          <w:tcPr>
            <w:tcW w:w="567" w:type="dxa"/>
            <w:tcBorders>
              <w:top w:val="nil"/>
              <w:left w:val="nil"/>
              <w:bottom w:val="nil"/>
              <w:right w:val="single" w:sz="4" w:space="0" w:color="FF0000"/>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0,5</w:t>
            </w:r>
          </w:p>
        </w:tc>
        <w:tc>
          <w:tcPr>
            <w:tcW w:w="850" w:type="dxa"/>
            <w:tcBorders>
              <w:top w:val="nil"/>
              <w:left w:val="nil"/>
              <w:bottom w:val="nil"/>
              <w:right w:val="nil"/>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108,9</w:t>
            </w:r>
          </w:p>
        </w:tc>
      </w:tr>
      <w:tr w:rsidR="003E226C" w:rsidTr="00EF1D32">
        <w:trPr>
          <w:trHeight w:val="240"/>
        </w:trPr>
        <w:tc>
          <w:tcPr>
            <w:tcW w:w="182" w:type="dxa"/>
            <w:tcBorders>
              <w:top w:val="nil"/>
              <w:left w:val="nil"/>
              <w:bottom w:val="nil"/>
              <w:right w:val="nil"/>
            </w:tcBorders>
            <w:shd w:val="clear" w:color="auto" w:fill="E2EFD9" w:themeFill="accent6" w:themeFillTint="33"/>
            <w:noWrap/>
            <w:vAlign w:val="center"/>
            <w:hideMark/>
          </w:tcPr>
          <w:p w:rsidR="003E226C" w:rsidRDefault="003E226C" w:rsidP="003E226C">
            <w:pPr>
              <w:rPr>
                <w:rFonts w:ascii="Arial Narrow" w:hAnsi="Arial Narrow"/>
                <w:b/>
                <w:bCs/>
                <w:sz w:val="18"/>
                <w:szCs w:val="18"/>
              </w:rPr>
            </w:pPr>
            <w:r>
              <w:rPr>
                <w:rFonts w:ascii="Arial Narrow" w:hAnsi="Arial Narrow"/>
                <w:b/>
                <w:bCs/>
                <w:sz w:val="18"/>
                <w:szCs w:val="18"/>
              </w:rPr>
              <w:t> </w:t>
            </w:r>
          </w:p>
        </w:tc>
        <w:tc>
          <w:tcPr>
            <w:tcW w:w="182" w:type="dxa"/>
            <w:tcBorders>
              <w:top w:val="nil"/>
              <w:left w:val="nil"/>
              <w:bottom w:val="nil"/>
              <w:right w:val="nil"/>
            </w:tcBorders>
            <w:shd w:val="clear" w:color="auto" w:fill="E2EFD9" w:themeFill="accent6" w:themeFillTint="33"/>
            <w:noWrap/>
            <w:vAlign w:val="center"/>
            <w:hideMark/>
          </w:tcPr>
          <w:p w:rsidR="003E226C" w:rsidRDefault="003E226C" w:rsidP="003E226C">
            <w:pPr>
              <w:rPr>
                <w:rFonts w:ascii="Arial Narrow" w:hAnsi="Arial Narrow"/>
                <w:b/>
                <w:bCs/>
                <w:sz w:val="18"/>
                <w:szCs w:val="18"/>
              </w:rPr>
            </w:pPr>
            <w:r>
              <w:rPr>
                <w:rFonts w:ascii="Arial Narrow" w:hAnsi="Arial Narrow"/>
                <w:b/>
                <w:bCs/>
                <w:sz w:val="18"/>
                <w:szCs w:val="18"/>
              </w:rPr>
              <w:t> </w:t>
            </w:r>
          </w:p>
        </w:tc>
        <w:tc>
          <w:tcPr>
            <w:tcW w:w="4203" w:type="dxa"/>
            <w:gridSpan w:val="3"/>
            <w:tcBorders>
              <w:top w:val="nil"/>
              <w:left w:val="nil"/>
              <w:bottom w:val="nil"/>
              <w:right w:val="single" w:sz="4" w:space="0" w:color="FF0000"/>
            </w:tcBorders>
            <w:shd w:val="clear" w:color="auto" w:fill="E2EFD9" w:themeFill="accent6" w:themeFillTint="33"/>
            <w:noWrap/>
            <w:vAlign w:val="center"/>
            <w:hideMark/>
          </w:tcPr>
          <w:p w:rsidR="003E226C" w:rsidRDefault="003E226C" w:rsidP="003E226C">
            <w:pPr>
              <w:rPr>
                <w:rFonts w:ascii="Arial Narrow" w:hAnsi="Arial Narrow"/>
                <w:b/>
                <w:bCs/>
                <w:sz w:val="18"/>
                <w:szCs w:val="18"/>
              </w:rPr>
            </w:pPr>
            <w:r>
              <w:rPr>
                <w:rFonts w:ascii="Arial Narrow" w:hAnsi="Arial Narrow"/>
                <w:b/>
                <w:bCs/>
                <w:sz w:val="18"/>
                <w:szCs w:val="18"/>
              </w:rPr>
              <w:t>Peňažné dávky</w:t>
            </w:r>
          </w:p>
        </w:tc>
        <w:tc>
          <w:tcPr>
            <w:tcW w:w="678" w:type="dxa"/>
            <w:tcBorders>
              <w:top w:val="nil"/>
              <w:left w:val="nil"/>
              <w:bottom w:val="nil"/>
              <w:right w:val="single" w:sz="4" w:space="0" w:color="FF0000"/>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lang w:eastAsia="sk-SK"/>
              </w:rPr>
            </w:pPr>
            <w:r>
              <w:rPr>
                <w:rFonts w:ascii="Arial Narrow" w:hAnsi="Arial Narrow" w:cs="Calibri"/>
                <w:b/>
                <w:bCs/>
                <w:sz w:val="18"/>
                <w:szCs w:val="18"/>
              </w:rPr>
              <w:t>464,6</w:t>
            </w:r>
          </w:p>
        </w:tc>
        <w:tc>
          <w:tcPr>
            <w:tcW w:w="663" w:type="dxa"/>
            <w:tcBorders>
              <w:top w:val="nil"/>
              <w:left w:val="nil"/>
              <w:bottom w:val="nil"/>
              <w:right w:val="single" w:sz="4" w:space="0" w:color="FF0000"/>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99,0</w:t>
            </w:r>
          </w:p>
        </w:tc>
        <w:tc>
          <w:tcPr>
            <w:tcW w:w="1038" w:type="dxa"/>
            <w:tcBorders>
              <w:top w:val="nil"/>
              <w:left w:val="nil"/>
              <w:bottom w:val="nil"/>
              <w:right w:val="single" w:sz="4" w:space="0" w:color="FF0000"/>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73,5</w:t>
            </w:r>
          </w:p>
        </w:tc>
        <w:tc>
          <w:tcPr>
            <w:tcW w:w="851" w:type="dxa"/>
            <w:tcBorders>
              <w:top w:val="nil"/>
              <w:left w:val="nil"/>
              <w:bottom w:val="nil"/>
              <w:right w:val="single" w:sz="4" w:space="0" w:color="FF0000"/>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117,3</w:t>
            </w:r>
          </w:p>
        </w:tc>
        <w:tc>
          <w:tcPr>
            <w:tcW w:w="567" w:type="dxa"/>
            <w:tcBorders>
              <w:top w:val="nil"/>
              <w:left w:val="nil"/>
              <w:bottom w:val="nil"/>
              <w:right w:val="single" w:sz="4" w:space="0" w:color="FF0000"/>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0,5</w:t>
            </w:r>
          </w:p>
        </w:tc>
        <w:tc>
          <w:tcPr>
            <w:tcW w:w="850" w:type="dxa"/>
            <w:tcBorders>
              <w:top w:val="nil"/>
              <w:left w:val="nil"/>
              <w:bottom w:val="nil"/>
              <w:right w:val="nil"/>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108,9</w:t>
            </w:r>
          </w:p>
        </w:tc>
      </w:tr>
      <w:tr w:rsidR="003E226C" w:rsidTr="00206A1E">
        <w:trPr>
          <w:trHeight w:val="240"/>
        </w:trPr>
        <w:tc>
          <w:tcPr>
            <w:tcW w:w="182" w:type="dxa"/>
            <w:tcBorders>
              <w:top w:val="nil"/>
              <w:left w:val="nil"/>
              <w:bottom w:val="nil"/>
              <w:right w:val="nil"/>
            </w:tcBorders>
            <w:shd w:val="clear" w:color="auto" w:fill="auto"/>
            <w:noWrap/>
            <w:vAlign w:val="center"/>
            <w:hideMark/>
          </w:tcPr>
          <w:p w:rsidR="003E226C" w:rsidRDefault="003E226C" w:rsidP="003E226C">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4057" w:type="dxa"/>
            <w:gridSpan w:val="2"/>
            <w:tcBorders>
              <w:top w:val="nil"/>
              <w:left w:val="nil"/>
              <w:bottom w:val="nil"/>
              <w:right w:val="single" w:sz="4" w:space="0" w:color="FF0000"/>
            </w:tcBorders>
            <w:shd w:val="clear" w:color="auto" w:fill="auto"/>
            <w:noWrap/>
            <w:vAlign w:val="center"/>
            <w:hideMark/>
          </w:tcPr>
          <w:p w:rsidR="003E226C" w:rsidRDefault="003E226C" w:rsidP="003E226C">
            <w:pPr>
              <w:rPr>
                <w:rFonts w:ascii="Arial Narrow" w:hAnsi="Arial Narrow"/>
                <w:b/>
                <w:bCs/>
                <w:sz w:val="18"/>
                <w:szCs w:val="18"/>
              </w:rPr>
            </w:pPr>
            <w:r>
              <w:rPr>
                <w:rFonts w:ascii="Arial Narrow" w:hAnsi="Arial Narrow"/>
                <w:b/>
                <w:bCs/>
                <w:sz w:val="18"/>
                <w:szCs w:val="18"/>
              </w:rPr>
              <w:t xml:space="preserve"> Periodické</w:t>
            </w:r>
          </w:p>
        </w:tc>
        <w:tc>
          <w:tcPr>
            <w:tcW w:w="67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b/>
                <w:bCs/>
                <w:sz w:val="18"/>
                <w:szCs w:val="18"/>
                <w:lang w:eastAsia="sk-SK"/>
              </w:rPr>
            </w:pPr>
            <w:r>
              <w:rPr>
                <w:rFonts w:ascii="Arial Narrow" w:hAnsi="Arial Narrow" w:cs="Calibri"/>
                <w:b/>
                <w:bCs/>
                <w:sz w:val="18"/>
                <w:szCs w:val="18"/>
              </w:rPr>
              <w:t>322,8</w:t>
            </w:r>
          </w:p>
        </w:tc>
        <w:tc>
          <w:tcPr>
            <w:tcW w:w="663"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68,8</w:t>
            </w:r>
          </w:p>
        </w:tc>
        <w:tc>
          <w:tcPr>
            <w:tcW w:w="103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51,1</w:t>
            </w:r>
          </w:p>
        </w:tc>
        <w:tc>
          <w:tcPr>
            <w:tcW w:w="851"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81,5</w:t>
            </w:r>
          </w:p>
        </w:tc>
        <w:tc>
          <w:tcPr>
            <w:tcW w:w="567"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0,3</w:t>
            </w:r>
          </w:p>
        </w:tc>
        <w:tc>
          <w:tcPr>
            <w:tcW w:w="850"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109,1</w:t>
            </w:r>
          </w:p>
        </w:tc>
      </w:tr>
      <w:tr w:rsidR="003E226C" w:rsidTr="00206A1E">
        <w:trPr>
          <w:trHeight w:val="240"/>
        </w:trPr>
        <w:tc>
          <w:tcPr>
            <w:tcW w:w="182" w:type="dxa"/>
            <w:tcBorders>
              <w:top w:val="nil"/>
              <w:left w:val="nil"/>
              <w:bottom w:val="nil"/>
              <w:right w:val="nil"/>
            </w:tcBorders>
            <w:shd w:val="clear" w:color="auto" w:fill="auto"/>
            <w:noWrap/>
            <w:vAlign w:val="center"/>
            <w:hideMark/>
          </w:tcPr>
          <w:p w:rsidR="003E226C" w:rsidRDefault="003E226C" w:rsidP="003E226C">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3911" w:type="dxa"/>
            <w:tcBorders>
              <w:top w:val="nil"/>
              <w:left w:val="nil"/>
              <w:bottom w:val="nil"/>
              <w:right w:val="single" w:sz="4" w:space="0" w:color="FF0000"/>
            </w:tcBorders>
            <w:shd w:val="clear" w:color="auto" w:fill="auto"/>
            <w:noWrap/>
            <w:vAlign w:val="center"/>
            <w:hideMark/>
          </w:tcPr>
          <w:p w:rsidR="003E226C" w:rsidRDefault="003E226C" w:rsidP="003E226C">
            <w:pPr>
              <w:rPr>
                <w:rFonts w:ascii="Arial Narrow" w:hAnsi="Arial Narrow"/>
                <w:sz w:val="18"/>
                <w:szCs w:val="18"/>
              </w:rPr>
            </w:pPr>
            <w:r>
              <w:rPr>
                <w:rFonts w:ascii="Arial Narrow" w:hAnsi="Arial Narrow"/>
                <w:sz w:val="18"/>
                <w:szCs w:val="18"/>
              </w:rPr>
              <w:t>Plná dávka v nezamestnanosti</w:t>
            </w:r>
          </w:p>
        </w:tc>
        <w:tc>
          <w:tcPr>
            <w:tcW w:w="67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lang w:eastAsia="sk-SK"/>
              </w:rPr>
            </w:pPr>
            <w:r>
              <w:rPr>
                <w:rFonts w:ascii="Arial Narrow" w:hAnsi="Arial Narrow" w:cs="Calibri"/>
                <w:sz w:val="18"/>
                <w:szCs w:val="18"/>
              </w:rPr>
              <w:t>214,2</w:t>
            </w:r>
          </w:p>
        </w:tc>
        <w:tc>
          <w:tcPr>
            <w:tcW w:w="663"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45,6</w:t>
            </w:r>
          </w:p>
        </w:tc>
        <w:tc>
          <w:tcPr>
            <w:tcW w:w="103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33,9</w:t>
            </w:r>
          </w:p>
        </w:tc>
        <w:tc>
          <w:tcPr>
            <w:tcW w:w="851"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54,1</w:t>
            </w:r>
          </w:p>
        </w:tc>
        <w:tc>
          <w:tcPr>
            <w:tcW w:w="567"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0,2</w:t>
            </w:r>
          </w:p>
        </w:tc>
        <w:tc>
          <w:tcPr>
            <w:tcW w:w="850"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116,6</w:t>
            </w:r>
          </w:p>
        </w:tc>
      </w:tr>
      <w:tr w:rsidR="00206A1E" w:rsidTr="00206A1E">
        <w:trPr>
          <w:trHeight w:val="315"/>
        </w:trPr>
        <w:tc>
          <w:tcPr>
            <w:tcW w:w="182" w:type="dxa"/>
            <w:tcBorders>
              <w:top w:val="nil"/>
              <w:left w:val="nil"/>
              <w:bottom w:val="nil"/>
              <w:right w:val="nil"/>
            </w:tcBorders>
            <w:shd w:val="clear" w:color="auto" w:fill="auto"/>
            <w:noWrap/>
            <w:vAlign w:val="center"/>
            <w:hideMark/>
          </w:tcPr>
          <w:p w:rsidR="00206A1E" w:rsidRDefault="00206A1E">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206A1E" w:rsidRDefault="00206A1E">
            <w:pPr>
              <w:rPr>
                <w:sz w:val="20"/>
                <w:szCs w:val="20"/>
              </w:rPr>
            </w:pPr>
          </w:p>
        </w:tc>
        <w:tc>
          <w:tcPr>
            <w:tcW w:w="146" w:type="dxa"/>
            <w:tcBorders>
              <w:top w:val="nil"/>
              <w:left w:val="nil"/>
              <w:bottom w:val="nil"/>
              <w:right w:val="nil"/>
            </w:tcBorders>
            <w:shd w:val="clear" w:color="auto" w:fill="auto"/>
            <w:noWrap/>
            <w:vAlign w:val="center"/>
            <w:hideMark/>
          </w:tcPr>
          <w:p w:rsidR="00206A1E" w:rsidRDefault="00206A1E">
            <w:pPr>
              <w:rPr>
                <w:sz w:val="20"/>
                <w:szCs w:val="20"/>
              </w:rPr>
            </w:pPr>
          </w:p>
        </w:tc>
        <w:tc>
          <w:tcPr>
            <w:tcW w:w="146" w:type="dxa"/>
            <w:tcBorders>
              <w:top w:val="nil"/>
              <w:left w:val="nil"/>
              <w:bottom w:val="nil"/>
              <w:right w:val="nil"/>
            </w:tcBorders>
            <w:shd w:val="clear" w:color="auto" w:fill="auto"/>
            <w:noWrap/>
            <w:vAlign w:val="center"/>
            <w:hideMark/>
          </w:tcPr>
          <w:p w:rsidR="00206A1E" w:rsidRDefault="00206A1E">
            <w:pPr>
              <w:rPr>
                <w:sz w:val="20"/>
                <w:szCs w:val="20"/>
              </w:rPr>
            </w:pPr>
          </w:p>
        </w:tc>
        <w:tc>
          <w:tcPr>
            <w:tcW w:w="3911" w:type="dxa"/>
            <w:tcBorders>
              <w:top w:val="nil"/>
              <w:left w:val="nil"/>
              <w:bottom w:val="nil"/>
              <w:right w:val="single" w:sz="4" w:space="0" w:color="FF0000"/>
            </w:tcBorders>
            <w:shd w:val="clear" w:color="auto" w:fill="auto"/>
            <w:noWrap/>
            <w:vAlign w:val="center"/>
            <w:hideMark/>
          </w:tcPr>
          <w:p w:rsidR="00206A1E" w:rsidRDefault="00206A1E">
            <w:pPr>
              <w:rPr>
                <w:rFonts w:ascii="Arial Narrow" w:hAnsi="Arial Narrow"/>
                <w:sz w:val="18"/>
                <w:szCs w:val="18"/>
              </w:rPr>
            </w:pPr>
            <w:r>
              <w:rPr>
                <w:rFonts w:ascii="Arial Narrow" w:hAnsi="Arial Narrow"/>
                <w:sz w:val="18"/>
                <w:szCs w:val="18"/>
              </w:rPr>
              <w:t>Čiastočná dávka v nezamestnanosti</w:t>
            </w:r>
          </w:p>
        </w:tc>
        <w:tc>
          <w:tcPr>
            <w:tcW w:w="678"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663"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1038"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851"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567"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nil"/>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x</w:t>
            </w:r>
          </w:p>
        </w:tc>
      </w:tr>
      <w:tr w:rsidR="003E226C" w:rsidTr="00206A1E">
        <w:trPr>
          <w:trHeight w:val="240"/>
        </w:trPr>
        <w:tc>
          <w:tcPr>
            <w:tcW w:w="182"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bottom"/>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bottom"/>
            <w:hideMark/>
          </w:tcPr>
          <w:p w:rsidR="003E226C" w:rsidRDefault="003E226C" w:rsidP="003E226C">
            <w:pPr>
              <w:rPr>
                <w:sz w:val="20"/>
                <w:szCs w:val="20"/>
              </w:rPr>
            </w:pPr>
          </w:p>
        </w:tc>
        <w:tc>
          <w:tcPr>
            <w:tcW w:w="3911" w:type="dxa"/>
            <w:tcBorders>
              <w:top w:val="nil"/>
              <w:left w:val="nil"/>
              <w:bottom w:val="nil"/>
              <w:right w:val="single" w:sz="4" w:space="0" w:color="FF0000"/>
            </w:tcBorders>
            <w:shd w:val="clear" w:color="auto" w:fill="auto"/>
            <w:vAlign w:val="bottom"/>
            <w:hideMark/>
          </w:tcPr>
          <w:p w:rsidR="003E226C" w:rsidRDefault="003E226C" w:rsidP="003E226C">
            <w:pPr>
              <w:rPr>
                <w:rFonts w:ascii="Arial Narrow" w:hAnsi="Arial Narrow"/>
                <w:sz w:val="18"/>
                <w:szCs w:val="18"/>
              </w:rPr>
            </w:pPr>
            <w:r>
              <w:rPr>
                <w:rFonts w:ascii="Arial Narrow" w:hAnsi="Arial Narrow"/>
                <w:sz w:val="18"/>
                <w:szCs w:val="18"/>
              </w:rPr>
              <w:t>Predčasný odchod do dôchodku z dôvodov trhu práce</w:t>
            </w:r>
          </w:p>
        </w:tc>
        <w:tc>
          <w:tcPr>
            <w:tcW w:w="67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lang w:eastAsia="sk-SK"/>
              </w:rPr>
            </w:pPr>
            <w:r>
              <w:rPr>
                <w:rFonts w:ascii="Arial Narrow" w:hAnsi="Arial Narrow" w:cs="Calibri"/>
                <w:sz w:val="18"/>
                <w:szCs w:val="18"/>
              </w:rPr>
              <w:t>88,6</w:t>
            </w:r>
          </w:p>
        </w:tc>
        <w:tc>
          <w:tcPr>
            <w:tcW w:w="663"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18,9</w:t>
            </w:r>
          </w:p>
        </w:tc>
        <w:tc>
          <w:tcPr>
            <w:tcW w:w="103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14,0</w:t>
            </w:r>
          </w:p>
        </w:tc>
        <w:tc>
          <w:tcPr>
            <w:tcW w:w="851"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22,4</w:t>
            </w:r>
          </w:p>
        </w:tc>
        <w:tc>
          <w:tcPr>
            <w:tcW w:w="567"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0,1</w:t>
            </w:r>
          </w:p>
        </w:tc>
        <w:tc>
          <w:tcPr>
            <w:tcW w:w="850"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94,5</w:t>
            </w:r>
          </w:p>
        </w:tc>
      </w:tr>
      <w:tr w:rsidR="003E226C" w:rsidTr="00206A1E">
        <w:trPr>
          <w:trHeight w:val="240"/>
        </w:trPr>
        <w:tc>
          <w:tcPr>
            <w:tcW w:w="182" w:type="dxa"/>
            <w:tcBorders>
              <w:top w:val="nil"/>
              <w:left w:val="nil"/>
              <w:bottom w:val="nil"/>
              <w:right w:val="nil"/>
            </w:tcBorders>
            <w:shd w:val="clear" w:color="auto" w:fill="auto"/>
            <w:noWrap/>
            <w:vAlign w:val="center"/>
            <w:hideMark/>
          </w:tcPr>
          <w:p w:rsidR="003E226C" w:rsidRDefault="003E226C" w:rsidP="003E226C">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3911" w:type="dxa"/>
            <w:tcBorders>
              <w:top w:val="nil"/>
              <w:left w:val="nil"/>
              <w:bottom w:val="nil"/>
              <w:right w:val="single" w:sz="4" w:space="0" w:color="FF0000"/>
            </w:tcBorders>
            <w:shd w:val="clear" w:color="auto" w:fill="auto"/>
            <w:noWrap/>
            <w:vAlign w:val="center"/>
            <w:hideMark/>
          </w:tcPr>
          <w:p w:rsidR="003E226C" w:rsidRDefault="003E226C" w:rsidP="003E226C">
            <w:pPr>
              <w:rPr>
                <w:rFonts w:ascii="Arial Narrow" w:hAnsi="Arial Narrow"/>
                <w:sz w:val="18"/>
                <w:szCs w:val="18"/>
              </w:rPr>
            </w:pPr>
            <w:r>
              <w:rPr>
                <w:rFonts w:ascii="Arial Narrow" w:hAnsi="Arial Narrow"/>
                <w:sz w:val="18"/>
                <w:szCs w:val="18"/>
              </w:rPr>
              <w:t>Príspevok  na odborný výcvik</w:t>
            </w:r>
          </w:p>
        </w:tc>
        <w:tc>
          <w:tcPr>
            <w:tcW w:w="67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lang w:eastAsia="sk-SK"/>
              </w:rPr>
            </w:pPr>
            <w:r>
              <w:rPr>
                <w:rFonts w:ascii="Arial Narrow" w:hAnsi="Arial Narrow" w:cs="Calibri"/>
                <w:sz w:val="18"/>
                <w:szCs w:val="18"/>
              </w:rPr>
              <w:t>11,5</w:t>
            </w:r>
          </w:p>
        </w:tc>
        <w:tc>
          <w:tcPr>
            <w:tcW w:w="663"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2,4</w:t>
            </w:r>
          </w:p>
        </w:tc>
        <w:tc>
          <w:tcPr>
            <w:tcW w:w="103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1,8</w:t>
            </w:r>
          </w:p>
        </w:tc>
        <w:tc>
          <w:tcPr>
            <w:tcW w:w="851"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2,9</w:t>
            </w:r>
          </w:p>
        </w:tc>
        <w:tc>
          <w:tcPr>
            <w:tcW w:w="567"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113,2</w:t>
            </w:r>
          </w:p>
        </w:tc>
      </w:tr>
      <w:tr w:rsidR="003E226C" w:rsidTr="00206A1E">
        <w:trPr>
          <w:trHeight w:val="240"/>
        </w:trPr>
        <w:tc>
          <w:tcPr>
            <w:tcW w:w="182" w:type="dxa"/>
            <w:tcBorders>
              <w:top w:val="nil"/>
              <w:left w:val="nil"/>
              <w:bottom w:val="nil"/>
              <w:right w:val="nil"/>
            </w:tcBorders>
            <w:shd w:val="clear" w:color="auto" w:fill="auto"/>
            <w:noWrap/>
            <w:vAlign w:val="center"/>
            <w:hideMark/>
          </w:tcPr>
          <w:p w:rsidR="003E226C" w:rsidRDefault="003E226C" w:rsidP="003E226C">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3911" w:type="dxa"/>
            <w:tcBorders>
              <w:top w:val="nil"/>
              <w:left w:val="nil"/>
              <w:bottom w:val="nil"/>
              <w:right w:val="single" w:sz="4" w:space="0" w:color="FF0000"/>
            </w:tcBorders>
            <w:shd w:val="clear" w:color="auto" w:fill="auto"/>
            <w:noWrap/>
            <w:vAlign w:val="center"/>
            <w:hideMark/>
          </w:tcPr>
          <w:p w:rsidR="003E226C" w:rsidRDefault="003E226C" w:rsidP="003E226C">
            <w:pPr>
              <w:rPr>
                <w:rFonts w:ascii="Arial Narrow" w:hAnsi="Arial Narrow"/>
                <w:sz w:val="18"/>
                <w:szCs w:val="18"/>
              </w:rPr>
            </w:pPr>
            <w:r>
              <w:rPr>
                <w:rFonts w:ascii="Arial Narrow" w:hAnsi="Arial Narrow"/>
                <w:sz w:val="18"/>
                <w:szCs w:val="18"/>
              </w:rPr>
              <w:t>Iné peňažné periodické dávky</w:t>
            </w:r>
          </w:p>
        </w:tc>
        <w:tc>
          <w:tcPr>
            <w:tcW w:w="67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lang w:eastAsia="sk-SK"/>
              </w:rPr>
            </w:pPr>
            <w:r>
              <w:rPr>
                <w:rFonts w:ascii="Arial Narrow" w:hAnsi="Arial Narrow" w:cs="Calibri"/>
                <w:sz w:val="18"/>
                <w:szCs w:val="18"/>
              </w:rPr>
              <w:t>8,6</w:t>
            </w:r>
          </w:p>
        </w:tc>
        <w:tc>
          <w:tcPr>
            <w:tcW w:w="663"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1,8</w:t>
            </w:r>
          </w:p>
        </w:tc>
        <w:tc>
          <w:tcPr>
            <w:tcW w:w="103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1,4</w:t>
            </w:r>
          </w:p>
        </w:tc>
        <w:tc>
          <w:tcPr>
            <w:tcW w:w="851"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2,2</w:t>
            </w:r>
          </w:p>
        </w:tc>
        <w:tc>
          <w:tcPr>
            <w:tcW w:w="567"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105,3</w:t>
            </w:r>
          </w:p>
        </w:tc>
      </w:tr>
      <w:tr w:rsidR="003E226C" w:rsidTr="00206A1E">
        <w:trPr>
          <w:trHeight w:val="240"/>
        </w:trPr>
        <w:tc>
          <w:tcPr>
            <w:tcW w:w="182" w:type="dxa"/>
            <w:tcBorders>
              <w:top w:val="nil"/>
              <w:left w:val="nil"/>
              <w:bottom w:val="nil"/>
              <w:right w:val="nil"/>
            </w:tcBorders>
            <w:shd w:val="clear" w:color="auto" w:fill="auto"/>
            <w:noWrap/>
            <w:vAlign w:val="center"/>
            <w:hideMark/>
          </w:tcPr>
          <w:p w:rsidR="003E226C" w:rsidRDefault="003E226C" w:rsidP="003E226C">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4057" w:type="dxa"/>
            <w:gridSpan w:val="2"/>
            <w:tcBorders>
              <w:top w:val="nil"/>
              <w:left w:val="nil"/>
              <w:bottom w:val="nil"/>
              <w:right w:val="single" w:sz="4" w:space="0" w:color="FF0000"/>
            </w:tcBorders>
            <w:shd w:val="clear" w:color="auto" w:fill="auto"/>
            <w:noWrap/>
            <w:vAlign w:val="center"/>
            <w:hideMark/>
          </w:tcPr>
          <w:p w:rsidR="003E226C" w:rsidRDefault="003E226C" w:rsidP="003E226C">
            <w:pPr>
              <w:rPr>
                <w:rFonts w:ascii="Arial Narrow" w:hAnsi="Arial Narrow"/>
                <w:b/>
                <w:bCs/>
                <w:sz w:val="18"/>
                <w:szCs w:val="18"/>
              </w:rPr>
            </w:pPr>
            <w:r>
              <w:rPr>
                <w:rFonts w:ascii="Arial Narrow" w:hAnsi="Arial Narrow"/>
                <w:b/>
                <w:bCs/>
                <w:sz w:val="18"/>
                <w:szCs w:val="18"/>
              </w:rPr>
              <w:t>Jednorazové</w:t>
            </w:r>
          </w:p>
        </w:tc>
        <w:tc>
          <w:tcPr>
            <w:tcW w:w="67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b/>
                <w:bCs/>
                <w:sz w:val="18"/>
                <w:szCs w:val="18"/>
                <w:lang w:eastAsia="sk-SK"/>
              </w:rPr>
            </w:pPr>
            <w:r>
              <w:rPr>
                <w:rFonts w:ascii="Arial Narrow" w:hAnsi="Arial Narrow" w:cs="Calibri"/>
                <w:b/>
                <w:bCs/>
                <w:sz w:val="18"/>
                <w:szCs w:val="18"/>
              </w:rPr>
              <w:t>141,7</w:t>
            </w:r>
          </w:p>
        </w:tc>
        <w:tc>
          <w:tcPr>
            <w:tcW w:w="663"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30,2</w:t>
            </w:r>
          </w:p>
        </w:tc>
        <w:tc>
          <w:tcPr>
            <w:tcW w:w="103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22,4</w:t>
            </w:r>
          </w:p>
        </w:tc>
        <w:tc>
          <w:tcPr>
            <w:tcW w:w="851"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35,8</w:t>
            </w:r>
          </w:p>
        </w:tc>
        <w:tc>
          <w:tcPr>
            <w:tcW w:w="567"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0,2</w:t>
            </w:r>
          </w:p>
        </w:tc>
        <w:tc>
          <w:tcPr>
            <w:tcW w:w="850"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108,3</w:t>
            </w:r>
          </w:p>
        </w:tc>
      </w:tr>
      <w:tr w:rsidR="00206A1E" w:rsidTr="00206A1E">
        <w:trPr>
          <w:trHeight w:val="240"/>
        </w:trPr>
        <w:tc>
          <w:tcPr>
            <w:tcW w:w="182" w:type="dxa"/>
            <w:tcBorders>
              <w:top w:val="nil"/>
              <w:left w:val="nil"/>
              <w:bottom w:val="nil"/>
              <w:right w:val="nil"/>
            </w:tcBorders>
            <w:shd w:val="clear" w:color="auto" w:fill="auto"/>
            <w:noWrap/>
            <w:vAlign w:val="center"/>
            <w:hideMark/>
          </w:tcPr>
          <w:p w:rsidR="00206A1E" w:rsidRDefault="00206A1E">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206A1E" w:rsidRDefault="00206A1E">
            <w:pPr>
              <w:rPr>
                <w:sz w:val="20"/>
                <w:szCs w:val="20"/>
              </w:rPr>
            </w:pPr>
          </w:p>
        </w:tc>
        <w:tc>
          <w:tcPr>
            <w:tcW w:w="146" w:type="dxa"/>
            <w:tcBorders>
              <w:top w:val="nil"/>
              <w:left w:val="nil"/>
              <w:bottom w:val="nil"/>
              <w:right w:val="nil"/>
            </w:tcBorders>
            <w:shd w:val="clear" w:color="auto" w:fill="auto"/>
            <w:noWrap/>
            <w:vAlign w:val="center"/>
            <w:hideMark/>
          </w:tcPr>
          <w:p w:rsidR="00206A1E" w:rsidRDefault="00206A1E">
            <w:pPr>
              <w:rPr>
                <w:sz w:val="20"/>
                <w:szCs w:val="20"/>
              </w:rPr>
            </w:pPr>
          </w:p>
        </w:tc>
        <w:tc>
          <w:tcPr>
            <w:tcW w:w="146" w:type="dxa"/>
            <w:tcBorders>
              <w:top w:val="nil"/>
              <w:left w:val="nil"/>
              <w:bottom w:val="nil"/>
              <w:right w:val="nil"/>
            </w:tcBorders>
            <w:shd w:val="clear" w:color="auto" w:fill="auto"/>
            <w:noWrap/>
            <w:vAlign w:val="bottom"/>
            <w:hideMark/>
          </w:tcPr>
          <w:p w:rsidR="00206A1E" w:rsidRDefault="00206A1E">
            <w:pPr>
              <w:rPr>
                <w:sz w:val="20"/>
                <w:szCs w:val="20"/>
              </w:rPr>
            </w:pPr>
          </w:p>
        </w:tc>
        <w:tc>
          <w:tcPr>
            <w:tcW w:w="3911" w:type="dxa"/>
            <w:tcBorders>
              <w:top w:val="nil"/>
              <w:left w:val="nil"/>
              <w:bottom w:val="nil"/>
              <w:right w:val="single" w:sz="4" w:space="0" w:color="FF0000"/>
            </w:tcBorders>
            <w:shd w:val="clear" w:color="auto" w:fill="auto"/>
            <w:noWrap/>
            <w:vAlign w:val="bottom"/>
            <w:hideMark/>
          </w:tcPr>
          <w:p w:rsidR="00206A1E" w:rsidRDefault="00206A1E">
            <w:pPr>
              <w:rPr>
                <w:rFonts w:ascii="Arial Narrow" w:hAnsi="Arial Narrow"/>
                <w:sz w:val="18"/>
                <w:szCs w:val="18"/>
              </w:rPr>
            </w:pPr>
            <w:r>
              <w:rPr>
                <w:rFonts w:ascii="Arial Narrow" w:hAnsi="Arial Narrow"/>
                <w:sz w:val="18"/>
                <w:szCs w:val="18"/>
              </w:rPr>
              <w:t>Príspevok na odborný výcvik</w:t>
            </w:r>
          </w:p>
        </w:tc>
        <w:tc>
          <w:tcPr>
            <w:tcW w:w="678"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663"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1038"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851"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567"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nil"/>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x</w:t>
            </w:r>
          </w:p>
        </w:tc>
      </w:tr>
      <w:tr w:rsidR="003E226C" w:rsidTr="00206A1E">
        <w:trPr>
          <w:trHeight w:val="240"/>
        </w:trPr>
        <w:tc>
          <w:tcPr>
            <w:tcW w:w="182" w:type="dxa"/>
            <w:tcBorders>
              <w:top w:val="nil"/>
              <w:left w:val="nil"/>
              <w:bottom w:val="nil"/>
              <w:right w:val="nil"/>
            </w:tcBorders>
            <w:shd w:val="clear" w:color="auto" w:fill="auto"/>
            <w:noWrap/>
            <w:vAlign w:val="center"/>
            <w:hideMark/>
          </w:tcPr>
          <w:p w:rsidR="003E226C" w:rsidRDefault="003E226C" w:rsidP="003E226C">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3911" w:type="dxa"/>
            <w:tcBorders>
              <w:top w:val="nil"/>
              <w:left w:val="nil"/>
              <w:bottom w:val="nil"/>
              <w:right w:val="single" w:sz="4" w:space="0" w:color="FF0000"/>
            </w:tcBorders>
            <w:shd w:val="clear" w:color="auto" w:fill="auto"/>
            <w:noWrap/>
            <w:vAlign w:val="center"/>
            <w:hideMark/>
          </w:tcPr>
          <w:p w:rsidR="003E226C" w:rsidRDefault="003E226C" w:rsidP="003E226C">
            <w:pPr>
              <w:rPr>
                <w:rFonts w:ascii="Arial Narrow" w:hAnsi="Arial Narrow"/>
                <w:sz w:val="18"/>
                <w:szCs w:val="18"/>
              </w:rPr>
            </w:pPr>
            <w:r>
              <w:rPr>
                <w:rFonts w:ascii="Arial Narrow" w:hAnsi="Arial Narrow"/>
                <w:sz w:val="18"/>
                <w:szCs w:val="18"/>
              </w:rPr>
              <w:t xml:space="preserve">Kompenzácia </w:t>
            </w:r>
            <w:r w:rsidR="00C66C9D">
              <w:rPr>
                <w:rFonts w:ascii="Arial Narrow" w:hAnsi="Arial Narrow"/>
                <w:sz w:val="18"/>
                <w:szCs w:val="18"/>
              </w:rPr>
              <w:t xml:space="preserve">pri </w:t>
            </w:r>
            <w:r>
              <w:rPr>
                <w:rFonts w:ascii="Arial Narrow" w:hAnsi="Arial Narrow"/>
                <w:sz w:val="18"/>
                <w:szCs w:val="18"/>
              </w:rPr>
              <w:t>nadbytočnosti</w:t>
            </w:r>
          </w:p>
        </w:tc>
        <w:tc>
          <w:tcPr>
            <w:tcW w:w="67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lang w:eastAsia="sk-SK"/>
              </w:rPr>
            </w:pPr>
            <w:r>
              <w:rPr>
                <w:rFonts w:ascii="Arial Narrow" w:hAnsi="Arial Narrow" w:cs="Calibri"/>
                <w:sz w:val="18"/>
                <w:szCs w:val="18"/>
              </w:rPr>
              <w:t>129,0</w:t>
            </w:r>
          </w:p>
        </w:tc>
        <w:tc>
          <w:tcPr>
            <w:tcW w:w="663"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27,5</w:t>
            </w:r>
          </w:p>
        </w:tc>
        <w:tc>
          <w:tcPr>
            <w:tcW w:w="103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20,4</w:t>
            </w:r>
          </w:p>
        </w:tc>
        <w:tc>
          <w:tcPr>
            <w:tcW w:w="851"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32,6</w:t>
            </w:r>
          </w:p>
        </w:tc>
        <w:tc>
          <w:tcPr>
            <w:tcW w:w="567"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0,1</w:t>
            </w:r>
          </w:p>
        </w:tc>
        <w:tc>
          <w:tcPr>
            <w:tcW w:w="850"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107,8</w:t>
            </w:r>
          </w:p>
        </w:tc>
      </w:tr>
      <w:tr w:rsidR="003E226C" w:rsidTr="00206A1E">
        <w:trPr>
          <w:trHeight w:val="240"/>
        </w:trPr>
        <w:tc>
          <w:tcPr>
            <w:tcW w:w="182" w:type="dxa"/>
            <w:tcBorders>
              <w:top w:val="nil"/>
              <w:left w:val="nil"/>
              <w:bottom w:val="nil"/>
              <w:right w:val="nil"/>
            </w:tcBorders>
            <w:shd w:val="clear" w:color="auto" w:fill="auto"/>
            <w:noWrap/>
            <w:vAlign w:val="center"/>
            <w:hideMark/>
          </w:tcPr>
          <w:p w:rsidR="003E226C" w:rsidRDefault="003E226C" w:rsidP="003E226C">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center"/>
            <w:hideMark/>
          </w:tcPr>
          <w:p w:rsidR="003E226C" w:rsidRDefault="003E226C" w:rsidP="003E226C">
            <w:pPr>
              <w:rPr>
                <w:sz w:val="20"/>
                <w:szCs w:val="20"/>
              </w:rPr>
            </w:pPr>
          </w:p>
        </w:tc>
        <w:tc>
          <w:tcPr>
            <w:tcW w:w="3911" w:type="dxa"/>
            <w:tcBorders>
              <w:top w:val="nil"/>
              <w:left w:val="nil"/>
              <w:bottom w:val="nil"/>
              <w:right w:val="single" w:sz="4" w:space="0" w:color="FF0000"/>
            </w:tcBorders>
            <w:shd w:val="clear" w:color="auto" w:fill="auto"/>
            <w:noWrap/>
            <w:vAlign w:val="center"/>
            <w:hideMark/>
          </w:tcPr>
          <w:p w:rsidR="003E226C" w:rsidRDefault="003E226C" w:rsidP="003E226C">
            <w:pPr>
              <w:rPr>
                <w:rFonts w:ascii="Arial Narrow" w:hAnsi="Arial Narrow"/>
                <w:sz w:val="18"/>
                <w:szCs w:val="18"/>
              </w:rPr>
            </w:pPr>
            <w:r>
              <w:rPr>
                <w:rFonts w:ascii="Arial Narrow" w:hAnsi="Arial Narrow"/>
                <w:sz w:val="18"/>
                <w:szCs w:val="18"/>
              </w:rPr>
              <w:t>Iné jednorazové dávky</w:t>
            </w:r>
          </w:p>
        </w:tc>
        <w:tc>
          <w:tcPr>
            <w:tcW w:w="67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lang w:eastAsia="sk-SK"/>
              </w:rPr>
            </w:pPr>
            <w:r>
              <w:rPr>
                <w:rFonts w:ascii="Arial Narrow" w:hAnsi="Arial Narrow" w:cs="Calibri"/>
                <w:sz w:val="18"/>
                <w:szCs w:val="18"/>
              </w:rPr>
              <w:t>12,7</w:t>
            </w:r>
          </w:p>
        </w:tc>
        <w:tc>
          <w:tcPr>
            <w:tcW w:w="663"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2,7</w:t>
            </w:r>
          </w:p>
        </w:tc>
        <w:tc>
          <w:tcPr>
            <w:tcW w:w="103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2,0</w:t>
            </w:r>
          </w:p>
        </w:tc>
        <w:tc>
          <w:tcPr>
            <w:tcW w:w="851"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3,2</w:t>
            </w:r>
          </w:p>
        </w:tc>
        <w:tc>
          <w:tcPr>
            <w:tcW w:w="567"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113,0</w:t>
            </w:r>
          </w:p>
        </w:tc>
      </w:tr>
      <w:tr w:rsidR="003E226C" w:rsidTr="00EF1D32">
        <w:trPr>
          <w:trHeight w:val="240"/>
        </w:trPr>
        <w:tc>
          <w:tcPr>
            <w:tcW w:w="182" w:type="dxa"/>
            <w:tcBorders>
              <w:top w:val="nil"/>
              <w:left w:val="nil"/>
              <w:bottom w:val="nil"/>
              <w:right w:val="nil"/>
            </w:tcBorders>
            <w:shd w:val="clear" w:color="auto" w:fill="E2EFD9" w:themeFill="accent6" w:themeFillTint="33"/>
            <w:noWrap/>
            <w:vAlign w:val="bottom"/>
            <w:hideMark/>
          </w:tcPr>
          <w:p w:rsidR="003E226C" w:rsidRDefault="003E226C" w:rsidP="003E226C">
            <w:pPr>
              <w:rPr>
                <w:rFonts w:ascii="Arial Narrow" w:hAnsi="Arial Narrow"/>
                <w:b/>
                <w:bCs/>
                <w:color w:val="FFFFFF"/>
                <w:sz w:val="18"/>
                <w:szCs w:val="18"/>
              </w:rPr>
            </w:pPr>
            <w:r>
              <w:rPr>
                <w:rFonts w:ascii="Arial Narrow" w:hAnsi="Arial Narrow"/>
                <w:b/>
                <w:bCs/>
                <w:color w:val="FFFFFF"/>
                <w:sz w:val="18"/>
                <w:szCs w:val="18"/>
              </w:rPr>
              <w:t> </w:t>
            </w:r>
          </w:p>
        </w:tc>
        <w:tc>
          <w:tcPr>
            <w:tcW w:w="182" w:type="dxa"/>
            <w:tcBorders>
              <w:top w:val="nil"/>
              <w:left w:val="nil"/>
              <w:bottom w:val="nil"/>
              <w:right w:val="nil"/>
            </w:tcBorders>
            <w:shd w:val="clear" w:color="auto" w:fill="E2EFD9" w:themeFill="accent6" w:themeFillTint="33"/>
            <w:noWrap/>
            <w:vAlign w:val="bottom"/>
            <w:hideMark/>
          </w:tcPr>
          <w:p w:rsidR="003E226C" w:rsidRDefault="003E226C" w:rsidP="003E226C">
            <w:pPr>
              <w:rPr>
                <w:rFonts w:ascii="Arial Narrow" w:hAnsi="Arial Narrow"/>
                <w:b/>
                <w:bCs/>
                <w:color w:val="FFFFFF"/>
                <w:sz w:val="18"/>
                <w:szCs w:val="18"/>
              </w:rPr>
            </w:pPr>
            <w:r>
              <w:rPr>
                <w:rFonts w:ascii="Arial Narrow" w:hAnsi="Arial Narrow"/>
                <w:b/>
                <w:bCs/>
                <w:color w:val="FFFFFF"/>
                <w:sz w:val="18"/>
                <w:szCs w:val="18"/>
              </w:rPr>
              <w:t> </w:t>
            </w:r>
          </w:p>
        </w:tc>
        <w:tc>
          <w:tcPr>
            <w:tcW w:w="4203" w:type="dxa"/>
            <w:gridSpan w:val="3"/>
            <w:tcBorders>
              <w:top w:val="nil"/>
              <w:left w:val="nil"/>
              <w:bottom w:val="nil"/>
              <w:right w:val="single" w:sz="4" w:space="0" w:color="FF0000"/>
            </w:tcBorders>
            <w:shd w:val="clear" w:color="auto" w:fill="E2EFD9" w:themeFill="accent6" w:themeFillTint="33"/>
            <w:noWrap/>
            <w:vAlign w:val="center"/>
            <w:hideMark/>
          </w:tcPr>
          <w:p w:rsidR="003E226C" w:rsidRDefault="003E226C" w:rsidP="003E226C">
            <w:pPr>
              <w:rPr>
                <w:rFonts w:ascii="Arial Narrow" w:hAnsi="Arial Narrow"/>
                <w:b/>
                <w:bCs/>
                <w:sz w:val="18"/>
                <w:szCs w:val="18"/>
              </w:rPr>
            </w:pPr>
            <w:r>
              <w:rPr>
                <w:rFonts w:ascii="Arial Narrow" w:hAnsi="Arial Narrow"/>
                <w:b/>
                <w:bCs/>
                <w:sz w:val="18"/>
                <w:szCs w:val="18"/>
              </w:rPr>
              <w:t>Vecné dávky</w:t>
            </w:r>
          </w:p>
        </w:tc>
        <w:tc>
          <w:tcPr>
            <w:tcW w:w="678" w:type="dxa"/>
            <w:tcBorders>
              <w:top w:val="nil"/>
              <w:left w:val="nil"/>
              <w:bottom w:val="nil"/>
              <w:right w:val="single" w:sz="4" w:space="0" w:color="FF0000"/>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lang w:eastAsia="sk-SK"/>
              </w:rPr>
            </w:pPr>
            <w:r>
              <w:rPr>
                <w:rFonts w:ascii="Arial Narrow" w:hAnsi="Arial Narrow" w:cs="Calibri"/>
                <w:b/>
                <w:bCs/>
                <w:sz w:val="18"/>
                <w:szCs w:val="18"/>
              </w:rPr>
              <w:t>3,8</w:t>
            </w:r>
          </w:p>
        </w:tc>
        <w:tc>
          <w:tcPr>
            <w:tcW w:w="663" w:type="dxa"/>
            <w:tcBorders>
              <w:top w:val="nil"/>
              <w:left w:val="nil"/>
              <w:bottom w:val="nil"/>
              <w:right w:val="single" w:sz="4" w:space="0" w:color="FF0000"/>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0,8</w:t>
            </w:r>
          </w:p>
        </w:tc>
        <w:tc>
          <w:tcPr>
            <w:tcW w:w="1038" w:type="dxa"/>
            <w:tcBorders>
              <w:top w:val="nil"/>
              <w:left w:val="nil"/>
              <w:bottom w:val="nil"/>
              <w:right w:val="single" w:sz="4" w:space="0" w:color="FF0000"/>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0,6</w:t>
            </w:r>
          </w:p>
        </w:tc>
        <w:tc>
          <w:tcPr>
            <w:tcW w:w="851" w:type="dxa"/>
            <w:tcBorders>
              <w:top w:val="nil"/>
              <w:left w:val="nil"/>
              <w:bottom w:val="nil"/>
              <w:right w:val="single" w:sz="4" w:space="0" w:color="FF0000"/>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1,0</w:t>
            </w:r>
          </w:p>
        </w:tc>
        <w:tc>
          <w:tcPr>
            <w:tcW w:w="567" w:type="dxa"/>
            <w:tcBorders>
              <w:top w:val="nil"/>
              <w:left w:val="nil"/>
              <w:bottom w:val="nil"/>
              <w:right w:val="single" w:sz="4" w:space="0" w:color="FF0000"/>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0,0</w:t>
            </w:r>
          </w:p>
        </w:tc>
        <w:tc>
          <w:tcPr>
            <w:tcW w:w="850" w:type="dxa"/>
            <w:tcBorders>
              <w:top w:val="nil"/>
              <w:left w:val="nil"/>
              <w:bottom w:val="nil"/>
              <w:right w:val="nil"/>
            </w:tcBorders>
            <w:shd w:val="clear" w:color="auto" w:fill="E2EFD9" w:themeFill="accent6" w:themeFillTint="33"/>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113,9</w:t>
            </w:r>
          </w:p>
        </w:tc>
      </w:tr>
      <w:tr w:rsidR="003E226C" w:rsidTr="00206A1E">
        <w:trPr>
          <w:trHeight w:val="240"/>
        </w:trPr>
        <w:tc>
          <w:tcPr>
            <w:tcW w:w="182"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bottom"/>
            <w:hideMark/>
          </w:tcPr>
          <w:p w:rsidR="003E226C" w:rsidRDefault="003E226C" w:rsidP="003E226C">
            <w:pPr>
              <w:rPr>
                <w:sz w:val="20"/>
                <w:szCs w:val="20"/>
              </w:rPr>
            </w:pPr>
          </w:p>
        </w:tc>
        <w:tc>
          <w:tcPr>
            <w:tcW w:w="4057" w:type="dxa"/>
            <w:gridSpan w:val="2"/>
            <w:tcBorders>
              <w:top w:val="nil"/>
              <w:left w:val="nil"/>
              <w:bottom w:val="nil"/>
              <w:right w:val="single" w:sz="4" w:space="0" w:color="FF0000"/>
            </w:tcBorders>
            <w:shd w:val="clear" w:color="auto" w:fill="auto"/>
            <w:noWrap/>
            <w:vAlign w:val="center"/>
            <w:hideMark/>
          </w:tcPr>
          <w:p w:rsidR="003E226C" w:rsidRDefault="003E226C" w:rsidP="003E226C">
            <w:pPr>
              <w:rPr>
                <w:rFonts w:ascii="Arial Narrow" w:hAnsi="Arial Narrow"/>
                <w:sz w:val="18"/>
                <w:szCs w:val="18"/>
              </w:rPr>
            </w:pPr>
            <w:r>
              <w:rPr>
                <w:rFonts w:ascii="Arial Narrow" w:hAnsi="Arial Narrow"/>
                <w:sz w:val="18"/>
                <w:szCs w:val="18"/>
              </w:rPr>
              <w:t xml:space="preserve">Mobilita a </w:t>
            </w:r>
            <w:proofErr w:type="spellStart"/>
            <w:r>
              <w:rPr>
                <w:rFonts w:ascii="Arial Narrow" w:hAnsi="Arial Narrow"/>
                <w:sz w:val="18"/>
                <w:szCs w:val="18"/>
              </w:rPr>
              <w:t>znovuzaradenie</w:t>
            </w:r>
            <w:proofErr w:type="spellEnd"/>
          </w:p>
        </w:tc>
        <w:tc>
          <w:tcPr>
            <w:tcW w:w="67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lang w:eastAsia="sk-SK"/>
              </w:rPr>
            </w:pPr>
            <w:r>
              <w:rPr>
                <w:rFonts w:ascii="Arial Narrow" w:hAnsi="Arial Narrow" w:cs="Calibri"/>
                <w:sz w:val="18"/>
                <w:szCs w:val="18"/>
              </w:rPr>
              <w:t>2,9</w:t>
            </w:r>
          </w:p>
        </w:tc>
        <w:tc>
          <w:tcPr>
            <w:tcW w:w="663"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0,6</w:t>
            </w:r>
          </w:p>
        </w:tc>
        <w:tc>
          <w:tcPr>
            <w:tcW w:w="103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0,5</w:t>
            </w:r>
          </w:p>
        </w:tc>
        <w:tc>
          <w:tcPr>
            <w:tcW w:w="851"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0,7</w:t>
            </w:r>
          </w:p>
        </w:tc>
        <w:tc>
          <w:tcPr>
            <w:tcW w:w="567"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117,7</w:t>
            </w:r>
          </w:p>
        </w:tc>
      </w:tr>
      <w:tr w:rsidR="00206A1E" w:rsidTr="00206A1E">
        <w:trPr>
          <w:trHeight w:val="240"/>
        </w:trPr>
        <w:tc>
          <w:tcPr>
            <w:tcW w:w="182" w:type="dxa"/>
            <w:tcBorders>
              <w:top w:val="nil"/>
              <w:left w:val="nil"/>
              <w:bottom w:val="nil"/>
              <w:right w:val="nil"/>
            </w:tcBorders>
            <w:shd w:val="clear" w:color="auto" w:fill="auto"/>
            <w:noWrap/>
            <w:vAlign w:val="center"/>
            <w:hideMark/>
          </w:tcPr>
          <w:p w:rsidR="00206A1E" w:rsidRDefault="00206A1E">
            <w:pPr>
              <w:jc w:val="right"/>
              <w:rPr>
                <w:rFonts w:ascii="Arial Narrow" w:hAnsi="Arial Narrow"/>
                <w:sz w:val="18"/>
                <w:szCs w:val="18"/>
              </w:rPr>
            </w:pPr>
          </w:p>
        </w:tc>
        <w:tc>
          <w:tcPr>
            <w:tcW w:w="182" w:type="dxa"/>
            <w:tcBorders>
              <w:top w:val="nil"/>
              <w:left w:val="nil"/>
              <w:bottom w:val="nil"/>
              <w:right w:val="nil"/>
            </w:tcBorders>
            <w:shd w:val="clear" w:color="auto" w:fill="auto"/>
            <w:noWrap/>
            <w:vAlign w:val="center"/>
            <w:hideMark/>
          </w:tcPr>
          <w:p w:rsidR="00206A1E" w:rsidRDefault="00206A1E">
            <w:pPr>
              <w:rPr>
                <w:sz w:val="20"/>
                <w:szCs w:val="20"/>
              </w:rPr>
            </w:pPr>
          </w:p>
        </w:tc>
        <w:tc>
          <w:tcPr>
            <w:tcW w:w="146" w:type="dxa"/>
            <w:tcBorders>
              <w:top w:val="nil"/>
              <w:left w:val="nil"/>
              <w:bottom w:val="nil"/>
              <w:right w:val="nil"/>
            </w:tcBorders>
            <w:shd w:val="clear" w:color="auto" w:fill="auto"/>
            <w:noWrap/>
            <w:vAlign w:val="center"/>
            <w:hideMark/>
          </w:tcPr>
          <w:p w:rsidR="00206A1E" w:rsidRDefault="00206A1E">
            <w:pPr>
              <w:rPr>
                <w:sz w:val="20"/>
                <w:szCs w:val="20"/>
              </w:rPr>
            </w:pPr>
          </w:p>
        </w:tc>
        <w:tc>
          <w:tcPr>
            <w:tcW w:w="4057" w:type="dxa"/>
            <w:gridSpan w:val="2"/>
            <w:tcBorders>
              <w:top w:val="nil"/>
              <w:left w:val="nil"/>
              <w:bottom w:val="nil"/>
              <w:right w:val="single" w:sz="4" w:space="0" w:color="FF0000"/>
            </w:tcBorders>
            <w:shd w:val="clear" w:color="auto" w:fill="auto"/>
            <w:noWrap/>
            <w:vAlign w:val="center"/>
            <w:hideMark/>
          </w:tcPr>
          <w:p w:rsidR="00206A1E" w:rsidRDefault="00206A1E">
            <w:pPr>
              <w:rPr>
                <w:rFonts w:ascii="Arial Narrow" w:hAnsi="Arial Narrow"/>
                <w:sz w:val="18"/>
                <w:szCs w:val="18"/>
              </w:rPr>
            </w:pPr>
            <w:r>
              <w:rPr>
                <w:rFonts w:ascii="Arial Narrow" w:hAnsi="Arial Narrow"/>
                <w:sz w:val="18"/>
                <w:szCs w:val="18"/>
              </w:rPr>
              <w:t>Odborný výcvik</w:t>
            </w:r>
          </w:p>
        </w:tc>
        <w:tc>
          <w:tcPr>
            <w:tcW w:w="678"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663"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1038"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851"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567"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nil"/>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x</w:t>
            </w:r>
          </w:p>
        </w:tc>
      </w:tr>
      <w:tr w:rsidR="00206A1E" w:rsidTr="00206A1E">
        <w:trPr>
          <w:trHeight w:val="240"/>
        </w:trPr>
        <w:tc>
          <w:tcPr>
            <w:tcW w:w="182" w:type="dxa"/>
            <w:tcBorders>
              <w:top w:val="nil"/>
              <w:left w:val="nil"/>
              <w:bottom w:val="nil"/>
              <w:right w:val="nil"/>
            </w:tcBorders>
            <w:shd w:val="clear" w:color="auto" w:fill="auto"/>
            <w:noWrap/>
            <w:vAlign w:val="bottom"/>
            <w:hideMark/>
          </w:tcPr>
          <w:p w:rsidR="00206A1E" w:rsidRDefault="00206A1E">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206A1E" w:rsidRDefault="00206A1E">
            <w:pPr>
              <w:rPr>
                <w:sz w:val="20"/>
                <w:szCs w:val="20"/>
              </w:rPr>
            </w:pPr>
          </w:p>
        </w:tc>
        <w:tc>
          <w:tcPr>
            <w:tcW w:w="146" w:type="dxa"/>
            <w:tcBorders>
              <w:top w:val="nil"/>
              <w:left w:val="nil"/>
              <w:bottom w:val="nil"/>
              <w:right w:val="nil"/>
            </w:tcBorders>
            <w:shd w:val="clear" w:color="auto" w:fill="auto"/>
            <w:noWrap/>
            <w:vAlign w:val="bottom"/>
            <w:hideMark/>
          </w:tcPr>
          <w:p w:rsidR="00206A1E" w:rsidRDefault="00206A1E">
            <w:pPr>
              <w:rPr>
                <w:sz w:val="20"/>
                <w:szCs w:val="20"/>
              </w:rPr>
            </w:pPr>
          </w:p>
        </w:tc>
        <w:tc>
          <w:tcPr>
            <w:tcW w:w="4057" w:type="dxa"/>
            <w:gridSpan w:val="2"/>
            <w:tcBorders>
              <w:top w:val="nil"/>
              <w:left w:val="nil"/>
              <w:bottom w:val="nil"/>
              <w:right w:val="single" w:sz="4" w:space="0" w:color="FF0000"/>
            </w:tcBorders>
            <w:shd w:val="clear" w:color="auto" w:fill="auto"/>
            <w:vAlign w:val="center"/>
            <w:hideMark/>
          </w:tcPr>
          <w:p w:rsidR="00206A1E" w:rsidRDefault="00206A1E">
            <w:pPr>
              <w:rPr>
                <w:rFonts w:ascii="Arial Narrow" w:hAnsi="Arial Narrow"/>
                <w:sz w:val="18"/>
                <w:szCs w:val="18"/>
              </w:rPr>
            </w:pPr>
            <w:r>
              <w:rPr>
                <w:rFonts w:ascii="Arial Narrow" w:hAnsi="Arial Narrow"/>
                <w:sz w:val="18"/>
                <w:szCs w:val="18"/>
              </w:rPr>
              <w:t>Služby zamestnanosti</w:t>
            </w:r>
          </w:p>
        </w:tc>
        <w:tc>
          <w:tcPr>
            <w:tcW w:w="678"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663"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1038"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851"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567"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nil"/>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x</w:t>
            </w:r>
          </w:p>
        </w:tc>
      </w:tr>
      <w:tr w:rsidR="003E226C" w:rsidTr="00206A1E">
        <w:trPr>
          <w:trHeight w:val="240"/>
        </w:trPr>
        <w:tc>
          <w:tcPr>
            <w:tcW w:w="182"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sz w:val="18"/>
                <w:szCs w:val="18"/>
              </w:rPr>
            </w:pPr>
          </w:p>
        </w:tc>
        <w:tc>
          <w:tcPr>
            <w:tcW w:w="182" w:type="dxa"/>
            <w:tcBorders>
              <w:top w:val="nil"/>
              <w:left w:val="nil"/>
              <w:bottom w:val="nil"/>
              <w:right w:val="nil"/>
            </w:tcBorders>
            <w:shd w:val="clear" w:color="auto" w:fill="auto"/>
            <w:noWrap/>
            <w:vAlign w:val="bottom"/>
            <w:hideMark/>
          </w:tcPr>
          <w:p w:rsidR="003E226C" w:rsidRDefault="003E226C" w:rsidP="003E226C">
            <w:pPr>
              <w:rPr>
                <w:sz w:val="20"/>
                <w:szCs w:val="20"/>
              </w:rPr>
            </w:pPr>
          </w:p>
        </w:tc>
        <w:tc>
          <w:tcPr>
            <w:tcW w:w="146" w:type="dxa"/>
            <w:tcBorders>
              <w:top w:val="nil"/>
              <w:left w:val="nil"/>
              <w:bottom w:val="nil"/>
              <w:right w:val="nil"/>
            </w:tcBorders>
            <w:shd w:val="clear" w:color="auto" w:fill="auto"/>
            <w:noWrap/>
            <w:vAlign w:val="bottom"/>
            <w:hideMark/>
          </w:tcPr>
          <w:p w:rsidR="003E226C" w:rsidRDefault="003E226C" w:rsidP="003E226C">
            <w:pPr>
              <w:rPr>
                <w:sz w:val="20"/>
                <w:szCs w:val="20"/>
              </w:rPr>
            </w:pPr>
          </w:p>
        </w:tc>
        <w:tc>
          <w:tcPr>
            <w:tcW w:w="4057" w:type="dxa"/>
            <w:gridSpan w:val="2"/>
            <w:tcBorders>
              <w:top w:val="nil"/>
              <w:left w:val="nil"/>
              <w:bottom w:val="nil"/>
              <w:right w:val="single" w:sz="4" w:space="0" w:color="FF0000"/>
            </w:tcBorders>
            <w:shd w:val="clear" w:color="auto" w:fill="auto"/>
            <w:noWrap/>
            <w:vAlign w:val="center"/>
            <w:hideMark/>
          </w:tcPr>
          <w:p w:rsidR="003E226C" w:rsidRDefault="003E226C" w:rsidP="003E226C">
            <w:pPr>
              <w:rPr>
                <w:rFonts w:ascii="Arial Narrow" w:hAnsi="Arial Narrow"/>
                <w:sz w:val="18"/>
                <w:szCs w:val="18"/>
              </w:rPr>
            </w:pPr>
            <w:r>
              <w:rPr>
                <w:rFonts w:ascii="Arial Narrow" w:hAnsi="Arial Narrow"/>
                <w:sz w:val="18"/>
                <w:szCs w:val="18"/>
              </w:rPr>
              <w:t>Iné vecné dávky</w:t>
            </w:r>
          </w:p>
        </w:tc>
        <w:tc>
          <w:tcPr>
            <w:tcW w:w="67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lang w:eastAsia="sk-SK"/>
              </w:rPr>
            </w:pPr>
            <w:r>
              <w:rPr>
                <w:rFonts w:ascii="Arial Narrow" w:hAnsi="Arial Narrow" w:cs="Calibri"/>
                <w:sz w:val="18"/>
                <w:szCs w:val="18"/>
              </w:rPr>
              <w:t>0,9</w:t>
            </w:r>
          </w:p>
        </w:tc>
        <w:tc>
          <w:tcPr>
            <w:tcW w:w="663"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0,2</w:t>
            </w:r>
          </w:p>
        </w:tc>
        <w:tc>
          <w:tcPr>
            <w:tcW w:w="103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0,1</w:t>
            </w:r>
          </w:p>
        </w:tc>
        <w:tc>
          <w:tcPr>
            <w:tcW w:w="851"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0,2</w:t>
            </w:r>
          </w:p>
        </w:tc>
        <w:tc>
          <w:tcPr>
            <w:tcW w:w="567"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103,4</w:t>
            </w:r>
          </w:p>
        </w:tc>
      </w:tr>
      <w:tr w:rsidR="003E226C" w:rsidTr="00EF1D32">
        <w:trPr>
          <w:trHeight w:val="240"/>
        </w:trPr>
        <w:tc>
          <w:tcPr>
            <w:tcW w:w="182" w:type="dxa"/>
            <w:tcBorders>
              <w:top w:val="nil"/>
              <w:left w:val="nil"/>
              <w:bottom w:val="nil"/>
              <w:right w:val="nil"/>
            </w:tcBorders>
            <w:shd w:val="clear" w:color="auto" w:fill="C5E0B3" w:themeFill="accent6" w:themeFillTint="66"/>
            <w:noWrap/>
            <w:vAlign w:val="bottom"/>
            <w:hideMark/>
          </w:tcPr>
          <w:p w:rsidR="003E226C" w:rsidRDefault="003E226C" w:rsidP="003E226C">
            <w:pPr>
              <w:rPr>
                <w:rFonts w:ascii="Arial Narrow" w:hAnsi="Arial Narrow"/>
                <w:b/>
                <w:bCs/>
                <w:color w:val="FFFFFF"/>
                <w:sz w:val="18"/>
                <w:szCs w:val="18"/>
              </w:rPr>
            </w:pPr>
            <w:r>
              <w:rPr>
                <w:rFonts w:ascii="Arial Narrow" w:hAnsi="Arial Narrow"/>
                <w:b/>
                <w:bCs/>
                <w:color w:val="FFFFFF"/>
                <w:sz w:val="18"/>
                <w:szCs w:val="18"/>
              </w:rPr>
              <w:t> </w:t>
            </w:r>
          </w:p>
        </w:tc>
        <w:tc>
          <w:tcPr>
            <w:tcW w:w="4385" w:type="dxa"/>
            <w:gridSpan w:val="4"/>
            <w:tcBorders>
              <w:top w:val="nil"/>
              <w:left w:val="nil"/>
              <w:bottom w:val="nil"/>
              <w:right w:val="single" w:sz="4" w:space="0" w:color="FF0000"/>
            </w:tcBorders>
            <w:shd w:val="clear" w:color="auto" w:fill="C5E0B3" w:themeFill="accent6" w:themeFillTint="66"/>
            <w:noWrap/>
            <w:vAlign w:val="center"/>
            <w:hideMark/>
          </w:tcPr>
          <w:p w:rsidR="003E226C" w:rsidRDefault="003E226C" w:rsidP="003E226C">
            <w:pPr>
              <w:rPr>
                <w:rFonts w:ascii="Arial Narrow" w:hAnsi="Arial Narrow"/>
                <w:b/>
                <w:bCs/>
                <w:sz w:val="18"/>
                <w:szCs w:val="18"/>
              </w:rPr>
            </w:pPr>
            <w:r>
              <w:rPr>
                <w:rFonts w:ascii="Arial Narrow" w:hAnsi="Arial Narrow"/>
                <w:b/>
                <w:bCs/>
                <w:sz w:val="18"/>
                <w:szCs w:val="18"/>
              </w:rPr>
              <w:t>Testované dávky</w:t>
            </w:r>
          </w:p>
        </w:tc>
        <w:tc>
          <w:tcPr>
            <w:tcW w:w="678" w:type="dxa"/>
            <w:tcBorders>
              <w:top w:val="nil"/>
              <w:left w:val="nil"/>
              <w:bottom w:val="nil"/>
              <w:right w:val="single" w:sz="4" w:space="0" w:color="FF0000"/>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lang w:eastAsia="sk-SK"/>
              </w:rPr>
            </w:pPr>
            <w:r>
              <w:rPr>
                <w:rFonts w:ascii="Arial Narrow" w:hAnsi="Arial Narrow" w:cs="Calibri"/>
                <w:b/>
                <w:bCs/>
                <w:sz w:val="18"/>
                <w:szCs w:val="18"/>
              </w:rPr>
              <w:t>1,0</w:t>
            </w:r>
          </w:p>
        </w:tc>
        <w:tc>
          <w:tcPr>
            <w:tcW w:w="663" w:type="dxa"/>
            <w:tcBorders>
              <w:top w:val="nil"/>
              <w:left w:val="nil"/>
              <w:bottom w:val="nil"/>
              <w:right w:val="single" w:sz="4" w:space="0" w:color="FF0000"/>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0,2</w:t>
            </w:r>
          </w:p>
        </w:tc>
        <w:tc>
          <w:tcPr>
            <w:tcW w:w="1038" w:type="dxa"/>
            <w:tcBorders>
              <w:top w:val="nil"/>
              <w:left w:val="nil"/>
              <w:bottom w:val="nil"/>
              <w:right w:val="single" w:sz="4" w:space="0" w:color="FF0000"/>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0,2</w:t>
            </w:r>
          </w:p>
        </w:tc>
        <w:tc>
          <w:tcPr>
            <w:tcW w:w="851" w:type="dxa"/>
            <w:tcBorders>
              <w:top w:val="nil"/>
              <w:left w:val="nil"/>
              <w:bottom w:val="nil"/>
              <w:right w:val="single" w:sz="4" w:space="0" w:color="FF0000"/>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0,2</w:t>
            </w:r>
          </w:p>
        </w:tc>
        <w:tc>
          <w:tcPr>
            <w:tcW w:w="567" w:type="dxa"/>
            <w:tcBorders>
              <w:top w:val="nil"/>
              <w:left w:val="nil"/>
              <w:bottom w:val="nil"/>
              <w:right w:val="single" w:sz="4" w:space="0" w:color="FF0000"/>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0,0</w:t>
            </w:r>
          </w:p>
        </w:tc>
        <w:tc>
          <w:tcPr>
            <w:tcW w:w="850" w:type="dxa"/>
            <w:tcBorders>
              <w:top w:val="nil"/>
              <w:left w:val="nil"/>
              <w:bottom w:val="nil"/>
              <w:right w:val="nil"/>
            </w:tcBorders>
            <w:shd w:val="clear" w:color="auto" w:fill="C5E0B3" w:themeFill="accent6" w:themeFillTint="66"/>
            <w:noWrap/>
            <w:vAlign w:val="bottom"/>
            <w:hideMark/>
          </w:tcPr>
          <w:p w:rsidR="003E226C" w:rsidRDefault="003E226C" w:rsidP="003E226C">
            <w:pPr>
              <w:jc w:val="right"/>
              <w:rPr>
                <w:rFonts w:ascii="Arial Narrow" w:hAnsi="Arial Narrow" w:cs="Calibri"/>
                <w:b/>
                <w:bCs/>
                <w:sz w:val="18"/>
                <w:szCs w:val="18"/>
              </w:rPr>
            </w:pPr>
            <w:r>
              <w:rPr>
                <w:rFonts w:ascii="Arial Narrow" w:hAnsi="Arial Narrow" w:cs="Calibri"/>
                <w:b/>
                <w:bCs/>
                <w:sz w:val="18"/>
                <w:szCs w:val="18"/>
              </w:rPr>
              <w:t>105,5</w:t>
            </w:r>
          </w:p>
        </w:tc>
      </w:tr>
      <w:tr w:rsidR="003E226C" w:rsidTr="003E226C">
        <w:trPr>
          <w:trHeight w:val="240"/>
        </w:trPr>
        <w:tc>
          <w:tcPr>
            <w:tcW w:w="182"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3E226C" w:rsidRDefault="003E226C" w:rsidP="003E226C">
            <w:pPr>
              <w:rPr>
                <w:sz w:val="20"/>
                <w:szCs w:val="20"/>
              </w:rPr>
            </w:pPr>
          </w:p>
        </w:tc>
        <w:tc>
          <w:tcPr>
            <w:tcW w:w="4203" w:type="dxa"/>
            <w:gridSpan w:val="3"/>
            <w:tcBorders>
              <w:top w:val="nil"/>
              <w:left w:val="nil"/>
              <w:bottom w:val="nil"/>
              <w:right w:val="single" w:sz="4" w:space="0" w:color="FF0000"/>
            </w:tcBorders>
            <w:shd w:val="clear" w:color="auto" w:fill="auto"/>
            <w:noWrap/>
            <w:vAlign w:val="center"/>
            <w:hideMark/>
          </w:tcPr>
          <w:p w:rsidR="003E226C" w:rsidRDefault="003E226C" w:rsidP="003E226C">
            <w:pPr>
              <w:rPr>
                <w:rFonts w:ascii="Arial Narrow" w:hAnsi="Arial Narrow"/>
                <w:sz w:val="18"/>
                <w:szCs w:val="18"/>
              </w:rPr>
            </w:pPr>
            <w:r>
              <w:rPr>
                <w:rFonts w:ascii="Arial Narrow" w:hAnsi="Arial Narrow"/>
                <w:sz w:val="18"/>
                <w:szCs w:val="18"/>
              </w:rPr>
              <w:t>Peňažné dávky</w:t>
            </w:r>
          </w:p>
        </w:tc>
        <w:tc>
          <w:tcPr>
            <w:tcW w:w="67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lang w:eastAsia="sk-SK"/>
              </w:rPr>
            </w:pPr>
            <w:r>
              <w:rPr>
                <w:rFonts w:ascii="Arial Narrow" w:hAnsi="Arial Narrow" w:cs="Calibri"/>
                <w:sz w:val="18"/>
                <w:szCs w:val="18"/>
              </w:rPr>
              <w:t>1,0</w:t>
            </w:r>
          </w:p>
        </w:tc>
        <w:tc>
          <w:tcPr>
            <w:tcW w:w="663"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0,2</w:t>
            </w:r>
          </w:p>
        </w:tc>
        <w:tc>
          <w:tcPr>
            <w:tcW w:w="1038"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0,2</w:t>
            </w:r>
          </w:p>
        </w:tc>
        <w:tc>
          <w:tcPr>
            <w:tcW w:w="851"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0,2</w:t>
            </w:r>
          </w:p>
        </w:tc>
        <w:tc>
          <w:tcPr>
            <w:tcW w:w="567" w:type="dxa"/>
            <w:tcBorders>
              <w:top w:val="nil"/>
              <w:left w:val="nil"/>
              <w:bottom w:val="nil"/>
              <w:right w:val="single" w:sz="4" w:space="0" w:color="FF0000"/>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0,0</w:t>
            </w:r>
          </w:p>
        </w:tc>
        <w:tc>
          <w:tcPr>
            <w:tcW w:w="850" w:type="dxa"/>
            <w:tcBorders>
              <w:top w:val="nil"/>
              <w:left w:val="nil"/>
              <w:bottom w:val="nil"/>
              <w:right w:val="nil"/>
            </w:tcBorders>
            <w:shd w:val="clear" w:color="auto" w:fill="auto"/>
            <w:noWrap/>
            <w:vAlign w:val="bottom"/>
            <w:hideMark/>
          </w:tcPr>
          <w:p w:rsidR="003E226C" w:rsidRDefault="003E226C" w:rsidP="003E226C">
            <w:pPr>
              <w:jc w:val="right"/>
              <w:rPr>
                <w:rFonts w:ascii="Arial Narrow" w:hAnsi="Arial Narrow" w:cs="Calibri"/>
                <w:sz w:val="18"/>
                <w:szCs w:val="18"/>
              </w:rPr>
            </w:pPr>
            <w:r>
              <w:rPr>
                <w:rFonts w:ascii="Arial Narrow" w:hAnsi="Arial Narrow" w:cs="Calibri"/>
                <w:sz w:val="18"/>
                <w:szCs w:val="18"/>
              </w:rPr>
              <w:t>105,5</w:t>
            </w:r>
          </w:p>
        </w:tc>
      </w:tr>
      <w:tr w:rsidR="00206A1E" w:rsidTr="00206A1E">
        <w:trPr>
          <w:trHeight w:val="240"/>
        </w:trPr>
        <w:tc>
          <w:tcPr>
            <w:tcW w:w="182" w:type="dxa"/>
            <w:tcBorders>
              <w:top w:val="nil"/>
              <w:left w:val="nil"/>
              <w:bottom w:val="nil"/>
              <w:right w:val="nil"/>
            </w:tcBorders>
            <w:shd w:val="clear" w:color="auto" w:fill="auto"/>
            <w:noWrap/>
            <w:vAlign w:val="bottom"/>
            <w:hideMark/>
          </w:tcPr>
          <w:p w:rsidR="00206A1E" w:rsidRDefault="00206A1E">
            <w:pPr>
              <w:jc w:val="right"/>
              <w:rPr>
                <w:rFonts w:ascii="Arial Narrow" w:hAnsi="Arial Narrow"/>
                <w:b/>
                <w:bCs/>
                <w:sz w:val="18"/>
                <w:szCs w:val="18"/>
              </w:rPr>
            </w:pPr>
          </w:p>
        </w:tc>
        <w:tc>
          <w:tcPr>
            <w:tcW w:w="182" w:type="dxa"/>
            <w:tcBorders>
              <w:top w:val="nil"/>
              <w:left w:val="nil"/>
              <w:bottom w:val="nil"/>
              <w:right w:val="nil"/>
            </w:tcBorders>
            <w:shd w:val="clear" w:color="auto" w:fill="auto"/>
            <w:noWrap/>
            <w:vAlign w:val="bottom"/>
            <w:hideMark/>
          </w:tcPr>
          <w:p w:rsidR="00206A1E" w:rsidRDefault="00206A1E">
            <w:pPr>
              <w:rPr>
                <w:sz w:val="20"/>
                <w:szCs w:val="20"/>
              </w:rPr>
            </w:pPr>
          </w:p>
        </w:tc>
        <w:tc>
          <w:tcPr>
            <w:tcW w:w="4203" w:type="dxa"/>
            <w:gridSpan w:val="3"/>
            <w:tcBorders>
              <w:top w:val="nil"/>
              <w:left w:val="nil"/>
              <w:bottom w:val="nil"/>
              <w:right w:val="single" w:sz="4" w:space="0" w:color="FF0000"/>
            </w:tcBorders>
            <w:shd w:val="clear" w:color="auto" w:fill="auto"/>
            <w:noWrap/>
            <w:vAlign w:val="center"/>
            <w:hideMark/>
          </w:tcPr>
          <w:p w:rsidR="00206A1E" w:rsidRDefault="00206A1E">
            <w:pPr>
              <w:rPr>
                <w:rFonts w:ascii="Arial Narrow" w:hAnsi="Arial Narrow"/>
                <w:sz w:val="18"/>
                <w:szCs w:val="18"/>
              </w:rPr>
            </w:pPr>
            <w:r>
              <w:rPr>
                <w:rFonts w:ascii="Arial Narrow" w:hAnsi="Arial Narrow"/>
                <w:sz w:val="18"/>
                <w:szCs w:val="18"/>
              </w:rPr>
              <w:t>Vecné dávky</w:t>
            </w:r>
          </w:p>
        </w:tc>
        <w:tc>
          <w:tcPr>
            <w:tcW w:w="678"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663"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1038"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851"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567" w:type="dxa"/>
            <w:tcBorders>
              <w:top w:val="nil"/>
              <w:left w:val="nil"/>
              <w:bottom w:val="nil"/>
              <w:right w:val="single" w:sz="4" w:space="0" w:color="FF0000"/>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0,0</w:t>
            </w:r>
          </w:p>
        </w:tc>
        <w:tc>
          <w:tcPr>
            <w:tcW w:w="850" w:type="dxa"/>
            <w:tcBorders>
              <w:top w:val="nil"/>
              <w:left w:val="nil"/>
              <w:bottom w:val="nil"/>
              <w:right w:val="nil"/>
            </w:tcBorders>
            <w:shd w:val="clear" w:color="auto" w:fill="auto"/>
            <w:noWrap/>
            <w:vAlign w:val="bottom"/>
            <w:hideMark/>
          </w:tcPr>
          <w:p w:rsidR="00206A1E" w:rsidRDefault="00206A1E">
            <w:pPr>
              <w:jc w:val="right"/>
              <w:rPr>
                <w:rFonts w:ascii="Arial Narrow" w:hAnsi="Arial Narrow"/>
                <w:sz w:val="18"/>
                <w:szCs w:val="18"/>
              </w:rPr>
            </w:pPr>
            <w:r>
              <w:rPr>
                <w:rFonts w:ascii="Arial Narrow" w:hAnsi="Arial Narrow"/>
                <w:sz w:val="18"/>
                <w:szCs w:val="18"/>
              </w:rPr>
              <w:t>x</w:t>
            </w:r>
          </w:p>
        </w:tc>
      </w:tr>
    </w:tbl>
    <w:p w:rsidR="00241464" w:rsidRPr="00241464" w:rsidRDefault="00241464" w:rsidP="00585746">
      <w:pPr>
        <w:jc w:val="both"/>
        <w:rPr>
          <w:rFonts w:ascii="Arial Narrow" w:hAnsi="Arial Narrow"/>
          <w:b/>
          <w:sz w:val="10"/>
          <w:szCs w:val="10"/>
        </w:rPr>
      </w:pPr>
    </w:p>
    <w:p w:rsidR="00902297" w:rsidRDefault="00206A1E" w:rsidP="00585746">
      <w:pPr>
        <w:jc w:val="both"/>
        <w:rPr>
          <w:rFonts w:ascii="Arial Narrow" w:hAnsi="Arial Narrow"/>
          <w:i/>
          <w:iCs/>
          <w:sz w:val="15"/>
          <w:szCs w:val="15"/>
        </w:rPr>
      </w:pPr>
      <w:r w:rsidRPr="00206A1E">
        <w:rPr>
          <w:rFonts w:ascii="Arial Narrow" w:hAnsi="Arial Narrow"/>
          <w:i/>
          <w:iCs/>
          <w:sz w:val="15"/>
          <w:szCs w:val="15"/>
        </w:rPr>
        <w:t xml:space="preserve">Zdroj: ŠÚ SR </w:t>
      </w:r>
      <w:r>
        <w:rPr>
          <w:rFonts w:ascii="Arial Narrow" w:hAnsi="Arial Narrow"/>
          <w:i/>
          <w:iCs/>
          <w:sz w:val="15"/>
          <w:szCs w:val="15"/>
        </w:rPr>
        <w:t>–</w:t>
      </w:r>
      <w:r w:rsidRPr="00206A1E">
        <w:rPr>
          <w:rFonts w:ascii="Arial Narrow" w:hAnsi="Arial Narrow"/>
          <w:i/>
          <w:iCs/>
          <w:sz w:val="15"/>
          <w:szCs w:val="15"/>
        </w:rPr>
        <w:t xml:space="preserve"> ESSPROS</w:t>
      </w:r>
    </w:p>
    <w:p w:rsidR="00206A1E" w:rsidRPr="00206A1E" w:rsidRDefault="00206A1E" w:rsidP="00585746">
      <w:pPr>
        <w:jc w:val="both"/>
        <w:rPr>
          <w:rFonts w:ascii="Arial Narrow" w:hAnsi="Arial Narrow"/>
          <w:b/>
          <w:sz w:val="15"/>
          <w:szCs w:val="15"/>
        </w:rPr>
      </w:pPr>
    </w:p>
    <w:p w:rsidR="00D60AF1" w:rsidRPr="00241464" w:rsidRDefault="00D60AF1" w:rsidP="00422F5F">
      <w:pPr>
        <w:ind w:left="57" w:right="227" w:firstLine="708"/>
        <w:jc w:val="both"/>
        <w:rPr>
          <w:rFonts w:ascii="Arial Narrow" w:hAnsi="Arial Narrow"/>
          <w:sz w:val="22"/>
          <w:szCs w:val="20"/>
        </w:rPr>
      </w:pPr>
      <w:r w:rsidRPr="00241464">
        <w:rPr>
          <w:rFonts w:ascii="Arial Narrow" w:hAnsi="Arial Narrow"/>
          <w:sz w:val="22"/>
          <w:szCs w:val="20"/>
        </w:rPr>
        <w:t xml:space="preserve">Výdavky na účel </w:t>
      </w:r>
      <w:r w:rsidRPr="00241464">
        <w:rPr>
          <w:rFonts w:ascii="Arial Narrow" w:hAnsi="Arial Narrow"/>
          <w:b/>
          <w:sz w:val="22"/>
          <w:szCs w:val="20"/>
        </w:rPr>
        <w:t>nezamestnanosť</w:t>
      </w:r>
      <w:r w:rsidR="005F722D" w:rsidRPr="00241464">
        <w:rPr>
          <w:rFonts w:ascii="Arial Narrow" w:hAnsi="Arial Narrow"/>
          <w:sz w:val="22"/>
          <w:szCs w:val="20"/>
        </w:rPr>
        <w:t xml:space="preserve"> v roku 2019 dosiahli 469</w:t>
      </w:r>
      <w:r w:rsidRPr="00241464">
        <w:rPr>
          <w:rFonts w:ascii="Arial Narrow" w:hAnsi="Arial Narrow"/>
          <w:sz w:val="22"/>
          <w:szCs w:val="20"/>
        </w:rPr>
        <w:t>,</w:t>
      </w:r>
      <w:r w:rsidR="005F722D" w:rsidRPr="00241464">
        <w:rPr>
          <w:rFonts w:ascii="Arial Narrow" w:hAnsi="Arial Narrow"/>
          <w:sz w:val="22"/>
          <w:szCs w:val="20"/>
        </w:rPr>
        <w:t>3</w:t>
      </w:r>
      <w:r w:rsidRPr="00241464">
        <w:rPr>
          <w:rFonts w:ascii="Arial Narrow" w:hAnsi="Arial Narrow"/>
          <w:sz w:val="22"/>
          <w:szCs w:val="20"/>
        </w:rPr>
        <w:t xml:space="preserve"> mil</w:t>
      </w:r>
      <w:r w:rsidR="005F722D" w:rsidRPr="00241464">
        <w:rPr>
          <w:rFonts w:ascii="Arial Narrow" w:hAnsi="Arial Narrow"/>
          <w:sz w:val="22"/>
          <w:szCs w:val="20"/>
        </w:rPr>
        <w:t>. eur a v porovnaní s rokom 1998</w:t>
      </w:r>
      <w:r w:rsidRPr="00241464">
        <w:rPr>
          <w:rFonts w:ascii="Arial Narrow" w:hAnsi="Arial Narrow"/>
          <w:sz w:val="22"/>
          <w:szCs w:val="20"/>
        </w:rPr>
        <w:t xml:space="preserve"> sa zvýšili </w:t>
      </w:r>
      <w:r w:rsidR="00422F5F" w:rsidRPr="00241464">
        <w:rPr>
          <w:rFonts w:ascii="Arial Narrow" w:hAnsi="Arial Narrow"/>
          <w:sz w:val="22"/>
          <w:szCs w:val="20"/>
        </w:rPr>
        <w:br/>
      </w:r>
      <w:r w:rsidR="005F722D" w:rsidRPr="00241464">
        <w:rPr>
          <w:rFonts w:ascii="Arial Narrow" w:hAnsi="Arial Narrow"/>
          <w:sz w:val="22"/>
          <w:szCs w:val="20"/>
        </w:rPr>
        <w:t>približne dvojnásobne</w:t>
      </w:r>
      <w:r w:rsidR="003815DD">
        <w:rPr>
          <w:rFonts w:ascii="Arial Narrow" w:hAnsi="Arial Narrow"/>
          <w:sz w:val="22"/>
          <w:szCs w:val="20"/>
        </w:rPr>
        <w:t xml:space="preserve"> (206,6 mil. eur)</w:t>
      </w:r>
      <w:r w:rsidR="005F722D" w:rsidRPr="00241464">
        <w:rPr>
          <w:rFonts w:ascii="Arial Narrow" w:hAnsi="Arial Narrow"/>
          <w:sz w:val="22"/>
          <w:szCs w:val="20"/>
        </w:rPr>
        <w:t>.</w:t>
      </w:r>
      <w:r w:rsidRPr="00241464">
        <w:rPr>
          <w:rFonts w:ascii="Arial Narrow" w:hAnsi="Arial Narrow"/>
          <w:sz w:val="22"/>
          <w:szCs w:val="20"/>
        </w:rPr>
        <w:t xml:space="preserve"> Najvyšší podiel z HDP tvorili výdavky na tento účel v roku 1999 (1,3 %), najnižší v </w:t>
      </w:r>
      <w:r w:rsidR="003815DD">
        <w:rPr>
          <w:rFonts w:ascii="Arial Narrow" w:hAnsi="Arial Narrow"/>
          <w:sz w:val="22"/>
          <w:szCs w:val="20"/>
        </w:rPr>
        <w:t>rokoch 2005 – 2007(0,5%) a 2014 - 2019</w:t>
      </w:r>
      <w:r w:rsidRPr="00241464">
        <w:rPr>
          <w:rFonts w:ascii="Arial Narrow" w:hAnsi="Arial Narrow"/>
          <w:sz w:val="22"/>
          <w:szCs w:val="20"/>
        </w:rPr>
        <w:t xml:space="preserve"> (0,5 %). Legislatívnymi zmenami bol predčasný dôchodok v roku 2002 zrušený a znova obnovený od roku 2004. Výkyvy výdavkov na dávku v nezamestnanosti v sledovanom období boli závislé od legislatívnych zmien podmienok nároku na dávku, ich vymeriavacích základov a počtu poberateľov. Podiel odstupného, </w:t>
      </w:r>
      <w:r w:rsidRPr="00511770">
        <w:rPr>
          <w:rFonts w:ascii="Arial Narrow" w:hAnsi="Arial Narrow"/>
          <w:sz w:val="22"/>
          <w:szCs w:val="20"/>
        </w:rPr>
        <w:t xml:space="preserve">ktoré vyplatili zamestnávatelia svojim zamestnancom, bol najvyšší v roku 2004 </w:t>
      </w:r>
      <w:r w:rsidR="00DE2AAB" w:rsidRPr="00511770">
        <w:rPr>
          <w:rFonts w:ascii="Arial Narrow" w:hAnsi="Arial Narrow"/>
          <w:sz w:val="22"/>
          <w:szCs w:val="20"/>
        </w:rPr>
        <w:t>(</w:t>
      </w:r>
      <w:r w:rsidRPr="00511770">
        <w:rPr>
          <w:rFonts w:ascii="Arial Narrow" w:hAnsi="Arial Narrow"/>
          <w:sz w:val="22"/>
          <w:szCs w:val="20"/>
        </w:rPr>
        <w:t>59,7 %</w:t>
      </w:r>
      <w:r w:rsidR="00DE2AAB" w:rsidRPr="00511770">
        <w:rPr>
          <w:rFonts w:ascii="Arial Narrow" w:hAnsi="Arial Narrow"/>
          <w:sz w:val="22"/>
          <w:szCs w:val="20"/>
        </w:rPr>
        <w:t>)</w:t>
      </w:r>
      <w:r w:rsidRPr="00511770">
        <w:rPr>
          <w:rFonts w:ascii="Arial Narrow" w:hAnsi="Arial Narrow"/>
          <w:sz w:val="22"/>
          <w:szCs w:val="20"/>
        </w:rPr>
        <w:t xml:space="preserve"> a najnižší v roku 2000 </w:t>
      </w:r>
      <w:r w:rsidR="00DE2AAB" w:rsidRPr="00511770">
        <w:rPr>
          <w:rFonts w:ascii="Arial Narrow" w:hAnsi="Arial Narrow"/>
          <w:sz w:val="22"/>
          <w:szCs w:val="20"/>
        </w:rPr>
        <w:t>(</w:t>
      </w:r>
      <w:r w:rsidRPr="00511770">
        <w:rPr>
          <w:rFonts w:ascii="Arial Narrow" w:hAnsi="Arial Narrow"/>
          <w:sz w:val="22"/>
          <w:szCs w:val="20"/>
        </w:rPr>
        <w:t>19,4 %</w:t>
      </w:r>
      <w:r w:rsidR="00DE2AAB" w:rsidRPr="00511770">
        <w:rPr>
          <w:rFonts w:ascii="Arial Narrow" w:hAnsi="Arial Narrow"/>
          <w:sz w:val="22"/>
          <w:szCs w:val="20"/>
        </w:rPr>
        <w:t xml:space="preserve">). </w:t>
      </w:r>
      <w:r w:rsidR="00511770" w:rsidRPr="00511770">
        <w:rPr>
          <w:rFonts w:ascii="Arial Narrow" w:hAnsi="Arial Narrow"/>
          <w:sz w:val="22"/>
          <w:szCs w:val="20"/>
        </w:rPr>
        <w:t xml:space="preserve">Od roku 2015 do roku 2019 je podiel odstupného takmer 28%.  </w:t>
      </w:r>
      <w:r w:rsidRPr="00511770">
        <w:rPr>
          <w:rFonts w:ascii="Arial Narrow" w:hAnsi="Arial Narrow"/>
          <w:sz w:val="22"/>
          <w:szCs w:val="20"/>
        </w:rPr>
        <w:t>Výdavky</w:t>
      </w:r>
      <w:r w:rsidRPr="00241464">
        <w:rPr>
          <w:rFonts w:ascii="Arial Narrow" w:hAnsi="Arial Narrow"/>
          <w:sz w:val="22"/>
          <w:szCs w:val="20"/>
        </w:rPr>
        <w:t xml:space="preserve"> na služby zamestnanosti poskytované úradmi práce, sociálnych vecí a  rodiny boli od roku 2005 zahrnuté do administratívnych výdavkov programu sociálnej ochra</w:t>
      </w:r>
      <w:r w:rsidR="00DE2AAB" w:rsidRPr="00241464">
        <w:rPr>
          <w:rFonts w:ascii="Arial Narrow" w:hAnsi="Arial Narrow"/>
          <w:sz w:val="22"/>
          <w:szCs w:val="20"/>
        </w:rPr>
        <w:t>ny č. 21 (Politiky trhu práce).</w:t>
      </w:r>
    </w:p>
    <w:p w:rsidR="00585746" w:rsidRDefault="00585746" w:rsidP="00D60AF1">
      <w:pPr>
        <w:jc w:val="both"/>
        <w:rPr>
          <w:rFonts w:ascii="Arial Narrow" w:hAnsi="Arial Narrow"/>
          <w:b/>
          <w:sz w:val="20"/>
          <w:szCs w:val="20"/>
          <w:highlight w:val="cyan"/>
        </w:rPr>
      </w:pPr>
    </w:p>
    <w:p w:rsidR="00F9237D" w:rsidRDefault="00F9237D" w:rsidP="00D60AF1">
      <w:pPr>
        <w:jc w:val="both"/>
        <w:rPr>
          <w:rFonts w:ascii="Arial Narrow" w:hAnsi="Arial Narrow"/>
          <w:b/>
          <w:sz w:val="20"/>
          <w:szCs w:val="20"/>
          <w:highlight w:val="cyan"/>
        </w:rPr>
      </w:pPr>
    </w:p>
    <w:p w:rsidR="00F9237D" w:rsidRPr="00B4121D" w:rsidRDefault="00F9237D" w:rsidP="00D60AF1">
      <w:pPr>
        <w:jc w:val="both"/>
        <w:rPr>
          <w:rFonts w:ascii="Arial Narrow" w:hAnsi="Arial Narrow"/>
          <w:b/>
          <w:sz w:val="20"/>
          <w:szCs w:val="20"/>
          <w:highlight w:val="cyan"/>
        </w:rPr>
      </w:pPr>
    </w:p>
    <w:p w:rsidR="003D780B" w:rsidRDefault="003D780B" w:rsidP="00D60AF1">
      <w:pPr>
        <w:rPr>
          <w:rFonts w:ascii="Arial Narrow" w:hAnsi="Arial Narrow"/>
          <w:b/>
          <w:sz w:val="20"/>
          <w:szCs w:val="20"/>
        </w:rPr>
      </w:pPr>
      <w:r w:rsidRPr="00DE2AAB">
        <w:rPr>
          <w:rFonts w:ascii="Arial Narrow" w:hAnsi="Arial Narrow"/>
          <w:b/>
          <w:sz w:val="20"/>
          <w:szCs w:val="20"/>
        </w:rPr>
        <w:t xml:space="preserve">Graf </w:t>
      </w:r>
      <w:r w:rsidR="001871C0" w:rsidRPr="00DE2AAB">
        <w:rPr>
          <w:rFonts w:ascii="Arial Narrow" w:hAnsi="Arial Narrow"/>
          <w:b/>
          <w:sz w:val="20"/>
          <w:szCs w:val="20"/>
        </w:rPr>
        <w:t>1.</w:t>
      </w:r>
      <w:r w:rsidR="00D45BCA">
        <w:rPr>
          <w:rFonts w:ascii="Arial Narrow" w:hAnsi="Arial Narrow"/>
          <w:b/>
          <w:sz w:val="20"/>
          <w:szCs w:val="20"/>
        </w:rPr>
        <w:t>14</w:t>
      </w:r>
      <w:r w:rsidR="0057484D" w:rsidRPr="00DE2AAB">
        <w:rPr>
          <w:rFonts w:ascii="Arial Narrow" w:hAnsi="Arial Narrow"/>
          <w:b/>
          <w:sz w:val="20"/>
          <w:szCs w:val="20"/>
        </w:rPr>
        <w:t xml:space="preserve"> </w:t>
      </w:r>
      <w:r w:rsidRPr="00DE2AAB">
        <w:rPr>
          <w:rFonts w:ascii="Arial Narrow" w:hAnsi="Arial Narrow"/>
          <w:b/>
          <w:sz w:val="20"/>
          <w:szCs w:val="20"/>
        </w:rPr>
        <w:t xml:space="preserve"> Výdavky na sociálne dávky na účel nezamestnanosť a miera nezamestnanosti v SR, 199</w:t>
      </w:r>
      <w:r w:rsidR="00DE2AAB" w:rsidRPr="00DE2AAB">
        <w:rPr>
          <w:rFonts w:ascii="Arial Narrow" w:hAnsi="Arial Narrow"/>
          <w:b/>
          <w:sz w:val="20"/>
          <w:szCs w:val="20"/>
        </w:rPr>
        <w:t>8</w:t>
      </w:r>
      <w:r w:rsidRPr="00DE2AAB">
        <w:rPr>
          <w:rFonts w:ascii="Arial Narrow" w:hAnsi="Arial Narrow"/>
          <w:b/>
          <w:sz w:val="20"/>
          <w:szCs w:val="20"/>
        </w:rPr>
        <w:t xml:space="preserve"> </w:t>
      </w:r>
      <w:r w:rsidR="00241464">
        <w:rPr>
          <w:rFonts w:ascii="Arial Narrow" w:hAnsi="Arial Narrow"/>
          <w:b/>
          <w:sz w:val="20"/>
          <w:szCs w:val="20"/>
        </w:rPr>
        <w:t>–</w:t>
      </w:r>
      <w:r w:rsidRPr="00DE2AAB">
        <w:rPr>
          <w:rFonts w:ascii="Arial Narrow" w:hAnsi="Arial Narrow"/>
          <w:b/>
          <w:sz w:val="20"/>
          <w:szCs w:val="20"/>
        </w:rPr>
        <w:t xml:space="preserve"> 201</w:t>
      </w:r>
      <w:r w:rsidR="00DE2AAB" w:rsidRPr="00DE2AAB">
        <w:rPr>
          <w:rFonts w:ascii="Arial Narrow" w:hAnsi="Arial Narrow"/>
          <w:b/>
          <w:sz w:val="20"/>
          <w:szCs w:val="20"/>
        </w:rPr>
        <w:t>9</w:t>
      </w:r>
    </w:p>
    <w:p w:rsidR="00241464" w:rsidRPr="00241464" w:rsidRDefault="00241464" w:rsidP="00D60AF1">
      <w:pPr>
        <w:rPr>
          <w:rFonts w:ascii="Arial Narrow" w:hAnsi="Arial Narrow"/>
          <w:b/>
          <w:sz w:val="10"/>
          <w:szCs w:val="10"/>
        </w:rPr>
      </w:pPr>
    </w:p>
    <w:p w:rsidR="00FC5D12" w:rsidRDefault="00DF5FE7" w:rsidP="003D780B">
      <w:pPr>
        <w:rPr>
          <w:rFonts w:ascii="Arial Narrow" w:hAnsi="Arial Narrow"/>
          <w:b/>
          <w:sz w:val="20"/>
          <w:szCs w:val="20"/>
        </w:rPr>
      </w:pPr>
      <w:r>
        <w:rPr>
          <w:noProof/>
          <w:lang w:eastAsia="sk-SK"/>
        </w:rPr>
        <w:drawing>
          <wp:inline distT="0" distB="0" distL="0" distR="0" wp14:anchorId="549CDB99" wp14:editId="6E6C24C9">
            <wp:extent cx="5774055" cy="2576946"/>
            <wp:effectExtent l="0" t="0" r="17145" b="13970"/>
            <wp:docPr id="16" name="Graf 16">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241464" w:rsidRPr="00241464" w:rsidRDefault="00241464" w:rsidP="00F76925">
      <w:pPr>
        <w:rPr>
          <w:rFonts w:ascii="Arial Narrow" w:hAnsi="Arial Narrow"/>
          <w:b/>
          <w:sz w:val="10"/>
          <w:szCs w:val="10"/>
        </w:rPr>
      </w:pPr>
    </w:p>
    <w:p w:rsidR="00206A1E" w:rsidRDefault="00FC5D12" w:rsidP="00F76925">
      <w:pPr>
        <w:rPr>
          <w:rFonts w:ascii="Arial Narrow" w:hAnsi="Arial Narrow"/>
          <w:i/>
          <w:iCs/>
          <w:sz w:val="16"/>
          <w:szCs w:val="16"/>
        </w:rPr>
      </w:pPr>
      <w:r>
        <w:rPr>
          <w:rFonts w:ascii="Arial Narrow" w:hAnsi="Arial Narrow"/>
          <w:i/>
          <w:iCs/>
          <w:sz w:val="16"/>
          <w:szCs w:val="16"/>
        </w:rPr>
        <w:t xml:space="preserve">Zdroj: ŠÚ SR </w:t>
      </w:r>
      <w:r w:rsidR="00206A1E">
        <w:rPr>
          <w:rFonts w:ascii="Arial Narrow" w:hAnsi="Arial Narrow"/>
          <w:i/>
          <w:iCs/>
          <w:sz w:val="16"/>
          <w:szCs w:val="16"/>
        </w:rPr>
        <w:t>–</w:t>
      </w:r>
      <w:r w:rsidR="000E5C64">
        <w:rPr>
          <w:rFonts w:ascii="Arial Narrow" w:hAnsi="Arial Narrow"/>
          <w:i/>
          <w:iCs/>
          <w:sz w:val="16"/>
          <w:szCs w:val="16"/>
        </w:rPr>
        <w:t xml:space="preserve"> </w:t>
      </w:r>
      <w:r>
        <w:rPr>
          <w:rFonts w:ascii="Arial Narrow" w:hAnsi="Arial Narrow"/>
          <w:i/>
          <w:iCs/>
          <w:sz w:val="16"/>
          <w:szCs w:val="16"/>
        </w:rPr>
        <w:t>ESSPRO</w:t>
      </w:r>
      <w:r w:rsidR="00F76925">
        <w:rPr>
          <w:rFonts w:ascii="Arial Narrow" w:hAnsi="Arial Narrow"/>
          <w:i/>
          <w:iCs/>
          <w:sz w:val="16"/>
          <w:szCs w:val="16"/>
        </w:rPr>
        <w:t>S</w:t>
      </w:r>
    </w:p>
    <w:p w:rsidR="0035384E" w:rsidRDefault="0035384E" w:rsidP="00F76925">
      <w:pPr>
        <w:rPr>
          <w:rFonts w:ascii="Arial Narrow" w:hAnsi="Arial Narrow"/>
          <w:i/>
          <w:iCs/>
          <w:sz w:val="16"/>
          <w:szCs w:val="16"/>
        </w:rPr>
      </w:pPr>
    </w:p>
    <w:p w:rsidR="00241464" w:rsidRPr="00206A1E" w:rsidRDefault="00241464" w:rsidP="00F76925">
      <w:pPr>
        <w:rPr>
          <w:rFonts w:ascii="Arial Narrow" w:hAnsi="Arial Narrow"/>
          <w:i/>
          <w:iCs/>
          <w:sz w:val="16"/>
          <w:szCs w:val="16"/>
        </w:rPr>
      </w:pPr>
    </w:p>
    <w:p w:rsidR="000B0D1F" w:rsidRPr="00241464" w:rsidRDefault="00633F06" w:rsidP="000B0D1F">
      <w:pPr>
        <w:pStyle w:val="Nadpis6"/>
        <w:jc w:val="left"/>
        <w:rPr>
          <w:rFonts w:ascii="Arial Narrow" w:hAnsi="Arial Narrow"/>
          <w:sz w:val="24"/>
          <w:szCs w:val="22"/>
        </w:rPr>
      </w:pPr>
      <w:r w:rsidRPr="00241464">
        <w:rPr>
          <w:rFonts w:ascii="Arial Narrow" w:hAnsi="Arial Narrow"/>
          <w:sz w:val="24"/>
          <w:szCs w:val="22"/>
        </w:rPr>
        <w:t>1.</w:t>
      </w:r>
      <w:r w:rsidR="00196347" w:rsidRPr="00241464">
        <w:rPr>
          <w:rFonts w:ascii="Arial Narrow" w:hAnsi="Arial Narrow"/>
          <w:sz w:val="24"/>
          <w:szCs w:val="22"/>
        </w:rPr>
        <w:t xml:space="preserve">2.7 </w:t>
      </w:r>
      <w:r w:rsidR="00550864" w:rsidRPr="00241464">
        <w:rPr>
          <w:rFonts w:ascii="Arial Narrow" w:hAnsi="Arial Narrow"/>
          <w:sz w:val="24"/>
          <w:szCs w:val="22"/>
        </w:rPr>
        <w:t xml:space="preserve"> </w:t>
      </w:r>
      <w:r w:rsidR="00C02616" w:rsidRPr="00241464">
        <w:rPr>
          <w:rFonts w:ascii="Arial Narrow" w:hAnsi="Arial Narrow"/>
          <w:sz w:val="24"/>
          <w:szCs w:val="22"/>
        </w:rPr>
        <w:t>Výdavky na účely bývanie a sociálne vylúčenie</w:t>
      </w:r>
      <w:r w:rsidR="000B0D1F" w:rsidRPr="00241464">
        <w:rPr>
          <w:rFonts w:ascii="Arial Narrow" w:hAnsi="Arial Narrow"/>
          <w:b w:val="0"/>
          <w:sz w:val="24"/>
          <w:szCs w:val="22"/>
        </w:rPr>
        <w:t xml:space="preserve"> </w:t>
      </w:r>
      <w:r w:rsidRPr="00241464">
        <w:rPr>
          <w:rFonts w:ascii="Arial Narrow" w:hAnsi="Arial Narrow"/>
          <w:sz w:val="24"/>
          <w:szCs w:val="22"/>
        </w:rPr>
        <w:t>v SR</w:t>
      </w:r>
      <w:r w:rsidRPr="00241464">
        <w:rPr>
          <w:rFonts w:ascii="Arial Narrow" w:hAnsi="Arial Narrow"/>
          <w:b w:val="0"/>
          <w:sz w:val="24"/>
          <w:szCs w:val="22"/>
        </w:rPr>
        <w:t xml:space="preserve"> </w:t>
      </w:r>
      <w:r w:rsidR="000B0D1F" w:rsidRPr="00241464">
        <w:rPr>
          <w:rFonts w:ascii="Arial Narrow" w:hAnsi="Arial Narrow"/>
          <w:b w:val="0"/>
          <w:sz w:val="24"/>
          <w:szCs w:val="22"/>
        </w:rPr>
        <w:t>(Programy sociálnej ochrany</w:t>
      </w:r>
      <w:r w:rsidR="00CF55A6" w:rsidRPr="00241464">
        <w:rPr>
          <w:rFonts w:ascii="Arial Narrow" w:hAnsi="Arial Narrow"/>
          <w:b w:val="0"/>
          <w:sz w:val="24"/>
          <w:szCs w:val="22"/>
        </w:rPr>
        <w:t xml:space="preserve"> </w:t>
      </w:r>
      <w:r w:rsidR="000B0D1F" w:rsidRPr="00241464">
        <w:rPr>
          <w:rFonts w:ascii="Arial Narrow" w:hAnsi="Arial Narrow"/>
          <w:b w:val="0"/>
          <w:sz w:val="24"/>
          <w:szCs w:val="22"/>
        </w:rPr>
        <w:t xml:space="preserve"> č.: 5, 6, </w:t>
      </w:r>
      <w:r w:rsidR="00973603" w:rsidRPr="00241464">
        <w:rPr>
          <w:rFonts w:ascii="Arial Narrow" w:hAnsi="Arial Narrow"/>
          <w:b w:val="0"/>
          <w:sz w:val="24"/>
          <w:szCs w:val="22"/>
        </w:rPr>
        <w:t xml:space="preserve">7, 8, </w:t>
      </w:r>
      <w:r w:rsidR="000B0D1F" w:rsidRPr="00241464">
        <w:rPr>
          <w:rFonts w:ascii="Arial Narrow" w:hAnsi="Arial Narrow"/>
          <w:b w:val="0"/>
          <w:sz w:val="24"/>
          <w:szCs w:val="22"/>
        </w:rPr>
        <w:t>9, 12, 15)</w:t>
      </w:r>
    </w:p>
    <w:p w:rsidR="0062634D" w:rsidRDefault="0062634D" w:rsidP="00FD28D8">
      <w:pPr>
        <w:jc w:val="both"/>
        <w:rPr>
          <w:rFonts w:ascii="Arial Narrow" w:hAnsi="Arial Narrow"/>
          <w:b/>
          <w:sz w:val="20"/>
          <w:szCs w:val="20"/>
        </w:rPr>
      </w:pPr>
    </w:p>
    <w:p w:rsidR="00CF502E" w:rsidRPr="00241464" w:rsidRDefault="00CF502E" w:rsidP="00422F5F">
      <w:pPr>
        <w:ind w:right="170"/>
        <w:jc w:val="both"/>
        <w:rPr>
          <w:rFonts w:ascii="Arial Narrow" w:hAnsi="Arial Narrow"/>
          <w:sz w:val="22"/>
          <w:szCs w:val="20"/>
        </w:rPr>
      </w:pPr>
      <w:r w:rsidRPr="00241464">
        <w:rPr>
          <w:rFonts w:ascii="Arial Narrow" w:hAnsi="Arial Narrow"/>
          <w:sz w:val="22"/>
          <w:szCs w:val="20"/>
        </w:rPr>
        <w:t>Cieľom dávok v </w:t>
      </w:r>
      <w:r w:rsidRPr="00241464">
        <w:rPr>
          <w:rFonts w:ascii="Arial Narrow" w:hAnsi="Arial Narrow"/>
          <w:b/>
          <w:sz w:val="22"/>
          <w:szCs w:val="20"/>
        </w:rPr>
        <w:t xml:space="preserve">účele </w:t>
      </w:r>
      <w:r w:rsidR="00870526" w:rsidRPr="00241464">
        <w:rPr>
          <w:rFonts w:ascii="Arial Narrow" w:hAnsi="Arial Narrow"/>
          <w:b/>
          <w:sz w:val="22"/>
          <w:szCs w:val="20"/>
        </w:rPr>
        <w:t>bývanie</w:t>
      </w:r>
      <w:r w:rsidR="00870526" w:rsidRPr="00241464">
        <w:rPr>
          <w:rFonts w:ascii="Arial Narrow" w:hAnsi="Arial Narrow"/>
          <w:sz w:val="22"/>
          <w:szCs w:val="20"/>
        </w:rPr>
        <w:t xml:space="preserve"> </w:t>
      </w:r>
      <w:r w:rsidRPr="00241464">
        <w:rPr>
          <w:rFonts w:ascii="Arial Narrow" w:hAnsi="Arial Narrow"/>
          <w:sz w:val="22"/>
          <w:szCs w:val="20"/>
        </w:rPr>
        <w:t>je pomôcť domácnostiam hradiť náklady na bývanie. Dôležitým kritériom pre definovanie rozsahu účelu bývanie je existencia testovania na príjem oprávňujúceho k dávke.</w:t>
      </w:r>
    </w:p>
    <w:p w:rsidR="00CF502E" w:rsidRPr="00241464" w:rsidRDefault="00CF502E" w:rsidP="00422F5F">
      <w:pPr>
        <w:ind w:right="170"/>
        <w:jc w:val="both"/>
        <w:rPr>
          <w:rFonts w:ascii="Arial Narrow" w:hAnsi="Arial Narrow"/>
          <w:sz w:val="22"/>
          <w:szCs w:val="20"/>
        </w:rPr>
      </w:pPr>
      <w:r w:rsidRPr="00241464">
        <w:rPr>
          <w:rFonts w:ascii="Arial Narrow" w:hAnsi="Arial Narrow"/>
          <w:sz w:val="22"/>
          <w:szCs w:val="20"/>
        </w:rPr>
        <w:t>Dokonca aj keď sú dávky na bývanie vyplácané v hotovosti ako doplnok ku starobnému dôchodku alebo k dávkam minimálne zaručeného príjmu, v účele bývanie sú tieto klasifikované ako vecné dávky.</w:t>
      </w:r>
    </w:p>
    <w:p w:rsidR="00CF502E" w:rsidRPr="00241464" w:rsidRDefault="00CF502E" w:rsidP="00CF502E">
      <w:pPr>
        <w:pStyle w:val="Odsekzoznamu"/>
        <w:ind w:left="993"/>
        <w:jc w:val="both"/>
        <w:rPr>
          <w:rFonts w:ascii="Arial Narrow" w:hAnsi="Arial Narrow"/>
          <w:sz w:val="22"/>
          <w:szCs w:val="20"/>
        </w:rPr>
      </w:pPr>
    </w:p>
    <w:p w:rsidR="00CF502E" w:rsidRPr="00241464" w:rsidRDefault="00CF502E" w:rsidP="00422F5F">
      <w:pPr>
        <w:ind w:right="170"/>
        <w:jc w:val="both"/>
        <w:rPr>
          <w:rFonts w:ascii="Arial Narrow" w:hAnsi="Arial Narrow"/>
          <w:sz w:val="22"/>
          <w:szCs w:val="20"/>
        </w:rPr>
      </w:pPr>
      <w:r w:rsidRPr="00241464">
        <w:rPr>
          <w:rFonts w:ascii="Arial Narrow" w:hAnsi="Arial Narrow"/>
          <w:b/>
          <w:sz w:val="22"/>
          <w:szCs w:val="20"/>
        </w:rPr>
        <w:t>Dávka nájomného</w:t>
      </w:r>
      <w:r w:rsidRPr="00241464">
        <w:rPr>
          <w:rFonts w:ascii="Arial Narrow" w:hAnsi="Arial Narrow"/>
          <w:sz w:val="22"/>
          <w:szCs w:val="20"/>
        </w:rPr>
        <w:t>: bežný prevod po testovaní na príjem pridelený nájomníkovi verejným úradom dočasne alebo na dlhodobej báze, aby sa mu pomohlo s nákladmi na nájom.</w:t>
      </w:r>
    </w:p>
    <w:p w:rsidR="00CF502E" w:rsidRPr="00241464" w:rsidRDefault="00CF502E" w:rsidP="00CF502E">
      <w:pPr>
        <w:pStyle w:val="Odsekzoznamu"/>
        <w:ind w:left="993"/>
        <w:jc w:val="both"/>
        <w:rPr>
          <w:rFonts w:ascii="Arial Narrow" w:hAnsi="Arial Narrow"/>
          <w:sz w:val="22"/>
          <w:szCs w:val="20"/>
        </w:rPr>
      </w:pPr>
    </w:p>
    <w:p w:rsidR="00CF502E" w:rsidRPr="00241464" w:rsidRDefault="00CF502E" w:rsidP="00422F5F">
      <w:pPr>
        <w:ind w:right="170"/>
        <w:jc w:val="both"/>
        <w:rPr>
          <w:rFonts w:ascii="Arial Narrow" w:hAnsi="Arial Narrow"/>
          <w:sz w:val="22"/>
          <w:szCs w:val="20"/>
        </w:rPr>
      </w:pPr>
      <w:r w:rsidRPr="00241464">
        <w:rPr>
          <w:rFonts w:ascii="Arial Narrow" w:hAnsi="Arial Narrow"/>
          <w:b/>
          <w:sz w:val="22"/>
          <w:szCs w:val="20"/>
        </w:rPr>
        <w:t>Sociálne bývanie:</w:t>
      </w:r>
      <w:r w:rsidRPr="00241464">
        <w:rPr>
          <w:rFonts w:ascii="Arial Narrow" w:hAnsi="Arial Narrow"/>
          <w:sz w:val="22"/>
          <w:szCs w:val="20"/>
        </w:rPr>
        <w:t xml:space="preserve"> </w:t>
      </w:r>
      <w:proofErr w:type="spellStart"/>
      <w:r w:rsidRPr="00241464">
        <w:rPr>
          <w:rFonts w:ascii="Arial Narrow" w:hAnsi="Arial Narrow"/>
          <w:sz w:val="22"/>
          <w:szCs w:val="20"/>
        </w:rPr>
        <w:t>podkategória</w:t>
      </w:r>
      <w:proofErr w:type="spellEnd"/>
      <w:r w:rsidRPr="00241464">
        <w:rPr>
          <w:rFonts w:ascii="Arial Narrow" w:hAnsi="Arial Narrow"/>
          <w:sz w:val="22"/>
          <w:szCs w:val="20"/>
        </w:rPr>
        <w:t xml:space="preserve"> dávky nájomného. Strata príjmu nájomného z dôvodu súčasného zavedenia nekomerčného nájomného</w:t>
      </w:r>
      <w:r w:rsidR="00633F06" w:rsidRPr="00241464">
        <w:rPr>
          <w:rFonts w:ascii="Arial Narrow" w:hAnsi="Arial Narrow"/>
          <w:sz w:val="22"/>
          <w:szCs w:val="20"/>
        </w:rPr>
        <w:t>.</w:t>
      </w:r>
      <w:r w:rsidRPr="00241464">
        <w:rPr>
          <w:rFonts w:ascii="Arial Narrow" w:hAnsi="Arial Narrow"/>
          <w:sz w:val="22"/>
          <w:szCs w:val="20"/>
        </w:rPr>
        <w:t xml:space="preserve"> Pridelenie bývania za nekomerčné nájomné sa musí stanoviť po preskúmaní príjmov a/alebo majetku domácnosti.</w:t>
      </w:r>
    </w:p>
    <w:p w:rsidR="00CF502E" w:rsidRPr="00241464" w:rsidRDefault="00CF502E" w:rsidP="00CF502E">
      <w:pPr>
        <w:pStyle w:val="Odsekzoznamu"/>
        <w:ind w:left="360"/>
        <w:rPr>
          <w:rFonts w:ascii="Arial Narrow" w:hAnsi="Arial Narrow"/>
          <w:sz w:val="22"/>
          <w:szCs w:val="20"/>
        </w:rPr>
      </w:pPr>
    </w:p>
    <w:p w:rsidR="00CF502E" w:rsidRPr="00241464" w:rsidRDefault="00CF502E" w:rsidP="00422F5F">
      <w:pPr>
        <w:ind w:right="170"/>
        <w:jc w:val="both"/>
        <w:rPr>
          <w:rFonts w:ascii="Arial Narrow" w:hAnsi="Arial Narrow"/>
          <w:sz w:val="22"/>
          <w:szCs w:val="20"/>
        </w:rPr>
      </w:pPr>
      <w:r w:rsidRPr="00241464">
        <w:rPr>
          <w:rFonts w:ascii="Arial Narrow" w:hAnsi="Arial Narrow"/>
          <w:b/>
          <w:sz w:val="22"/>
          <w:szCs w:val="20"/>
        </w:rPr>
        <w:t xml:space="preserve">Dávka vlastníkom </w:t>
      </w:r>
      <w:r w:rsidR="006A2165" w:rsidRPr="00241464">
        <w:rPr>
          <w:rFonts w:ascii="Arial Narrow" w:hAnsi="Arial Narrow"/>
          <w:b/>
          <w:sz w:val="22"/>
          <w:szCs w:val="20"/>
        </w:rPr>
        <w:t>-</w:t>
      </w:r>
      <w:r w:rsidRPr="00241464">
        <w:rPr>
          <w:rFonts w:ascii="Arial Narrow" w:hAnsi="Arial Narrow"/>
          <w:b/>
          <w:sz w:val="22"/>
          <w:szCs w:val="20"/>
        </w:rPr>
        <w:t xml:space="preserve"> nájomcom</w:t>
      </w:r>
      <w:r w:rsidRPr="00241464">
        <w:rPr>
          <w:rFonts w:ascii="Arial Narrow" w:hAnsi="Arial Narrow"/>
          <w:sz w:val="22"/>
          <w:szCs w:val="20"/>
        </w:rPr>
        <w:t>: bežný prevod po testovaní na príjem pridelený verejným úradom vlastníkom</w:t>
      </w:r>
      <w:r w:rsidR="00633F06" w:rsidRPr="00241464">
        <w:rPr>
          <w:rFonts w:ascii="Arial Narrow" w:hAnsi="Arial Narrow"/>
          <w:sz w:val="22"/>
          <w:szCs w:val="20"/>
        </w:rPr>
        <w:t>, resp.</w:t>
      </w:r>
      <w:r w:rsidRPr="00241464">
        <w:rPr>
          <w:rFonts w:ascii="Arial Narrow" w:hAnsi="Arial Narrow"/>
          <w:sz w:val="22"/>
          <w:szCs w:val="20"/>
        </w:rPr>
        <w:t xml:space="preserve"> nájomcom pre zmiernenie ich súčasných nákladov na bývanie</w:t>
      </w:r>
      <w:r w:rsidR="00633F06" w:rsidRPr="00241464">
        <w:rPr>
          <w:rFonts w:ascii="Arial Narrow" w:hAnsi="Arial Narrow"/>
          <w:sz w:val="22"/>
          <w:szCs w:val="20"/>
        </w:rPr>
        <w:t xml:space="preserve"> (</w:t>
      </w:r>
      <w:r w:rsidRPr="00241464">
        <w:rPr>
          <w:rFonts w:ascii="Arial Narrow" w:hAnsi="Arial Narrow"/>
          <w:sz w:val="22"/>
          <w:szCs w:val="20"/>
        </w:rPr>
        <w:t>v praxi často pomoc pri platení hypoték a/alebo úroku</w:t>
      </w:r>
      <w:r w:rsidR="00633F06" w:rsidRPr="00241464">
        <w:rPr>
          <w:rFonts w:ascii="Arial Narrow" w:hAnsi="Arial Narrow"/>
          <w:sz w:val="22"/>
          <w:szCs w:val="20"/>
        </w:rPr>
        <w:t>)</w:t>
      </w:r>
      <w:r w:rsidRPr="00241464">
        <w:rPr>
          <w:rFonts w:ascii="Arial Narrow" w:hAnsi="Arial Narrow"/>
          <w:sz w:val="22"/>
          <w:szCs w:val="20"/>
        </w:rPr>
        <w:t>. Všetky kapitálové prevody (osobitne investičné granty) sú vylúčené.</w:t>
      </w:r>
    </w:p>
    <w:p w:rsidR="00CF502E" w:rsidRPr="00241464" w:rsidRDefault="00CF502E" w:rsidP="00CF502E">
      <w:pPr>
        <w:jc w:val="both"/>
        <w:rPr>
          <w:rFonts w:ascii="Arial Narrow" w:hAnsi="Arial Narrow"/>
          <w:sz w:val="22"/>
          <w:szCs w:val="20"/>
        </w:rPr>
      </w:pPr>
    </w:p>
    <w:p w:rsidR="0062634D" w:rsidRPr="00241464" w:rsidRDefault="00870526" w:rsidP="00422F5F">
      <w:pPr>
        <w:ind w:right="170"/>
        <w:jc w:val="both"/>
        <w:rPr>
          <w:rFonts w:ascii="Arial Narrow" w:hAnsi="Arial Narrow"/>
          <w:b/>
          <w:sz w:val="22"/>
          <w:szCs w:val="20"/>
        </w:rPr>
      </w:pPr>
      <w:r w:rsidRPr="00241464">
        <w:rPr>
          <w:rFonts w:ascii="Arial Narrow" w:hAnsi="Arial Narrow"/>
          <w:b/>
          <w:sz w:val="22"/>
          <w:szCs w:val="20"/>
        </w:rPr>
        <w:t>Pojem sociálneho vylúčenia</w:t>
      </w:r>
      <w:r w:rsidRPr="00241464">
        <w:rPr>
          <w:rFonts w:ascii="Arial Narrow" w:hAnsi="Arial Narrow"/>
          <w:sz w:val="22"/>
          <w:szCs w:val="20"/>
        </w:rPr>
        <w:t xml:space="preserve"> je viacrozmerný: týka sa predovšetkým nedostatočnej úrovne príjmov (chudoba), ale aj nestabilnej situácie v oblasti zdravia, vzdelania a zamestnanosti. </w:t>
      </w:r>
    </w:p>
    <w:p w:rsidR="00870526" w:rsidRPr="00241464" w:rsidRDefault="00870526" w:rsidP="00422F5F">
      <w:pPr>
        <w:ind w:right="170"/>
        <w:jc w:val="both"/>
        <w:rPr>
          <w:rFonts w:ascii="Arial Narrow" w:hAnsi="Arial Narrow"/>
          <w:sz w:val="22"/>
          <w:szCs w:val="20"/>
        </w:rPr>
      </w:pPr>
      <w:r w:rsidRPr="00241464">
        <w:rPr>
          <w:rFonts w:ascii="Arial Narrow" w:hAnsi="Arial Narrow"/>
          <w:sz w:val="22"/>
          <w:szCs w:val="20"/>
        </w:rPr>
        <w:t>Tento účel sa vzťahuje k „sociálne vylúčeným“  alebo k „tým, ktorí sú vystavení riziku sociálneho vylúčenia“. Všeobecne možno cieľové skupiny identifikovať (okrem iného) ako chudobných ľudí, migrantov, utečencov, narkomanov a alkoholikov, obete násilnej kriminality.</w:t>
      </w:r>
    </w:p>
    <w:p w:rsidR="00870526" w:rsidRPr="00241464" w:rsidRDefault="00870526" w:rsidP="00CF502E">
      <w:pPr>
        <w:jc w:val="both"/>
        <w:rPr>
          <w:rFonts w:ascii="Arial Narrow" w:hAnsi="Arial Narrow"/>
          <w:sz w:val="22"/>
          <w:szCs w:val="20"/>
        </w:rPr>
      </w:pPr>
    </w:p>
    <w:p w:rsidR="00870526" w:rsidRPr="00241464" w:rsidRDefault="00870526" w:rsidP="00422F5F">
      <w:pPr>
        <w:ind w:right="170"/>
        <w:jc w:val="both"/>
        <w:rPr>
          <w:rFonts w:ascii="Arial Narrow" w:hAnsi="Arial Narrow"/>
          <w:sz w:val="22"/>
          <w:szCs w:val="20"/>
        </w:rPr>
      </w:pPr>
      <w:r w:rsidRPr="00241464">
        <w:rPr>
          <w:rFonts w:ascii="Arial Narrow" w:hAnsi="Arial Narrow"/>
          <w:b/>
          <w:sz w:val="22"/>
          <w:szCs w:val="20"/>
        </w:rPr>
        <w:t>Podpora príjmu</w:t>
      </w:r>
      <w:r w:rsidRPr="00241464">
        <w:rPr>
          <w:rFonts w:ascii="Arial Narrow" w:hAnsi="Arial Narrow"/>
          <w:sz w:val="22"/>
          <w:szCs w:val="20"/>
        </w:rPr>
        <w:t>: pravidelné platby osobám s nedostatočnými zdrojmi. Podmienky pre nárok môžu byť spojené nielen s osobnými zdrojmi, ale aj s národnosťou, miestom bydliska, vekom, pracovnou schopnosťou a rodinným stavom. Vyplácanie dávky môže mať obmedzené alebo neobmedzené trvanie</w:t>
      </w:r>
      <w:r w:rsidRPr="00241464">
        <w:rPr>
          <w:rFonts w:ascii="Arial Narrow" w:hAnsi="Arial Narrow"/>
          <w:sz w:val="22"/>
          <w:szCs w:val="20"/>
          <w:lang w:val="en-US"/>
        </w:rPr>
        <w:t>;</w:t>
      </w:r>
      <w:r w:rsidRPr="00241464">
        <w:rPr>
          <w:rFonts w:ascii="Arial Narrow" w:hAnsi="Arial Narrow"/>
          <w:sz w:val="22"/>
          <w:szCs w:val="20"/>
        </w:rPr>
        <w:t xml:space="preserve"> môže byť vyplácaná jednotlivcovi alebo rodine a poskytovaná ústrednou štátnou správou alebo miestnou samosprávou.</w:t>
      </w:r>
    </w:p>
    <w:p w:rsidR="00870526" w:rsidRPr="00241464" w:rsidRDefault="00870526" w:rsidP="00870526">
      <w:pPr>
        <w:pStyle w:val="Odsekzoznamu"/>
        <w:ind w:left="851"/>
        <w:jc w:val="both"/>
        <w:rPr>
          <w:rFonts w:ascii="Arial Narrow" w:hAnsi="Arial Narrow"/>
          <w:sz w:val="22"/>
          <w:szCs w:val="20"/>
        </w:rPr>
      </w:pPr>
    </w:p>
    <w:p w:rsidR="00870526" w:rsidRPr="00241464" w:rsidRDefault="00870526" w:rsidP="00870526">
      <w:pPr>
        <w:jc w:val="both"/>
        <w:rPr>
          <w:rFonts w:ascii="Arial Narrow" w:hAnsi="Arial Narrow"/>
          <w:sz w:val="22"/>
          <w:szCs w:val="20"/>
        </w:rPr>
      </w:pPr>
      <w:r w:rsidRPr="00241464">
        <w:rPr>
          <w:rFonts w:ascii="Arial Narrow" w:hAnsi="Arial Narrow"/>
          <w:b/>
          <w:sz w:val="22"/>
          <w:szCs w:val="20"/>
        </w:rPr>
        <w:t>Iné peňažné dávky</w:t>
      </w:r>
      <w:r w:rsidRPr="00241464">
        <w:rPr>
          <w:rFonts w:ascii="Arial Narrow" w:hAnsi="Arial Narrow"/>
          <w:sz w:val="22"/>
          <w:szCs w:val="20"/>
        </w:rPr>
        <w:t>: podpora chudob</w:t>
      </w:r>
      <w:r w:rsidR="009F56DA" w:rsidRPr="00241464">
        <w:rPr>
          <w:rFonts w:ascii="Arial Narrow" w:hAnsi="Arial Narrow"/>
          <w:sz w:val="22"/>
          <w:szCs w:val="20"/>
        </w:rPr>
        <w:t>ných a ohrozených ľudí</w:t>
      </w:r>
      <w:r w:rsidRPr="00241464">
        <w:rPr>
          <w:rFonts w:ascii="Arial Narrow" w:hAnsi="Arial Narrow"/>
          <w:sz w:val="22"/>
          <w:szCs w:val="20"/>
        </w:rPr>
        <w:t>. Tieto dávky môžu vyplácať súkromné neziskové organizácie.</w:t>
      </w:r>
    </w:p>
    <w:p w:rsidR="00870526" w:rsidRPr="00241464" w:rsidRDefault="00870526" w:rsidP="00870526">
      <w:pPr>
        <w:pStyle w:val="Odsekzoznamu"/>
        <w:ind w:left="360"/>
        <w:jc w:val="both"/>
        <w:rPr>
          <w:rFonts w:ascii="Arial Narrow" w:hAnsi="Arial Narrow"/>
          <w:b/>
          <w:sz w:val="22"/>
          <w:szCs w:val="20"/>
        </w:rPr>
      </w:pPr>
    </w:p>
    <w:p w:rsidR="00870526" w:rsidRPr="00241464" w:rsidRDefault="00870526" w:rsidP="00422F5F">
      <w:pPr>
        <w:ind w:right="170"/>
        <w:jc w:val="both"/>
        <w:rPr>
          <w:rFonts w:ascii="Arial Narrow" w:hAnsi="Arial Narrow"/>
          <w:sz w:val="22"/>
          <w:szCs w:val="20"/>
        </w:rPr>
      </w:pPr>
      <w:r w:rsidRPr="00241464">
        <w:rPr>
          <w:rFonts w:ascii="Arial Narrow" w:hAnsi="Arial Narrow"/>
          <w:b/>
          <w:sz w:val="22"/>
          <w:szCs w:val="20"/>
        </w:rPr>
        <w:t>Bývanie</w:t>
      </w:r>
      <w:r w:rsidRPr="00241464">
        <w:rPr>
          <w:rFonts w:ascii="Arial Narrow" w:hAnsi="Arial Narrow"/>
          <w:sz w:val="22"/>
          <w:szCs w:val="20"/>
        </w:rPr>
        <w:t>: prístrešie a strava poskytovaná chudobným alebo ohrozeným ľuďom, keď tieto služby nemožno klasifikovať pod iným účelom. Môže ísť o krátkodobú pomoc v zberných strediskách, útulkoch atď. alebo na pravidelnejšej báze v špeciálnych zariadeniach, penziónoch, prijímacích rodinách a tak ďalej.</w:t>
      </w:r>
    </w:p>
    <w:p w:rsidR="00870526" w:rsidRPr="00241464" w:rsidRDefault="00870526" w:rsidP="00870526">
      <w:pPr>
        <w:pStyle w:val="Odsekzoznamu"/>
        <w:ind w:left="851"/>
        <w:jc w:val="both"/>
        <w:rPr>
          <w:rFonts w:ascii="Arial Narrow" w:hAnsi="Arial Narrow"/>
          <w:sz w:val="22"/>
          <w:szCs w:val="20"/>
        </w:rPr>
      </w:pPr>
    </w:p>
    <w:p w:rsidR="00870526" w:rsidRPr="00241464" w:rsidRDefault="00870526" w:rsidP="00422F5F">
      <w:pPr>
        <w:ind w:right="170"/>
        <w:jc w:val="both"/>
        <w:rPr>
          <w:rFonts w:ascii="Arial Narrow" w:hAnsi="Arial Narrow"/>
          <w:sz w:val="22"/>
          <w:szCs w:val="20"/>
        </w:rPr>
      </w:pPr>
      <w:r w:rsidRPr="00241464">
        <w:rPr>
          <w:rFonts w:ascii="Arial Narrow" w:hAnsi="Arial Narrow"/>
          <w:b/>
          <w:sz w:val="22"/>
          <w:szCs w:val="20"/>
        </w:rPr>
        <w:t>Rehabilitácia alkoholikov a narkomanov</w:t>
      </w:r>
      <w:r w:rsidRPr="00241464">
        <w:rPr>
          <w:rFonts w:ascii="Arial Narrow" w:hAnsi="Arial Narrow"/>
          <w:sz w:val="22"/>
          <w:szCs w:val="20"/>
        </w:rPr>
        <w:t xml:space="preserve">: liečenie závislosti na alkohole a drogách zamerané na rekonštrukciu spoločenského života závislých, urobiť z nich ľudí schopných samostatného života. </w:t>
      </w:r>
    </w:p>
    <w:p w:rsidR="00870526" w:rsidRPr="00241464" w:rsidRDefault="00870526" w:rsidP="00870526">
      <w:pPr>
        <w:pStyle w:val="Odsekzoznamu"/>
        <w:ind w:left="360"/>
        <w:rPr>
          <w:rFonts w:ascii="Arial Narrow" w:hAnsi="Arial Narrow"/>
          <w:sz w:val="22"/>
          <w:szCs w:val="20"/>
        </w:rPr>
      </w:pPr>
    </w:p>
    <w:p w:rsidR="00870526" w:rsidRPr="00241464" w:rsidRDefault="00870526" w:rsidP="00422F5F">
      <w:pPr>
        <w:ind w:right="170"/>
        <w:jc w:val="both"/>
        <w:rPr>
          <w:rFonts w:ascii="Arial Narrow" w:hAnsi="Arial Narrow"/>
          <w:sz w:val="22"/>
          <w:szCs w:val="20"/>
        </w:rPr>
      </w:pPr>
      <w:r w:rsidRPr="00241464">
        <w:rPr>
          <w:rFonts w:ascii="Arial Narrow" w:hAnsi="Arial Narrow"/>
          <w:b/>
          <w:sz w:val="22"/>
          <w:szCs w:val="20"/>
        </w:rPr>
        <w:t>Iné vecné dávky</w:t>
      </w:r>
      <w:r w:rsidRPr="00241464">
        <w:rPr>
          <w:rFonts w:ascii="Arial Narrow" w:hAnsi="Arial Narrow"/>
          <w:sz w:val="22"/>
          <w:szCs w:val="20"/>
        </w:rPr>
        <w:t>: základné služby a tovary na pomoc ohrozeným ľuďom, ako je poradenská služba, denný prístrešok, pomoc pri vykonávaní každodenných povinností, strava, oblečenie, palivo atď. Sem sa tiež zahŕňa právna pomoc poskytovaná pri testovaní na príjem.</w:t>
      </w:r>
    </w:p>
    <w:p w:rsidR="005940BB" w:rsidRPr="00241464" w:rsidRDefault="005940BB" w:rsidP="001B76BD">
      <w:pPr>
        <w:jc w:val="both"/>
        <w:rPr>
          <w:rFonts w:ascii="Arial Narrow" w:hAnsi="Arial Narrow"/>
          <w:sz w:val="22"/>
          <w:szCs w:val="20"/>
        </w:rPr>
      </w:pPr>
    </w:p>
    <w:p w:rsidR="005940BB" w:rsidRPr="00241464" w:rsidRDefault="005940BB" w:rsidP="00241464">
      <w:pPr>
        <w:ind w:right="170"/>
        <w:jc w:val="both"/>
        <w:rPr>
          <w:rFonts w:ascii="Arial Narrow" w:hAnsi="Arial Narrow"/>
          <w:sz w:val="22"/>
          <w:szCs w:val="20"/>
        </w:rPr>
      </w:pPr>
      <w:r w:rsidRPr="00241464">
        <w:rPr>
          <w:rFonts w:ascii="Arial Narrow" w:hAnsi="Arial Narrow"/>
          <w:sz w:val="22"/>
          <w:szCs w:val="20"/>
        </w:rPr>
        <w:t xml:space="preserve">Výdavky na účely </w:t>
      </w:r>
      <w:r w:rsidRPr="00241464">
        <w:rPr>
          <w:rFonts w:ascii="Arial Narrow" w:hAnsi="Arial Narrow"/>
          <w:b/>
          <w:sz w:val="22"/>
          <w:szCs w:val="20"/>
        </w:rPr>
        <w:t>bývanie a sociálne vylúčenie</w:t>
      </w:r>
      <w:r w:rsidR="00013B62" w:rsidRPr="00241464">
        <w:rPr>
          <w:rFonts w:ascii="Arial Narrow" w:hAnsi="Arial Narrow"/>
          <w:sz w:val="22"/>
          <w:szCs w:val="20"/>
        </w:rPr>
        <w:t xml:space="preserve"> v roku 2019 dosiahli 248</w:t>
      </w:r>
      <w:r w:rsidRPr="00241464">
        <w:rPr>
          <w:rFonts w:ascii="Arial Narrow" w:hAnsi="Arial Narrow"/>
          <w:sz w:val="22"/>
          <w:szCs w:val="20"/>
        </w:rPr>
        <w:t>,</w:t>
      </w:r>
      <w:r w:rsidR="00013B62" w:rsidRPr="00241464">
        <w:rPr>
          <w:rFonts w:ascii="Arial Narrow" w:hAnsi="Arial Narrow"/>
          <w:sz w:val="22"/>
          <w:szCs w:val="20"/>
        </w:rPr>
        <w:t>7 mil. eur (0,2</w:t>
      </w:r>
      <w:r w:rsidRPr="00241464">
        <w:rPr>
          <w:rFonts w:ascii="Arial Narrow" w:hAnsi="Arial Narrow"/>
          <w:sz w:val="22"/>
          <w:szCs w:val="20"/>
        </w:rPr>
        <w:t xml:space="preserve"> % z</w:t>
      </w:r>
      <w:r w:rsidR="00205B41">
        <w:rPr>
          <w:rFonts w:ascii="Arial Narrow" w:hAnsi="Arial Narrow"/>
          <w:sz w:val="22"/>
          <w:szCs w:val="20"/>
        </w:rPr>
        <w:t> </w:t>
      </w:r>
      <w:r w:rsidRPr="00241464">
        <w:rPr>
          <w:rFonts w:ascii="Arial Narrow" w:hAnsi="Arial Narrow"/>
          <w:sz w:val="22"/>
          <w:szCs w:val="20"/>
        </w:rPr>
        <w:t>HDP</w:t>
      </w:r>
      <w:r w:rsidR="00205B41">
        <w:rPr>
          <w:rFonts w:ascii="Arial Narrow" w:hAnsi="Arial Narrow"/>
          <w:sz w:val="22"/>
          <w:szCs w:val="20"/>
        </w:rPr>
        <w:t>)</w:t>
      </w:r>
      <w:r w:rsidRPr="00241464">
        <w:rPr>
          <w:rFonts w:ascii="Arial Narrow" w:hAnsi="Arial Narrow"/>
          <w:sz w:val="22"/>
          <w:szCs w:val="20"/>
        </w:rPr>
        <w:t xml:space="preserve">. </w:t>
      </w:r>
    </w:p>
    <w:p w:rsidR="005940BB" w:rsidRPr="00241464" w:rsidRDefault="005940BB" w:rsidP="005940BB">
      <w:pPr>
        <w:ind w:firstLine="708"/>
        <w:jc w:val="both"/>
        <w:rPr>
          <w:rFonts w:ascii="Arial Narrow" w:hAnsi="Arial Narrow"/>
          <w:sz w:val="22"/>
          <w:szCs w:val="20"/>
          <w:highlight w:val="cyan"/>
        </w:rPr>
      </w:pPr>
    </w:p>
    <w:p w:rsidR="005940BB" w:rsidRDefault="005940BB" w:rsidP="00422F5F">
      <w:pPr>
        <w:ind w:right="170" w:firstLine="708"/>
        <w:jc w:val="both"/>
        <w:rPr>
          <w:rFonts w:ascii="Arial Narrow" w:hAnsi="Arial Narrow"/>
          <w:sz w:val="22"/>
          <w:szCs w:val="20"/>
        </w:rPr>
      </w:pPr>
      <w:r w:rsidRPr="00241464">
        <w:rPr>
          <w:rFonts w:ascii="Arial Narrow" w:hAnsi="Arial Narrow"/>
          <w:sz w:val="22"/>
          <w:szCs w:val="20"/>
        </w:rPr>
        <w:t>V účeloch bývanie a sociálne vylúčenie prevládala najmä testovaná pravidelná peňažná dávka podpora príjmu (pom</w:t>
      </w:r>
      <w:r w:rsidR="00013B62" w:rsidRPr="00241464">
        <w:rPr>
          <w:rFonts w:ascii="Arial Narrow" w:hAnsi="Arial Narrow"/>
          <w:sz w:val="22"/>
          <w:szCs w:val="20"/>
        </w:rPr>
        <w:t>oc v hmotnej núdzi s podielom 77</w:t>
      </w:r>
      <w:r w:rsidRPr="00241464">
        <w:rPr>
          <w:rFonts w:ascii="Arial Narrow" w:hAnsi="Arial Narrow"/>
          <w:sz w:val="22"/>
          <w:szCs w:val="20"/>
        </w:rPr>
        <w:t>,</w:t>
      </w:r>
      <w:r w:rsidR="00013B62" w:rsidRPr="00241464">
        <w:rPr>
          <w:rFonts w:ascii="Arial Narrow" w:hAnsi="Arial Narrow"/>
          <w:sz w:val="22"/>
          <w:szCs w:val="20"/>
        </w:rPr>
        <w:t>7</w:t>
      </w:r>
      <w:r w:rsidRPr="00241464">
        <w:rPr>
          <w:rFonts w:ascii="Arial Narrow" w:hAnsi="Arial Narrow"/>
          <w:sz w:val="22"/>
          <w:szCs w:val="20"/>
        </w:rPr>
        <w:t xml:space="preserve"> %</w:t>
      </w:r>
      <w:r w:rsidR="00013B62" w:rsidRPr="00241464">
        <w:rPr>
          <w:rFonts w:ascii="Arial Narrow" w:hAnsi="Arial Narrow"/>
          <w:sz w:val="22"/>
          <w:szCs w:val="20"/>
        </w:rPr>
        <w:t xml:space="preserve"> z účelu sociálne vylúčenie a 64,5 % z účelu bývanie a sociálne vylúčenie</w:t>
      </w:r>
      <w:r w:rsidRPr="00241464">
        <w:rPr>
          <w:rFonts w:ascii="Arial Narrow" w:hAnsi="Arial Narrow"/>
          <w:sz w:val="22"/>
          <w:szCs w:val="20"/>
        </w:rPr>
        <w:t>) financovaná zo štátneho rozpočtu.</w:t>
      </w:r>
    </w:p>
    <w:p w:rsidR="005940BB" w:rsidRDefault="005940BB" w:rsidP="005940BB">
      <w:pPr>
        <w:ind w:firstLine="708"/>
        <w:jc w:val="both"/>
        <w:rPr>
          <w:rFonts w:ascii="Arial Narrow" w:hAnsi="Arial Narrow"/>
          <w:sz w:val="20"/>
          <w:szCs w:val="20"/>
        </w:rPr>
      </w:pPr>
    </w:p>
    <w:p w:rsidR="0035384E" w:rsidRDefault="0035384E" w:rsidP="00442FFB">
      <w:pPr>
        <w:jc w:val="both"/>
        <w:rPr>
          <w:rFonts w:ascii="Arial Narrow" w:hAnsi="Arial Narrow" w:cs="Arial"/>
          <w:b/>
          <w:sz w:val="20"/>
          <w:szCs w:val="20"/>
        </w:rPr>
      </w:pPr>
      <w:r w:rsidRPr="00A377F9">
        <w:rPr>
          <w:rFonts w:ascii="Arial Narrow" w:hAnsi="Arial Narrow" w:cs="Arial"/>
          <w:b/>
          <w:sz w:val="20"/>
          <w:szCs w:val="20"/>
        </w:rPr>
        <w:t xml:space="preserve">Tab. </w:t>
      </w:r>
      <w:r w:rsidR="006D61F7">
        <w:rPr>
          <w:rFonts w:ascii="Arial Narrow" w:hAnsi="Arial Narrow" w:cs="Arial"/>
          <w:b/>
          <w:sz w:val="20"/>
          <w:szCs w:val="20"/>
        </w:rPr>
        <w:t>1.</w:t>
      </w:r>
      <w:r w:rsidR="00F8688C">
        <w:rPr>
          <w:rFonts w:ascii="Arial Narrow" w:hAnsi="Arial Narrow" w:cs="Arial"/>
          <w:b/>
          <w:sz w:val="20"/>
          <w:szCs w:val="20"/>
        </w:rPr>
        <w:t>1</w:t>
      </w:r>
      <w:r w:rsidR="00C306F1">
        <w:rPr>
          <w:rFonts w:ascii="Arial Narrow" w:hAnsi="Arial Narrow" w:cs="Arial"/>
          <w:b/>
          <w:sz w:val="20"/>
          <w:szCs w:val="20"/>
        </w:rPr>
        <w:t>1</w:t>
      </w:r>
      <w:r w:rsidR="00F1117C">
        <w:rPr>
          <w:rFonts w:ascii="Arial Narrow" w:hAnsi="Arial Narrow" w:cs="Arial"/>
          <w:b/>
          <w:sz w:val="20"/>
          <w:szCs w:val="20"/>
        </w:rPr>
        <w:t xml:space="preserve">  </w:t>
      </w:r>
      <w:r w:rsidRPr="00A377F9">
        <w:rPr>
          <w:rFonts w:ascii="Arial Narrow" w:hAnsi="Arial Narrow" w:cs="Arial"/>
          <w:b/>
          <w:sz w:val="20"/>
          <w:szCs w:val="20"/>
        </w:rPr>
        <w:t xml:space="preserve">Výdavky na sociálne dávky </w:t>
      </w:r>
      <w:r>
        <w:rPr>
          <w:rFonts w:ascii="Arial Narrow" w:hAnsi="Arial Narrow" w:cs="Arial"/>
          <w:b/>
          <w:sz w:val="20"/>
          <w:szCs w:val="20"/>
        </w:rPr>
        <w:t xml:space="preserve">v SR </w:t>
      </w:r>
      <w:r w:rsidRPr="00A377F9">
        <w:rPr>
          <w:rFonts w:ascii="Arial Narrow" w:hAnsi="Arial Narrow" w:cs="Arial"/>
          <w:b/>
          <w:sz w:val="20"/>
          <w:szCs w:val="20"/>
        </w:rPr>
        <w:t>na účel bývanie</w:t>
      </w:r>
      <w:r w:rsidR="00F1117C">
        <w:rPr>
          <w:rFonts w:ascii="Arial Narrow" w:hAnsi="Arial Narrow" w:cs="Arial"/>
          <w:b/>
          <w:sz w:val="20"/>
          <w:szCs w:val="20"/>
        </w:rPr>
        <w:t>, 201</w:t>
      </w:r>
      <w:r w:rsidR="00101C8A">
        <w:rPr>
          <w:rFonts w:ascii="Arial Narrow" w:hAnsi="Arial Narrow" w:cs="Arial"/>
          <w:b/>
          <w:sz w:val="20"/>
          <w:szCs w:val="20"/>
        </w:rPr>
        <w:t>9</w:t>
      </w:r>
    </w:p>
    <w:p w:rsidR="00241464" w:rsidRPr="00241464" w:rsidRDefault="00241464" w:rsidP="00442FFB">
      <w:pPr>
        <w:jc w:val="both"/>
        <w:rPr>
          <w:rFonts w:ascii="Arial Narrow" w:hAnsi="Arial Narrow"/>
          <w:b/>
          <w:sz w:val="10"/>
          <w:szCs w:val="10"/>
        </w:rPr>
      </w:pPr>
    </w:p>
    <w:tbl>
      <w:tblPr>
        <w:tblW w:w="9356" w:type="dxa"/>
        <w:tblLayout w:type="fixed"/>
        <w:tblCellMar>
          <w:left w:w="70" w:type="dxa"/>
          <w:right w:w="70" w:type="dxa"/>
        </w:tblCellMar>
        <w:tblLook w:val="04A0" w:firstRow="1" w:lastRow="0" w:firstColumn="1" w:lastColumn="0" w:noHBand="0" w:noVBand="1"/>
      </w:tblPr>
      <w:tblGrid>
        <w:gridCol w:w="181"/>
        <w:gridCol w:w="181"/>
        <w:gridCol w:w="160"/>
        <w:gridCol w:w="160"/>
        <w:gridCol w:w="3992"/>
        <w:gridCol w:w="847"/>
        <w:gridCol w:w="717"/>
        <w:gridCol w:w="708"/>
        <w:gridCol w:w="709"/>
        <w:gridCol w:w="712"/>
        <w:gridCol w:w="989"/>
      </w:tblGrid>
      <w:tr w:rsidR="00D13D2D" w:rsidTr="00646DAA">
        <w:trPr>
          <w:trHeight w:val="510"/>
        </w:trPr>
        <w:tc>
          <w:tcPr>
            <w:tcW w:w="4674" w:type="dxa"/>
            <w:gridSpan w:val="5"/>
            <w:tcBorders>
              <w:top w:val="nil"/>
              <w:left w:val="nil"/>
              <w:bottom w:val="single" w:sz="4" w:space="0" w:color="FF0000"/>
              <w:right w:val="single" w:sz="4" w:space="0" w:color="FF0000"/>
            </w:tcBorders>
            <w:shd w:val="clear" w:color="000000" w:fill="A9D08E"/>
            <w:vAlign w:val="center"/>
            <w:hideMark/>
          </w:tcPr>
          <w:p w:rsidR="00D13D2D" w:rsidRDefault="00D13D2D">
            <w:pPr>
              <w:rPr>
                <w:rFonts w:ascii="Arial Narrow" w:hAnsi="Arial Narrow"/>
                <w:i/>
                <w:iCs/>
                <w:sz w:val="16"/>
                <w:szCs w:val="16"/>
                <w:lang w:eastAsia="sk-SK"/>
              </w:rPr>
            </w:pPr>
            <w:r>
              <w:rPr>
                <w:rFonts w:ascii="Arial Narrow" w:hAnsi="Arial Narrow"/>
                <w:i/>
                <w:iCs/>
                <w:sz w:val="16"/>
                <w:szCs w:val="16"/>
              </w:rPr>
              <w:t>Ukazovateľ</w:t>
            </w:r>
          </w:p>
        </w:tc>
        <w:tc>
          <w:tcPr>
            <w:tcW w:w="847" w:type="dxa"/>
            <w:tcBorders>
              <w:top w:val="nil"/>
              <w:left w:val="nil"/>
              <w:bottom w:val="single" w:sz="4" w:space="0" w:color="FF0000"/>
              <w:right w:val="single" w:sz="4" w:space="0" w:color="FF0000"/>
            </w:tcBorders>
            <w:shd w:val="clear" w:color="000000" w:fill="A9D08E"/>
            <w:noWrap/>
            <w:vAlign w:val="center"/>
            <w:hideMark/>
          </w:tcPr>
          <w:p w:rsidR="00D13D2D" w:rsidRDefault="00D13D2D">
            <w:pPr>
              <w:jc w:val="center"/>
              <w:rPr>
                <w:rFonts w:ascii="Arial Narrow" w:hAnsi="Arial Narrow"/>
                <w:color w:val="000000"/>
                <w:sz w:val="16"/>
                <w:szCs w:val="16"/>
              </w:rPr>
            </w:pPr>
            <w:r>
              <w:rPr>
                <w:rFonts w:ascii="Arial Narrow" w:hAnsi="Arial Narrow"/>
                <w:color w:val="000000"/>
                <w:sz w:val="16"/>
                <w:szCs w:val="16"/>
              </w:rPr>
              <w:t>mil. EUR</w:t>
            </w:r>
          </w:p>
        </w:tc>
        <w:tc>
          <w:tcPr>
            <w:tcW w:w="717" w:type="dxa"/>
            <w:tcBorders>
              <w:top w:val="nil"/>
              <w:left w:val="nil"/>
              <w:bottom w:val="single" w:sz="4" w:space="0" w:color="FF0000"/>
              <w:right w:val="single" w:sz="4" w:space="0" w:color="FF0000"/>
            </w:tcBorders>
            <w:shd w:val="clear" w:color="000000" w:fill="A9D08E"/>
            <w:noWrap/>
            <w:vAlign w:val="center"/>
            <w:hideMark/>
          </w:tcPr>
          <w:p w:rsidR="00D13D2D" w:rsidRDefault="00205B41">
            <w:pPr>
              <w:jc w:val="center"/>
              <w:rPr>
                <w:rFonts w:ascii="Arial Narrow" w:hAnsi="Arial Narrow"/>
                <w:color w:val="000000"/>
                <w:sz w:val="16"/>
                <w:szCs w:val="16"/>
              </w:rPr>
            </w:pPr>
            <w:r w:rsidRPr="00205B41">
              <w:rPr>
                <w:rFonts w:ascii="Arial Narrow" w:hAnsi="Arial Narrow"/>
                <w:color w:val="000000"/>
                <w:sz w:val="16"/>
                <w:szCs w:val="16"/>
              </w:rPr>
              <w:t>% z dávok spolu</w:t>
            </w:r>
          </w:p>
        </w:tc>
        <w:tc>
          <w:tcPr>
            <w:tcW w:w="708" w:type="dxa"/>
            <w:tcBorders>
              <w:top w:val="nil"/>
              <w:left w:val="nil"/>
              <w:bottom w:val="single" w:sz="4" w:space="0" w:color="FF0000"/>
              <w:right w:val="single" w:sz="4" w:space="0" w:color="FF0000"/>
            </w:tcBorders>
            <w:shd w:val="clear" w:color="000000" w:fill="A9D08E"/>
            <w:vAlign w:val="center"/>
            <w:hideMark/>
          </w:tcPr>
          <w:p w:rsidR="00D13D2D" w:rsidRDefault="00D13D2D">
            <w:pPr>
              <w:jc w:val="center"/>
              <w:rPr>
                <w:rFonts w:ascii="Arial Narrow" w:hAnsi="Arial Narrow"/>
                <w:color w:val="000000"/>
                <w:sz w:val="16"/>
                <w:szCs w:val="16"/>
              </w:rPr>
            </w:pPr>
            <w:r>
              <w:rPr>
                <w:rFonts w:ascii="Arial Narrow" w:hAnsi="Arial Narrow"/>
                <w:color w:val="000000"/>
                <w:sz w:val="16"/>
                <w:szCs w:val="16"/>
              </w:rPr>
              <w:t>EUR na obyv.(s.c.2010)</w:t>
            </w:r>
          </w:p>
        </w:tc>
        <w:tc>
          <w:tcPr>
            <w:tcW w:w="709" w:type="dxa"/>
            <w:tcBorders>
              <w:top w:val="nil"/>
              <w:left w:val="nil"/>
              <w:bottom w:val="single" w:sz="4" w:space="0" w:color="FF0000"/>
              <w:right w:val="single" w:sz="4" w:space="0" w:color="FF0000"/>
            </w:tcBorders>
            <w:shd w:val="clear" w:color="000000" w:fill="A9D08E"/>
            <w:vAlign w:val="center"/>
            <w:hideMark/>
          </w:tcPr>
          <w:p w:rsidR="00D13D2D" w:rsidRDefault="00D13D2D">
            <w:pPr>
              <w:jc w:val="center"/>
              <w:rPr>
                <w:rFonts w:ascii="Arial Narrow" w:hAnsi="Arial Narrow"/>
                <w:color w:val="000000"/>
                <w:sz w:val="16"/>
                <w:szCs w:val="16"/>
              </w:rPr>
            </w:pPr>
            <w:r>
              <w:rPr>
                <w:rFonts w:ascii="Arial Narrow" w:hAnsi="Arial Narrow"/>
                <w:color w:val="000000"/>
                <w:sz w:val="16"/>
                <w:szCs w:val="16"/>
              </w:rPr>
              <w:t>PPS na obyv.</w:t>
            </w:r>
          </w:p>
        </w:tc>
        <w:tc>
          <w:tcPr>
            <w:tcW w:w="712" w:type="dxa"/>
            <w:tcBorders>
              <w:top w:val="nil"/>
              <w:left w:val="nil"/>
              <w:bottom w:val="single" w:sz="4" w:space="0" w:color="FF0000"/>
              <w:right w:val="single" w:sz="4" w:space="0" w:color="FF0000"/>
            </w:tcBorders>
            <w:shd w:val="clear" w:color="000000" w:fill="A9D08E"/>
            <w:vAlign w:val="center"/>
            <w:hideMark/>
          </w:tcPr>
          <w:p w:rsidR="00D13D2D" w:rsidRDefault="00D13D2D">
            <w:pPr>
              <w:jc w:val="center"/>
              <w:rPr>
                <w:rFonts w:ascii="Arial Narrow" w:hAnsi="Arial Narrow"/>
                <w:color w:val="000000"/>
                <w:sz w:val="16"/>
                <w:szCs w:val="16"/>
              </w:rPr>
            </w:pPr>
            <w:r>
              <w:rPr>
                <w:rFonts w:ascii="Arial Narrow" w:hAnsi="Arial Narrow"/>
                <w:color w:val="000000"/>
                <w:sz w:val="16"/>
                <w:szCs w:val="16"/>
              </w:rPr>
              <w:t>% HDP</w:t>
            </w:r>
          </w:p>
        </w:tc>
        <w:tc>
          <w:tcPr>
            <w:tcW w:w="989" w:type="dxa"/>
            <w:tcBorders>
              <w:top w:val="nil"/>
              <w:left w:val="nil"/>
              <w:bottom w:val="single" w:sz="4" w:space="0" w:color="FF0000"/>
              <w:right w:val="nil"/>
            </w:tcBorders>
            <w:shd w:val="clear" w:color="000000" w:fill="A9D08E"/>
            <w:vAlign w:val="center"/>
            <w:hideMark/>
          </w:tcPr>
          <w:p w:rsidR="00D13D2D" w:rsidRDefault="00D13D2D" w:rsidP="00101C8A">
            <w:pPr>
              <w:jc w:val="center"/>
              <w:rPr>
                <w:rFonts w:ascii="Arial Narrow" w:hAnsi="Arial Narrow"/>
                <w:color w:val="000000"/>
                <w:sz w:val="16"/>
                <w:szCs w:val="16"/>
              </w:rPr>
            </w:pPr>
            <w:r>
              <w:rPr>
                <w:rFonts w:ascii="Arial Narrow" w:hAnsi="Arial Narrow"/>
                <w:color w:val="000000"/>
                <w:sz w:val="16"/>
                <w:szCs w:val="16"/>
              </w:rPr>
              <w:t>Index 201</w:t>
            </w:r>
            <w:r w:rsidR="00101C8A">
              <w:rPr>
                <w:rFonts w:ascii="Arial Narrow" w:hAnsi="Arial Narrow"/>
                <w:color w:val="000000"/>
                <w:sz w:val="16"/>
                <w:szCs w:val="16"/>
              </w:rPr>
              <w:t>9</w:t>
            </w:r>
            <w:r>
              <w:rPr>
                <w:rFonts w:ascii="Arial Narrow" w:hAnsi="Arial Narrow"/>
                <w:color w:val="000000"/>
                <w:sz w:val="16"/>
                <w:szCs w:val="16"/>
              </w:rPr>
              <w:t>/201</w:t>
            </w:r>
            <w:r w:rsidR="00101C8A">
              <w:rPr>
                <w:rFonts w:ascii="Arial Narrow" w:hAnsi="Arial Narrow"/>
                <w:color w:val="000000"/>
                <w:sz w:val="16"/>
                <w:szCs w:val="16"/>
              </w:rPr>
              <w:t>8</w:t>
            </w:r>
          </w:p>
        </w:tc>
      </w:tr>
      <w:tr w:rsidR="00646DAA" w:rsidTr="00646DAA">
        <w:trPr>
          <w:trHeight w:val="270"/>
        </w:trPr>
        <w:tc>
          <w:tcPr>
            <w:tcW w:w="4674" w:type="dxa"/>
            <w:gridSpan w:val="5"/>
            <w:tcBorders>
              <w:top w:val="nil"/>
              <w:left w:val="nil"/>
              <w:bottom w:val="nil"/>
              <w:right w:val="single" w:sz="4" w:space="0" w:color="FF0000"/>
            </w:tcBorders>
            <w:shd w:val="clear" w:color="auto" w:fill="A8D08D" w:themeFill="accent6" w:themeFillTint="99"/>
            <w:noWrap/>
            <w:vAlign w:val="center"/>
            <w:hideMark/>
          </w:tcPr>
          <w:p w:rsidR="00646DAA" w:rsidRDefault="00646DAA" w:rsidP="00646DAA">
            <w:pPr>
              <w:rPr>
                <w:rFonts w:ascii="Arial Narrow" w:hAnsi="Arial Narrow"/>
                <w:b/>
                <w:bCs/>
                <w:sz w:val="18"/>
                <w:szCs w:val="18"/>
              </w:rPr>
            </w:pPr>
            <w:r>
              <w:rPr>
                <w:rFonts w:ascii="Arial Narrow" w:hAnsi="Arial Narrow"/>
                <w:b/>
                <w:bCs/>
                <w:sz w:val="18"/>
                <w:szCs w:val="18"/>
              </w:rPr>
              <w:t>Dávky sociálnej ochrany na účel bývanie</w:t>
            </w:r>
          </w:p>
        </w:tc>
        <w:tc>
          <w:tcPr>
            <w:tcW w:w="847" w:type="dxa"/>
            <w:tcBorders>
              <w:top w:val="nil"/>
              <w:left w:val="nil"/>
              <w:bottom w:val="nil"/>
              <w:right w:val="single" w:sz="4" w:space="0" w:color="FF0000"/>
            </w:tcBorders>
            <w:shd w:val="clear" w:color="auto" w:fill="A8D08D" w:themeFill="accent6" w:themeFillTint="99"/>
            <w:noWrap/>
            <w:vAlign w:val="bottom"/>
            <w:hideMark/>
          </w:tcPr>
          <w:p w:rsidR="00646DAA" w:rsidRDefault="00646DAA" w:rsidP="00646DAA">
            <w:pPr>
              <w:jc w:val="right"/>
              <w:rPr>
                <w:rFonts w:ascii="Arial Narrow" w:hAnsi="Arial Narrow" w:cs="Calibri"/>
                <w:b/>
                <w:bCs/>
                <w:sz w:val="18"/>
                <w:szCs w:val="18"/>
                <w:lang w:eastAsia="sk-SK"/>
              </w:rPr>
            </w:pPr>
            <w:r>
              <w:rPr>
                <w:rFonts w:ascii="Arial Narrow" w:hAnsi="Arial Narrow" w:cs="Calibri"/>
                <w:b/>
                <w:bCs/>
                <w:sz w:val="18"/>
                <w:szCs w:val="18"/>
              </w:rPr>
              <w:t>42,4</w:t>
            </w:r>
          </w:p>
        </w:tc>
        <w:tc>
          <w:tcPr>
            <w:tcW w:w="717" w:type="dxa"/>
            <w:tcBorders>
              <w:top w:val="nil"/>
              <w:left w:val="nil"/>
              <w:bottom w:val="nil"/>
              <w:right w:val="single" w:sz="4" w:space="0" w:color="FF0000"/>
            </w:tcBorders>
            <w:shd w:val="clear" w:color="auto" w:fill="A8D08D" w:themeFill="accent6" w:themeFillTint="99"/>
            <w:noWrap/>
            <w:vAlign w:val="bottom"/>
            <w:hideMark/>
          </w:tcPr>
          <w:p w:rsidR="00646DAA" w:rsidRDefault="00646DAA" w:rsidP="00646DAA">
            <w:pPr>
              <w:jc w:val="right"/>
              <w:rPr>
                <w:rFonts w:ascii="Arial Narrow" w:hAnsi="Arial Narrow" w:cs="Calibri"/>
                <w:b/>
                <w:bCs/>
                <w:sz w:val="18"/>
                <w:szCs w:val="18"/>
              </w:rPr>
            </w:pPr>
            <w:r>
              <w:rPr>
                <w:rFonts w:ascii="Arial Narrow" w:hAnsi="Arial Narrow" w:cs="Calibri"/>
                <w:b/>
                <w:bCs/>
                <w:sz w:val="18"/>
                <w:szCs w:val="18"/>
              </w:rPr>
              <w:t>100,0</w:t>
            </w:r>
          </w:p>
        </w:tc>
        <w:tc>
          <w:tcPr>
            <w:tcW w:w="708" w:type="dxa"/>
            <w:tcBorders>
              <w:top w:val="nil"/>
              <w:left w:val="nil"/>
              <w:bottom w:val="nil"/>
              <w:right w:val="single" w:sz="4" w:space="0" w:color="FF0000"/>
            </w:tcBorders>
            <w:shd w:val="clear" w:color="auto" w:fill="A8D08D" w:themeFill="accent6" w:themeFillTint="99"/>
            <w:noWrap/>
            <w:vAlign w:val="bottom"/>
            <w:hideMark/>
          </w:tcPr>
          <w:p w:rsidR="00646DAA" w:rsidRDefault="00646DAA" w:rsidP="00646DAA">
            <w:pPr>
              <w:jc w:val="right"/>
              <w:rPr>
                <w:rFonts w:ascii="Arial Narrow" w:hAnsi="Arial Narrow" w:cs="Calibri"/>
                <w:b/>
                <w:bCs/>
                <w:sz w:val="18"/>
                <w:szCs w:val="18"/>
              </w:rPr>
            </w:pPr>
            <w:r>
              <w:rPr>
                <w:rFonts w:ascii="Arial Narrow" w:hAnsi="Arial Narrow" w:cs="Calibri"/>
                <w:b/>
                <w:bCs/>
                <w:sz w:val="18"/>
                <w:szCs w:val="18"/>
              </w:rPr>
              <w:t>6,7</w:t>
            </w:r>
          </w:p>
        </w:tc>
        <w:tc>
          <w:tcPr>
            <w:tcW w:w="709" w:type="dxa"/>
            <w:tcBorders>
              <w:top w:val="nil"/>
              <w:left w:val="nil"/>
              <w:bottom w:val="nil"/>
              <w:right w:val="single" w:sz="4" w:space="0" w:color="FF0000"/>
            </w:tcBorders>
            <w:shd w:val="clear" w:color="auto" w:fill="A8D08D" w:themeFill="accent6" w:themeFillTint="99"/>
            <w:noWrap/>
            <w:vAlign w:val="bottom"/>
            <w:hideMark/>
          </w:tcPr>
          <w:p w:rsidR="00646DAA" w:rsidRDefault="00646DAA" w:rsidP="00646DAA">
            <w:pPr>
              <w:jc w:val="right"/>
              <w:rPr>
                <w:rFonts w:ascii="Arial Narrow" w:hAnsi="Arial Narrow" w:cs="Calibri"/>
                <w:b/>
                <w:bCs/>
                <w:sz w:val="18"/>
                <w:szCs w:val="18"/>
              </w:rPr>
            </w:pPr>
            <w:r>
              <w:rPr>
                <w:rFonts w:ascii="Arial Narrow" w:hAnsi="Arial Narrow" w:cs="Calibri"/>
                <w:b/>
                <w:bCs/>
                <w:sz w:val="18"/>
                <w:szCs w:val="18"/>
              </w:rPr>
              <w:t>10,7</w:t>
            </w:r>
          </w:p>
        </w:tc>
        <w:tc>
          <w:tcPr>
            <w:tcW w:w="712" w:type="dxa"/>
            <w:tcBorders>
              <w:top w:val="nil"/>
              <w:left w:val="nil"/>
              <w:bottom w:val="nil"/>
              <w:right w:val="single" w:sz="4" w:space="0" w:color="FF0000"/>
            </w:tcBorders>
            <w:shd w:val="clear" w:color="auto" w:fill="A8D08D" w:themeFill="accent6" w:themeFillTint="99"/>
            <w:noWrap/>
            <w:vAlign w:val="bottom"/>
            <w:hideMark/>
          </w:tcPr>
          <w:p w:rsidR="00646DAA" w:rsidRDefault="00646DAA" w:rsidP="00646DAA">
            <w:pPr>
              <w:jc w:val="right"/>
              <w:rPr>
                <w:rFonts w:ascii="Arial Narrow" w:hAnsi="Arial Narrow" w:cs="Calibri"/>
                <w:b/>
                <w:bCs/>
                <w:sz w:val="18"/>
                <w:szCs w:val="18"/>
              </w:rPr>
            </w:pPr>
            <w:r>
              <w:rPr>
                <w:rFonts w:ascii="Arial Narrow" w:hAnsi="Arial Narrow" w:cs="Calibri"/>
                <w:b/>
                <w:bCs/>
                <w:sz w:val="18"/>
                <w:szCs w:val="18"/>
              </w:rPr>
              <w:t>0,0</w:t>
            </w:r>
          </w:p>
        </w:tc>
        <w:tc>
          <w:tcPr>
            <w:tcW w:w="989" w:type="dxa"/>
            <w:tcBorders>
              <w:top w:val="nil"/>
              <w:left w:val="nil"/>
              <w:bottom w:val="nil"/>
              <w:right w:val="nil"/>
            </w:tcBorders>
            <w:shd w:val="clear" w:color="auto" w:fill="A8D08D" w:themeFill="accent6" w:themeFillTint="99"/>
            <w:noWrap/>
            <w:vAlign w:val="bottom"/>
            <w:hideMark/>
          </w:tcPr>
          <w:p w:rsidR="00646DAA" w:rsidRDefault="00646DAA" w:rsidP="00646DAA">
            <w:pPr>
              <w:jc w:val="right"/>
              <w:rPr>
                <w:rFonts w:ascii="Arial Narrow" w:hAnsi="Arial Narrow" w:cs="Calibri"/>
                <w:b/>
                <w:bCs/>
                <w:sz w:val="18"/>
                <w:szCs w:val="18"/>
              </w:rPr>
            </w:pPr>
            <w:r>
              <w:rPr>
                <w:rFonts w:ascii="Arial Narrow" w:hAnsi="Arial Narrow" w:cs="Calibri"/>
                <w:b/>
                <w:bCs/>
                <w:sz w:val="18"/>
                <w:szCs w:val="18"/>
              </w:rPr>
              <w:t>90,8</w:t>
            </w:r>
          </w:p>
        </w:tc>
      </w:tr>
      <w:tr w:rsidR="00101C8A" w:rsidTr="00646DAA">
        <w:trPr>
          <w:trHeight w:val="270"/>
        </w:trPr>
        <w:tc>
          <w:tcPr>
            <w:tcW w:w="181" w:type="dxa"/>
            <w:tcBorders>
              <w:top w:val="nil"/>
              <w:left w:val="nil"/>
              <w:bottom w:val="nil"/>
              <w:right w:val="nil"/>
            </w:tcBorders>
            <w:shd w:val="clear" w:color="auto" w:fill="A8D08D" w:themeFill="accent6" w:themeFillTint="99"/>
            <w:noWrap/>
            <w:vAlign w:val="center"/>
            <w:hideMark/>
          </w:tcPr>
          <w:p w:rsidR="00101C8A" w:rsidRDefault="00101C8A" w:rsidP="00101C8A">
            <w:pPr>
              <w:rPr>
                <w:rFonts w:ascii="Arial Narrow" w:hAnsi="Arial Narrow"/>
                <w:b/>
                <w:bCs/>
                <w:sz w:val="18"/>
                <w:szCs w:val="18"/>
              </w:rPr>
            </w:pPr>
            <w:r>
              <w:rPr>
                <w:rFonts w:ascii="Arial Narrow" w:hAnsi="Arial Narrow"/>
                <w:b/>
                <w:bCs/>
                <w:sz w:val="18"/>
                <w:szCs w:val="18"/>
              </w:rPr>
              <w:t> </w:t>
            </w:r>
          </w:p>
        </w:tc>
        <w:tc>
          <w:tcPr>
            <w:tcW w:w="4493" w:type="dxa"/>
            <w:gridSpan w:val="4"/>
            <w:tcBorders>
              <w:top w:val="nil"/>
              <w:left w:val="nil"/>
              <w:bottom w:val="nil"/>
              <w:right w:val="nil"/>
            </w:tcBorders>
            <w:shd w:val="clear" w:color="auto" w:fill="A8D08D" w:themeFill="accent6" w:themeFillTint="99"/>
            <w:noWrap/>
            <w:vAlign w:val="center"/>
            <w:hideMark/>
          </w:tcPr>
          <w:p w:rsidR="00101C8A" w:rsidRDefault="00101C8A" w:rsidP="00101C8A">
            <w:pPr>
              <w:rPr>
                <w:rFonts w:ascii="Arial Narrow" w:hAnsi="Arial Narrow"/>
                <w:b/>
                <w:bCs/>
                <w:sz w:val="18"/>
                <w:szCs w:val="18"/>
              </w:rPr>
            </w:pPr>
            <w:r>
              <w:rPr>
                <w:rFonts w:ascii="Arial Narrow" w:hAnsi="Arial Narrow"/>
                <w:b/>
                <w:bCs/>
                <w:sz w:val="18"/>
                <w:szCs w:val="18"/>
              </w:rPr>
              <w:t>Testované dávky na príjem</w:t>
            </w:r>
          </w:p>
        </w:tc>
        <w:tc>
          <w:tcPr>
            <w:tcW w:w="847" w:type="dxa"/>
            <w:tcBorders>
              <w:top w:val="nil"/>
              <w:left w:val="single" w:sz="4" w:space="0" w:color="FF0000"/>
              <w:bottom w:val="nil"/>
              <w:right w:val="single" w:sz="4" w:space="0" w:color="FF0000"/>
            </w:tcBorders>
            <w:shd w:val="clear" w:color="auto" w:fill="A8D08D" w:themeFill="accent6" w:themeFillTint="99"/>
            <w:noWrap/>
            <w:vAlign w:val="bottom"/>
            <w:hideMark/>
          </w:tcPr>
          <w:p w:rsidR="00101C8A" w:rsidRDefault="00101C8A" w:rsidP="00101C8A">
            <w:pPr>
              <w:jc w:val="right"/>
              <w:rPr>
                <w:rFonts w:ascii="Arial Narrow" w:hAnsi="Arial Narrow" w:cs="Calibri"/>
                <w:b/>
                <w:bCs/>
                <w:sz w:val="18"/>
                <w:szCs w:val="18"/>
                <w:lang w:eastAsia="sk-SK"/>
              </w:rPr>
            </w:pPr>
            <w:r>
              <w:rPr>
                <w:rFonts w:ascii="Arial Narrow" w:hAnsi="Arial Narrow" w:cs="Calibri"/>
                <w:b/>
                <w:bCs/>
                <w:sz w:val="18"/>
                <w:szCs w:val="18"/>
              </w:rPr>
              <w:t>42,4</w:t>
            </w:r>
          </w:p>
        </w:tc>
        <w:tc>
          <w:tcPr>
            <w:tcW w:w="717" w:type="dxa"/>
            <w:tcBorders>
              <w:top w:val="nil"/>
              <w:left w:val="nil"/>
              <w:bottom w:val="nil"/>
              <w:right w:val="single" w:sz="4" w:space="0" w:color="FF0000"/>
            </w:tcBorders>
            <w:shd w:val="clear" w:color="auto" w:fill="A8D08D" w:themeFill="accent6" w:themeFillTint="99"/>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100,0</w:t>
            </w:r>
          </w:p>
        </w:tc>
        <w:tc>
          <w:tcPr>
            <w:tcW w:w="708" w:type="dxa"/>
            <w:tcBorders>
              <w:top w:val="nil"/>
              <w:left w:val="nil"/>
              <w:bottom w:val="nil"/>
              <w:right w:val="single" w:sz="4" w:space="0" w:color="FF0000"/>
            </w:tcBorders>
            <w:shd w:val="clear" w:color="auto" w:fill="A8D08D" w:themeFill="accent6" w:themeFillTint="99"/>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6,7</w:t>
            </w:r>
          </w:p>
        </w:tc>
        <w:tc>
          <w:tcPr>
            <w:tcW w:w="709" w:type="dxa"/>
            <w:tcBorders>
              <w:top w:val="nil"/>
              <w:left w:val="nil"/>
              <w:bottom w:val="nil"/>
              <w:right w:val="single" w:sz="4" w:space="0" w:color="FF0000"/>
            </w:tcBorders>
            <w:shd w:val="clear" w:color="auto" w:fill="A8D08D" w:themeFill="accent6" w:themeFillTint="99"/>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10,7</w:t>
            </w:r>
          </w:p>
        </w:tc>
        <w:tc>
          <w:tcPr>
            <w:tcW w:w="712" w:type="dxa"/>
            <w:tcBorders>
              <w:top w:val="nil"/>
              <w:left w:val="nil"/>
              <w:bottom w:val="nil"/>
              <w:right w:val="single" w:sz="4" w:space="0" w:color="FF0000"/>
            </w:tcBorders>
            <w:shd w:val="clear" w:color="auto" w:fill="A8D08D" w:themeFill="accent6" w:themeFillTint="99"/>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0,0</w:t>
            </w:r>
          </w:p>
        </w:tc>
        <w:tc>
          <w:tcPr>
            <w:tcW w:w="989" w:type="dxa"/>
            <w:tcBorders>
              <w:top w:val="nil"/>
              <w:left w:val="nil"/>
              <w:bottom w:val="nil"/>
              <w:right w:val="nil"/>
            </w:tcBorders>
            <w:shd w:val="clear" w:color="auto" w:fill="A8D08D" w:themeFill="accent6" w:themeFillTint="99"/>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90,8</w:t>
            </w:r>
          </w:p>
        </w:tc>
      </w:tr>
      <w:tr w:rsidR="00101C8A" w:rsidTr="00646DAA">
        <w:trPr>
          <w:trHeight w:val="270"/>
        </w:trPr>
        <w:tc>
          <w:tcPr>
            <w:tcW w:w="181" w:type="dxa"/>
            <w:tcBorders>
              <w:top w:val="nil"/>
              <w:left w:val="nil"/>
              <w:bottom w:val="nil"/>
              <w:right w:val="nil"/>
            </w:tcBorders>
            <w:shd w:val="clear" w:color="auto" w:fill="C5E0B3" w:themeFill="accent6" w:themeFillTint="66"/>
            <w:noWrap/>
            <w:vAlign w:val="center"/>
            <w:hideMark/>
          </w:tcPr>
          <w:p w:rsidR="00101C8A" w:rsidRDefault="00101C8A" w:rsidP="00101C8A">
            <w:pPr>
              <w:rPr>
                <w:rFonts w:ascii="Arial Narrow" w:hAnsi="Arial Narrow"/>
                <w:b/>
                <w:bCs/>
                <w:sz w:val="18"/>
                <w:szCs w:val="18"/>
              </w:rPr>
            </w:pPr>
            <w:r>
              <w:rPr>
                <w:rFonts w:ascii="Arial Narrow" w:hAnsi="Arial Narrow"/>
                <w:b/>
                <w:bCs/>
                <w:sz w:val="18"/>
                <w:szCs w:val="18"/>
              </w:rPr>
              <w:t> </w:t>
            </w:r>
          </w:p>
        </w:tc>
        <w:tc>
          <w:tcPr>
            <w:tcW w:w="181" w:type="dxa"/>
            <w:tcBorders>
              <w:top w:val="nil"/>
              <w:left w:val="nil"/>
              <w:bottom w:val="nil"/>
              <w:right w:val="nil"/>
            </w:tcBorders>
            <w:shd w:val="clear" w:color="auto" w:fill="C5E0B3" w:themeFill="accent6" w:themeFillTint="66"/>
            <w:noWrap/>
            <w:vAlign w:val="center"/>
            <w:hideMark/>
          </w:tcPr>
          <w:p w:rsidR="00101C8A" w:rsidRDefault="00101C8A" w:rsidP="00101C8A">
            <w:pPr>
              <w:rPr>
                <w:rFonts w:ascii="Arial Narrow" w:hAnsi="Arial Narrow"/>
                <w:b/>
                <w:bCs/>
                <w:sz w:val="18"/>
                <w:szCs w:val="18"/>
              </w:rPr>
            </w:pPr>
            <w:r>
              <w:rPr>
                <w:rFonts w:ascii="Arial Narrow" w:hAnsi="Arial Narrow"/>
                <w:b/>
                <w:bCs/>
                <w:sz w:val="18"/>
                <w:szCs w:val="18"/>
              </w:rPr>
              <w:t> </w:t>
            </w:r>
          </w:p>
        </w:tc>
        <w:tc>
          <w:tcPr>
            <w:tcW w:w="4312" w:type="dxa"/>
            <w:gridSpan w:val="3"/>
            <w:tcBorders>
              <w:top w:val="nil"/>
              <w:left w:val="nil"/>
              <w:bottom w:val="nil"/>
              <w:right w:val="nil"/>
            </w:tcBorders>
            <w:shd w:val="clear" w:color="auto" w:fill="C5E0B3" w:themeFill="accent6" w:themeFillTint="66"/>
            <w:noWrap/>
            <w:vAlign w:val="center"/>
            <w:hideMark/>
          </w:tcPr>
          <w:p w:rsidR="00101C8A" w:rsidRDefault="00101C8A" w:rsidP="00101C8A">
            <w:pPr>
              <w:rPr>
                <w:rFonts w:ascii="Arial Narrow" w:hAnsi="Arial Narrow"/>
                <w:b/>
                <w:bCs/>
                <w:sz w:val="18"/>
                <w:szCs w:val="18"/>
              </w:rPr>
            </w:pPr>
            <w:r>
              <w:rPr>
                <w:rFonts w:ascii="Arial Narrow" w:hAnsi="Arial Narrow"/>
                <w:b/>
                <w:bCs/>
                <w:sz w:val="18"/>
                <w:szCs w:val="18"/>
              </w:rPr>
              <w:t>Vecné dávky</w:t>
            </w:r>
          </w:p>
        </w:tc>
        <w:tc>
          <w:tcPr>
            <w:tcW w:w="847" w:type="dxa"/>
            <w:tcBorders>
              <w:top w:val="nil"/>
              <w:left w:val="single" w:sz="4" w:space="0" w:color="FF0000"/>
              <w:bottom w:val="nil"/>
              <w:right w:val="single" w:sz="4" w:space="0" w:color="FF0000"/>
            </w:tcBorders>
            <w:shd w:val="clear" w:color="auto" w:fill="C5E0B3" w:themeFill="accent6" w:themeFillTint="66"/>
            <w:noWrap/>
            <w:vAlign w:val="bottom"/>
            <w:hideMark/>
          </w:tcPr>
          <w:p w:rsidR="00101C8A" w:rsidRDefault="00101C8A" w:rsidP="00101C8A">
            <w:pPr>
              <w:jc w:val="right"/>
              <w:rPr>
                <w:rFonts w:ascii="Arial Narrow" w:hAnsi="Arial Narrow" w:cs="Calibri"/>
                <w:b/>
                <w:bCs/>
                <w:sz w:val="18"/>
                <w:szCs w:val="18"/>
                <w:lang w:eastAsia="sk-SK"/>
              </w:rPr>
            </w:pPr>
            <w:r>
              <w:rPr>
                <w:rFonts w:ascii="Arial Narrow" w:hAnsi="Arial Narrow" w:cs="Calibri"/>
                <w:b/>
                <w:bCs/>
                <w:sz w:val="18"/>
                <w:szCs w:val="18"/>
              </w:rPr>
              <w:t>42,4</w:t>
            </w:r>
          </w:p>
        </w:tc>
        <w:tc>
          <w:tcPr>
            <w:tcW w:w="717" w:type="dxa"/>
            <w:tcBorders>
              <w:top w:val="nil"/>
              <w:left w:val="nil"/>
              <w:bottom w:val="nil"/>
              <w:right w:val="single" w:sz="4" w:space="0" w:color="FF0000"/>
            </w:tcBorders>
            <w:shd w:val="clear" w:color="auto" w:fill="C5E0B3" w:themeFill="accent6" w:themeFillTint="66"/>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100,0</w:t>
            </w:r>
          </w:p>
        </w:tc>
        <w:tc>
          <w:tcPr>
            <w:tcW w:w="708" w:type="dxa"/>
            <w:tcBorders>
              <w:top w:val="nil"/>
              <w:left w:val="nil"/>
              <w:bottom w:val="nil"/>
              <w:right w:val="single" w:sz="4" w:space="0" w:color="FF0000"/>
            </w:tcBorders>
            <w:shd w:val="clear" w:color="auto" w:fill="C5E0B3" w:themeFill="accent6" w:themeFillTint="66"/>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6,7</w:t>
            </w:r>
          </w:p>
        </w:tc>
        <w:tc>
          <w:tcPr>
            <w:tcW w:w="709" w:type="dxa"/>
            <w:tcBorders>
              <w:top w:val="nil"/>
              <w:left w:val="nil"/>
              <w:bottom w:val="nil"/>
              <w:right w:val="single" w:sz="4" w:space="0" w:color="FF0000"/>
            </w:tcBorders>
            <w:shd w:val="clear" w:color="auto" w:fill="C5E0B3" w:themeFill="accent6" w:themeFillTint="66"/>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10,7</w:t>
            </w:r>
          </w:p>
        </w:tc>
        <w:tc>
          <w:tcPr>
            <w:tcW w:w="712" w:type="dxa"/>
            <w:tcBorders>
              <w:top w:val="nil"/>
              <w:left w:val="nil"/>
              <w:bottom w:val="nil"/>
              <w:right w:val="single" w:sz="4" w:space="0" w:color="FF0000"/>
            </w:tcBorders>
            <w:shd w:val="clear" w:color="auto" w:fill="C5E0B3" w:themeFill="accent6" w:themeFillTint="66"/>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0,0</w:t>
            </w:r>
          </w:p>
        </w:tc>
        <w:tc>
          <w:tcPr>
            <w:tcW w:w="989" w:type="dxa"/>
            <w:tcBorders>
              <w:top w:val="nil"/>
              <w:left w:val="nil"/>
              <w:bottom w:val="nil"/>
              <w:right w:val="nil"/>
            </w:tcBorders>
            <w:shd w:val="clear" w:color="auto" w:fill="C5E0B3" w:themeFill="accent6" w:themeFillTint="66"/>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90,8</w:t>
            </w:r>
          </w:p>
        </w:tc>
      </w:tr>
      <w:tr w:rsidR="00101C8A" w:rsidTr="00646DAA">
        <w:trPr>
          <w:trHeight w:val="270"/>
        </w:trPr>
        <w:tc>
          <w:tcPr>
            <w:tcW w:w="181" w:type="dxa"/>
            <w:tcBorders>
              <w:top w:val="nil"/>
              <w:left w:val="nil"/>
              <w:bottom w:val="nil"/>
              <w:right w:val="nil"/>
            </w:tcBorders>
            <w:shd w:val="clear" w:color="auto" w:fill="E2EFD9" w:themeFill="accent6" w:themeFillTint="33"/>
            <w:noWrap/>
            <w:vAlign w:val="center"/>
            <w:hideMark/>
          </w:tcPr>
          <w:p w:rsidR="00101C8A" w:rsidRDefault="00101C8A" w:rsidP="00101C8A">
            <w:pPr>
              <w:jc w:val="right"/>
              <w:rPr>
                <w:rFonts w:ascii="Arial Narrow" w:hAnsi="Arial Narrow"/>
                <w:b/>
                <w:bCs/>
                <w:sz w:val="18"/>
                <w:szCs w:val="18"/>
              </w:rPr>
            </w:pPr>
          </w:p>
        </w:tc>
        <w:tc>
          <w:tcPr>
            <w:tcW w:w="181" w:type="dxa"/>
            <w:tcBorders>
              <w:top w:val="nil"/>
              <w:left w:val="nil"/>
              <w:bottom w:val="nil"/>
              <w:right w:val="nil"/>
            </w:tcBorders>
            <w:shd w:val="clear" w:color="auto" w:fill="E2EFD9" w:themeFill="accent6" w:themeFillTint="33"/>
            <w:noWrap/>
            <w:vAlign w:val="center"/>
            <w:hideMark/>
          </w:tcPr>
          <w:p w:rsidR="00101C8A" w:rsidRDefault="00101C8A" w:rsidP="00101C8A">
            <w:pPr>
              <w:rPr>
                <w:sz w:val="20"/>
                <w:szCs w:val="20"/>
              </w:rPr>
            </w:pPr>
          </w:p>
        </w:tc>
        <w:tc>
          <w:tcPr>
            <w:tcW w:w="160" w:type="dxa"/>
            <w:tcBorders>
              <w:top w:val="nil"/>
              <w:left w:val="nil"/>
              <w:bottom w:val="nil"/>
              <w:right w:val="nil"/>
            </w:tcBorders>
            <w:shd w:val="clear" w:color="auto" w:fill="E2EFD9" w:themeFill="accent6" w:themeFillTint="33"/>
            <w:noWrap/>
            <w:vAlign w:val="center"/>
            <w:hideMark/>
          </w:tcPr>
          <w:p w:rsidR="00101C8A" w:rsidRDefault="00101C8A" w:rsidP="00101C8A">
            <w:pPr>
              <w:rPr>
                <w:sz w:val="20"/>
                <w:szCs w:val="20"/>
              </w:rPr>
            </w:pPr>
          </w:p>
        </w:tc>
        <w:tc>
          <w:tcPr>
            <w:tcW w:w="4152" w:type="dxa"/>
            <w:gridSpan w:val="2"/>
            <w:tcBorders>
              <w:top w:val="nil"/>
              <w:left w:val="nil"/>
              <w:bottom w:val="nil"/>
              <w:right w:val="nil"/>
            </w:tcBorders>
            <w:shd w:val="clear" w:color="auto" w:fill="E2EFD9" w:themeFill="accent6" w:themeFillTint="33"/>
            <w:noWrap/>
            <w:vAlign w:val="center"/>
            <w:hideMark/>
          </w:tcPr>
          <w:p w:rsidR="00101C8A" w:rsidRDefault="00101C8A" w:rsidP="00101C8A">
            <w:pPr>
              <w:rPr>
                <w:rFonts w:ascii="Arial Narrow" w:hAnsi="Arial Narrow"/>
                <w:b/>
                <w:bCs/>
                <w:sz w:val="18"/>
                <w:szCs w:val="18"/>
              </w:rPr>
            </w:pPr>
            <w:r>
              <w:rPr>
                <w:rFonts w:ascii="Arial Narrow" w:hAnsi="Arial Narrow"/>
                <w:b/>
                <w:bCs/>
                <w:sz w:val="18"/>
                <w:szCs w:val="18"/>
              </w:rPr>
              <w:t>Dávka na zabezpečenie ubytovania</w:t>
            </w:r>
            <w:r>
              <w:rPr>
                <w:rFonts w:ascii="Arial Narrow" w:hAnsi="Arial Narrow"/>
                <w:b/>
                <w:bCs/>
                <w:sz w:val="18"/>
                <w:szCs w:val="18"/>
                <w:vertAlign w:val="superscript"/>
              </w:rPr>
              <w:t>1)</w:t>
            </w:r>
          </w:p>
        </w:tc>
        <w:tc>
          <w:tcPr>
            <w:tcW w:w="847" w:type="dxa"/>
            <w:tcBorders>
              <w:top w:val="nil"/>
              <w:left w:val="single" w:sz="4" w:space="0" w:color="FF0000"/>
              <w:bottom w:val="nil"/>
              <w:right w:val="single" w:sz="4" w:space="0" w:color="FF0000"/>
            </w:tcBorders>
            <w:shd w:val="clear" w:color="auto" w:fill="E2EFD9" w:themeFill="accent6" w:themeFillTint="33"/>
            <w:noWrap/>
            <w:vAlign w:val="bottom"/>
            <w:hideMark/>
          </w:tcPr>
          <w:p w:rsidR="00101C8A" w:rsidRDefault="00101C8A" w:rsidP="00101C8A">
            <w:pPr>
              <w:jc w:val="right"/>
              <w:rPr>
                <w:rFonts w:ascii="Arial Narrow" w:hAnsi="Arial Narrow" w:cs="Calibri"/>
                <w:b/>
                <w:bCs/>
                <w:sz w:val="18"/>
                <w:szCs w:val="18"/>
                <w:lang w:eastAsia="sk-SK"/>
              </w:rPr>
            </w:pPr>
            <w:r>
              <w:rPr>
                <w:rFonts w:ascii="Arial Narrow" w:hAnsi="Arial Narrow" w:cs="Calibri"/>
                <w:b/>
                <w:bCs/>
                <w:sz w:val="18"/>
                <w:szCs w:val="18"/>
              </w:rPr>
              <w:t>8,8</w:t>
            </w:r>
          </w:p>
        </w:tc>
        <w:tc>
          <w:tcPr>
            <w:tcW w:w="717" w:type="dxa"/>
            <w:tcBorders>
              <w:top w:val="nil"/>
              <w:left w:val="nil"/>
              <w:bottom w:val="nil"/>
              <w:right w:val="single" w:sz="4" w:space="0" w:color="FF0000"/>
            </w:tcBorders>
            <w:shd w:val="clear" w:color="auto" w:fill="E2EFD9" w:themeFill="accent6" w:themeFillTint="33"/>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20,8</w:t>
            </w:r>
          </w:p>
        </w:tc>
        <w:tc>
          <w:tcPr>
            <w:tcW w:w="708" w:type="dxa"/>
            <w:tcBorders>
              <w:top w:val="nil"/>
              <w:left w:val="nil"/>
              <w:bottom w:val="nil"/>
              <w:right w:val="single" w:sz="4" w:space="0" w:color="FF0000"/>
            </w:tcBorders>
            <w:shd w:val="clear" w:color="auto" w:fill="E2EFD9" w:themeFill="accent6" w:themeFillTint="33"/>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6,7</w:t>
            </w:r>
          </w:p>
        </w:tc>
        <w:tc>
          <w:tcPr>
            <w:tcW w:w="709" w:type="dxa"/>
            <w:tcBorders>
              <w:top w:val="nil"/>
              <w:left w:val="nil"/>
              <w:bottom w:val="nil"/>
              <w:right w:val="single" w:sz="4" w:space="0" w:color="FF0000"/>
            </w:tcBorders>
            <w:shd w:val="clear" w:color="auto" w:fill="E2EFD9" w:themeFill="accent6" w:themeFillTint="33"/>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10,7</w:t>
            </w:r>
          </w:p>
        </w:tc>
        <w:tc>
          <w:tcPr>
            <w:tcW w:w="712" w:type="dxa"/>
            <w:tcBorders>
              <w:top w:val="nil"/>
              <w:left w:val="nil"/>
              <w:bottom w:val="nil"/>
              <w:right w:val="single" w:sz="4" w:space="0" w:color="FF0000"/>
            </w:tcBorders>
            <w:shd w:val="clear" w:color="auto" w:fill="E2EFD9" w:themeFill="accent6" w:themeFillTint="33"/>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0,0</w:t>
            </w:r>
          </w:p>
        </w:tc>
        <w:tc>
          <w:tcPr>
            <w:tcW w:w="989" w:type="dxa"/>
            <w:tcBorders>
              <w:top w:val="nil"/>
              <w:left w:val="nil"/>
              <w:bottom w:val="nil"/>
              <w:right w:val="nil"/>
            </w:tcBorders>
            <w:shd w:val="clear" w:color="auto" w:fill="E2EFD9" w:themeFill="accent6" w:themeFillTint="33"/>
            <w:noWrap/>
            <w:vAlign w:val="bottom"/>
            <w:hideMark/>
          </w:tcPr>
          <w:p w:rsidR="00101C8A" w:rsidRDefault="00205B41" w:rsidP="00101C8A">
            <w:pPr>
              <w:jc w:val="right"/>
              <w:rPr>
                <w:rFonts w:ascii="Arial Narrow" w:hAnsi="Arial Narrow" w:cs="Calibri"/>
                <w:b/>
                <w:bCs/>
                <w:sz w:val="18"/>
                <w:szCs w:val="18"/>
              </w:rPr>
            </w:pPr>
            <w:r>
              <w:rPr>
                <w:rFonts w:ascii="Arial Narrow" w:hAnsi="Arial Narrow" w:cs="Calibri"/>
                <w:b/>
                <w:bCs/>
                <w:sz w:val="18"/>
                <w:szCs w:val="18"/>
              </w:rPr>
              <w:t>60,7</w:t>
            </w:r>
          </w:p>
        </w:tc>
      </w:tr>
      <w:tr w:rsidR="00D13D2D" w:rsidTr="00646DAA">
        <w:trPr>
          <w:trHeight w:val="270"/>
        </w:trPr>
        <w:tc>
          <w:tcPr>
            <w:tcW w:w="181" w:type="dxa"/>
            <w:tcBorders>
              <w:top w:val="nil"/>
              <w:left w:val="nil"/>
              <w:bottom w:val="nil"/>
              <w:right w:val="nil"/>
            </w:tcBorders>
            <w:shd w:val="clear" w:color="auto" w:fill="auto"/>
            <w:noWrap/>
            <w:vAlign w:val="bottom"/>
            <w:hideMark/>
          </w:tcPr>
          <w:p w:rsidR="00D13D2D" w:rsidRDefault="00D13D2D">
            <w:pPr>
              <w:jc w:val="right"/>
              <w:rPr>
                <w:rFonts w:ascii="Arial Narrow" w:hAnsi="Arial Narrow"/>
                <w:b/>
                <w:bCs/>
                <w:sz w:val="18"/>
                <w:szCs w:val="18"/>
              </w:rPr>
            </w:pPr>
          </w:p>
        </w:tc>
        <w:tc>
          <w:tcPr>
            <w:tcW w:w="181" w:type="dxa"/>
            <w:tcBorders>
              <w:top w:val="nil"/>
              <w:left w:val="nil"/>
              <w:bottom w:val="nil"/>
              <w:right w:val="nil"/>
            </w:tcBorders>
            <w:shd w:val="clear" w:color="auto" w:fill="auto"/>
            <w:noWrap/>
            <w:vAlign w:val="bottom"/>
            <w:hideMark/>
          </w:tcPr>
          <w:p w:rsidR="00D13D2D" w:rsidRDefault="00D13D2D">
            <w:pPr>
              <w:rPr>
                <w:sz w:val="20"/>
                <w:szCs w:val="20"/>
              </w:rPr>
            </w:pPr>
          </w:p>
        </w:tc>
        <w:tc>
          <w:tcPr>
            <w:tcW w:w="160" w:type="dxa"/>
            <w:tcBorders>
              <w:top w:val="nil"/>
              <w:left w:val="nil"/>
              <w:bottom w:val="nil"/>
              <w:right w:val="nil"/>
            </w:tcBorders>
            <w:shd w:val="clear" w:color="auto" w:fill="auto"/>
            <w:noWrap/>
            <w:vAlign w:val="bottom"/>
            <w:hideMark/>
          </w:tcPr>
          <w:p w:rsidR="00D13D2D" w:rsidRDefault="00D13D2D">
            <w:pPr>
              <w:rPr>
                <w:sz w:val="20"/>
                <w:szCs w:val="20"/>
              </w:rPr>
            </w:pPr>
          </w:p>
        </w:tc>
        <w:tc>
          <w:tcPr>
            <w:tcW w:w="160" w:type="dxa"/>
            <w:tcBorders>
              <w:top w:val="nil"/>
              <w:left w:val="nil"/>
              <w:bottom w:val="nil"/>
              <w:right w:val="nil"/>
            </w:tcBorders>
            <w:shd w:val="clear" w:color="auto" w:fill="auto"/>
            <w:noWrap/>
            <w:vAlign w:val="bottom"/>
            <w:hideMark/>
          </w:tcPr>
          <w:p w:rsidR="00D13D2D" w:rsidRDefault="00D13D2D">
            <w:pPr>
              <w:rPr>
                <w:sz w:val="20"/>
                <w:szCs w:val="20"/>
              </w:rPr>
            </w:pPr>
          </w:p>
        </w:tc>
        <w:tc>
          <w:tcPr>
            <w:tcW w:w="3992" w:type="dxa"/>
            <w:tcBorders>
              <w:top w:val="nil"/>
              <w:left w:val="nil"/>
              <w:bottom w:val="nil"/>
              <w:right w:val="nil"/>
            </w:tcBorders>
            <w:shd w:val="clear" w:color="auto" w:fill="auto"/>
            <w:noWrap/>
            <w:vAlign w:val="center"/>
            <w:hideMark/>
          </w:tcPr>
          <w:p w:rsidR="00D13D2D" w:rsidRDefault="00D13D2D">
            <w:pPr>
              <w:rPr>
                <w:rFonts w:ascii="Arial Narrow" w:hAnsi="Arial Narrow"/>
                <w:sz w:val="18"/>
                <w:szCs w:val="18"/>
              </w:rPr>
            </w:pPr>
            <w:r>
              <w:rPr>
                <w:rFonts w:ascii="Arial Narrow" w:hAnsi="Arial Narrow"/>
                <w:sz w:val="18"/>
                <w:szCs w:val="18"/>
              </w:rPr>
              <w:t>Sociálne bývanie</w:t>
            </w:r>
          </w:p>
        </w:tc>
        <w:tc>
          <w:tcPr>
            <w:tcW w:w="847" w:type="dxa"/>
            <w:tcBorders>
              <w:top w:val="nil"/>
              <w:left w:val="single" w:sz="4" w:space="0" w:color="FF0000"/>
              <w:bottom w:val="nil"/>
              <w:right w:val="single" w:sz="4" w:space="0" w:color="FF0000"/>
            </w:tcBorders>
            <w:shd w:val="clear" w:color="auto" w:fill="auto"/>
            <w:noWrap/>
            <w:vAlign w:val="bottom"/>
            <w:hideMark/>
          </w:tcPr>
          <w:p w:rsidR="00D13D2D" w:rsidRPr="00EA7147" w:rsidRDefault="00D13D2D">
            <w:pPr>
              <w:jc w:val="right"/>
              <w:rPr>
                <w:rFonts w:ascii="Arial Narrow" w:hAnsi="Arial Narrow"/>
                <w:bCs/>
                <w:sz w:val="18"/>
                <w:szCs w:val="18"/>
              </w:rPr>
            </w:pPr>
            <w:r w:rsidRPr="00EA7147">
              <w:rPr>
                <w:rFonts w:ascii="Arial Narrow" w:hAnsi="Arial Narrow"/>
                <w:bCs/>
                <w:sz w:val="18"/>
                <w:szCs w:val="18"/>
              </w:rPr>
              <w:t>0,0</w:t>
            </w:r>
          </w:p>
        </w:tc>
        <w:tc>
          <w:tcPr>
            <w:tcW w:w="717" w:type="dxa"/>
            <w:tcBorders>
              <w:top w:val="nil"/>
              <w:left w:val="nil"/>
              <w:bottom w:val="nil"/>
              <w:right w:val="single" w:sz="4" w:space="0" w:color="FF0000"/>
            </w:tcBorders>
            <w:shd w:val="clear" w:color="auto" w:fill="auto"/>
            <w:noWrap/>
            <w:vAlign w:val="bottom"/>
            <w:hideMark/>
          </w:tcPr>
          <w:p w:rsidR="00D13D2D" w:rsidRPr="00EA7147" w:rsidRDefault="00D13D2D">
            <w:pPr>
              <w:jc w:val="right"/>
              <w:rPr>
                <w:rFonts w:ascii="Arial Narrow" w:hAnsi="Arial Narrow"/>
                <w:bCs/>
                <w:sz w:val="18"/>
                <w:szCs w:val="18"/>
              </w:rPr>
            </w:pPr>
            <w:r w:rsidRPr="00EA7147">
              <w:rPr>
                <w:rFonts w:ascii="Arial Narrow" w:hAnsi="Arial Narrow"/>
                <w:bCs/>
                <w:sz w:val="18"/>
                <w:szCs w:val="18"/>
              </w:rPr>
              <w:t>0,0</w:t>
            </w:r>
          </w:p>
        </w:tc>
        <w:tc>
          <w:tcPr>
            <w:tcW w:w="708" w:type="dxa"/>
            <w:tcBorders>
              <w:top w:val="nil"/>
              <w:left w:val="nil"/>
              <w:bottom w:val="nil"/>
              <w:right w:val="single" w:sz="4" w:space="0" w:color="FF0000"/>
            </w:tcBorders>
            <w:shd w:val="clear" w:color="auto" w:fill="auto"/>
            <w:noWrap/>
            <w:vAlign w:val="bottom"/>
            <w:hideMark/>
          </w:tcPr>
          <w:p w:rsidR="00D13D2D" w:rsidRPr="00EA7147" w:rsidRDefault="00D13D2D">
            <w:pPr>
              <w:jc w:val="right"/>
              <w:rPr>
                <w:rFonts w:ascii="Arial Narrow" w:hAnsi="Arial Narrow"/>
                <w:bCs/>
                <w:sz w:val="18"/>
                <w:szCs w:val="18"/>
              </w:rPr>
            </w:pPr>
            <w:r w:rsidRPr="00EA7147">
              <w:rPr>
                <w:rFonts w:ascii="Arial Narrow" w:hAnsi="Arial Narrow"/>
                <w:bCs/>
                <w:sz w:val="18"/>
                <w:szCs w:val="18"/>
              </w:rPr>
              <w:t>0,0</w:t>
            </w:r>
          </w:p>
        </w:tc>
        <w:tc>
          <w:tcPr>
            <w:tcW w:w="709" w:type="dxa"/>
            <w:tcBorders>
              <w:top w:val="nil"/>
              <w:left w:val="nil"/>
              <w:bottom w:val="nil"/>
              <w:right w:val="single" w:sz="4" w:space="0" w:color="FF0000"/>
            </w:tcBorders>
            <w:shd w:val="clear" w:color="auto" w:fill="auto"/>
            <w:noWrap/>
            <w:vAlign w:val="bottom"/>
            <w:hideMark/>
          </w:tcPr>
          <w:p w:rsidR="00D13D2D" w:rsidRPr="00EA7147" w:rsidRDefault="00D13D2D">
            <w:pPr>
              <w:jc w:val="right"/>
              <w:rPr>
                <w:rFonts w:ascii="Arial Narrow" w:hAnsi="Arial Narrow"/>
                <w:bCs/>
                <w:sz w:val="18"/>
                <w:szCs w:val="18"/>
              </w:rPr>
            </w:pPr>
            <w:r w:rsidRPr="00EA7147">
              <w:rPr>
                <w:rFonts w:ascii="Arial Narrow" w:hAnsi="Arial Narrow"/>
                <w:bCs/>
                <w:sz w:val="18"/>
                <w:szCs w:val="18"/>
              </w:rPr>
              <w:t>0,0</w:t>
            </w:r>
          </w:p>
        </w:tc>
        <w:tc>
          <w:tcPr>
            <w:tcW w:w="712" w:type="dxa"/>
            <w:tcBorders>
              <w:top w:val="nil"/>
              <w:left w:val="nil"/>
              <w:bottom w:val="nil"/>
              <w:right w:val="single" w:sz="4" w:space="0" w:color="FF0000"/>
            </w:tcBorders>
            <w:shd w:val="clear" w:color="auto" w:fill="auto"/>
            <w:noWrap/>
            <w:vAlign w:val="bottom"/>
            <w:hideMark/>
          </w:tcPr>
          <w:p w:rsidR="00D13D2D" w:rsidRPr="00EA7147" w:rsidRDefault="00D13D2D">
            <w:pPr>
              <w:jc w:val="right"/>
              <w:rPr>
                <w:rFonts w:ascii="Arial Narrow" w:hAnsi="Arial Narrow"/>
                <w:bCs/>
                <w:sz w:val="18"/>
                <w:szCs w:val="18"/>
              </w:rPr>
            </w:pPr>
            <w:r w:rsidRPr="00EA7147">
              <w:rPr>
                <w:rFonts w:ascii="Arial Narrow" w:hAnsi="Arial Narrow"/>
                <w:bCs/>
                <w:sz w:val="18"/>
                <w:szCs w:val="18"/>
              </w:rPr>
              <w:t>0,0</w:t>
            </w:r>
          </w:p>
        </w:tc>
        <w:tc>
          <w:tcPr>
            <w:tcW w:w="989" w:type="dxa"/>
            <w:tcBorders>
              <w:top w:val="nil"/>
              <w:left w:val="nil"/>
              <w:bottom w:val="nil"/>
              <w:right w:val="nil"/>
            </w:tcBorders>
            <w:shd w:val="clear" w:color="auto" w:fill="auto"/>
            <w:noWrap/>
            <w:vAlign w:val="bottom"/>
            <w:hideMark/>
          </w:tcPr>
          <w:p w:rsidR="00D13D2D" w:rsidRPr="00EA7147" w:rsidRDefault="007B7FAB">
            <w:pPr>
              <w:jc w:val="right"/>
              <w:rPr>
                <w:rFonts w:ascii="Arial Narrow" w:hAnsi="Arial Narrow"/>
                <w:bCs/>
                <w:sz w:val="18"/>
                <w:szCs w:val="18"/>
              </w:rPr>
            </w:pPr>
            <w:r>
              <w:rPr>
                <w:rFonts w:ascii="Arial Narrow" w:hAnsi="Arial Narrow"/>
                <w:bCs/>
                <w:sz w:val="18"/>
                <w:szCs w:val="18"/>
              </w:rPr>
              <w:t>x</w:t>
            </w:r>
          </w:p>
        </w:tc>
      </w:tr>
      <w:tr w:rsidR="00101C8A" w:rsidTr="00646DAA">
        <w:trPr>
          <w:trHeight w:val="270"/>
        </w:trPr>
        <w:tc>
          <w:tcPr>
            <w:tcW w:w="181" w:type="dxa"/>
            <w:tcBorders>
              <w:top w:val="nil"/>
              <w:left w:val="nil"/>
              <w:bottom w:val="nil"/>
              <w:right w:val="nil"/>
            </w:tcBorders>
            <w:shd w:val="clear" w:color="auto" w:fill="auto"/>
            <w:noWrap/>
            <w:vAlign w:val="bottom"/>
            <w:hideMark/>
          </w:tcPr>
          <w:p w:rsidR="00101C8A" w:rsidRDefault="00101C8A" w:rsidP="00101C8A">
            <w:pPr>
              <w:jc w:val="right"/>
              <w:rPr>
                <w:rFonts w:ascii="Arial Narrow" w:hAnsi="Arial Narrow"/>
                <w:b/>
                <w:bCs/>
                <w:sz w:val="18"/>
                <w:szCs w:val="18"/>
              </w:rPr>
            </w:pPr>
          </w:p>
        </w:tc>
        <w:tc>
          <w:tcPr>
            <w:tcW w:w="181" w:type="dxa"/>
            <w:tcBorders>
              <w:top w:val="nil"/>
              <w:left w:val="nil"/>
              <w:bottom w:val="nil"/>
              <w:right w:val="nil"/>
            </w:tcBorders>
            <w:shd w:val="clear" w:color="auto" w:fill="auto"/>
            <w:noWrap/>
            <w:vAlign w:val="bottom"/>
            <w:hideMark/>
          </w:tcPr>
          <w:p w:rsidR="00101C8A" w:rsidRDefault="00101C8A" w:rsidP="00101C8A">
            <w:pPr>
              <w:rPr>
                <w:sz w:val="20"/>
                <w:szCs w:val="20"/>
              </w:rPr>
            </w:pPr>
          </w:p>
        </w:tc>
        <w:tc>
          <w:tcPr>
            <w:tcW w:w="160" w:type="dxa"/>
            <w:tcBorders>
              <w:top w:val="nil"/>
              <w:left w:val="nil"/>
              <w:bottom w:val="nil"/>
              <w:right w:val="nil"/>
            </w:tcBorders>
            <w:shd w:val="clear" w:color="auto" w:fill="auto"/>
            <w:noWrap/>
            <w:vAlign w:val="bottom"/>
            <w:hideMark/>
          </w:tcPr>
          <w:p w:rsidR="00101C8A" w:rsidRDefault="00101C8A" w:rsidP="00101C8A">
            <w:pPr>
              <w:rPr>
                <w:sz w:val="20"/>
                <w:szCs w:val="20"/>
              </w:rPr>
            </w:pPr>
          </w:p>
        </w:tc>
        <w:tc>
          <w:tcPr>
            <w:tcW w:w="160" w:type="dxa"/>
            <w:tcBorders>
              <w:top w:val="nil"/>
              <w:left w:val="nil"/>
              <w:bottom w:val="nil"/>
              <w:right w:val="nil"/>
            </w:tcBorders>
            <w:shd w:val="clear" w:color="auto" w:fill="auto"/>
            <w:noWrap/>
            <w:vAlign w:val="bottom"/>
            <w:hideMark/>
          </w:tcPr>
          <w:p w:rsidR="00101C8A" w:rsidRDefault="00101C8A" w:rsidP="00101C8A">
            <w:pPr>
              <w:rPr>
                <w:sz w:val="20"/>
                <w:szCs w:val="20"/>
              </w:rPr>
            </w:pPr>
          </w:p>
        </w:tc>
        <w:tc>
          <w:tcPr>
            <w:tcW w:w="3992" w:type="dxa"/>
            <w:tcBorders>
              <w:top w:val="nil"/>
              <w:left w:val="nil"/>
              <w:bottom w:val="nil"/>
              <w:right w:val="nil"/>
            </w:tcBorders>
            <w:shd w:val="clear" w:color="auto" w:fill="auto"/>
            <w:noWrap/>
            <w:vAlign w:val="center"/>
            <w:hideMark/>
          </w:tcPr>
          <w:p w:rsidR="00101C8A" w:rsidRDefault="00101C8A" w:rsidP="00101C8A">
            <w:pPr>
              <w:rPr>
                <w:rFonts w:ascii="Arial Narrow" w:hAnsi="Arial Narrow"/>
                <w:sz w:val="18"/>
                <w:szCs w:val="18"/>
              </w:rPr>
            </w:pPr>
            <w:r>
              <w:rPr>
                <w:rFonts w:ascii="Arial Narrow" w:hAnsi="Arial Narrow"/>
                <w:sz w:val="18"/>
                <w:szCs w:val="18"/>
              </w:rPr>
              <w:t>Iná dávka pre zabezpečenie ubytovania</w:t>
            </w:r>
          </w:p>
        </w:tc>
        <w:tc>
          <w:tcPr>
            <w:tcW w:w="847" w:type="dxa"/>
            <w:tcBorders>
              <w:top w:val="nil"/>
              <w:left w:val="single" w:sz="4" w:space="0" w:color="FF0000"/>
              <w:bottom w:val="nil"/>
              <w:right w:val="single" w:sz="4" w:space="0" w:color="FF0000"/>
            </w:tcBorders>
            <w:shd w:val="clear" w:color="auto" w:fill="auto"/>
            <w:noWrap/>
            <w:vAlign w:val="bottom"/>
            <w:hideMark/>
          </w:tcPr>
          <w:p w:rsidR="00101C8A" w:rsidRDefault="00101C8A" w:rsidP="00101C8A">
            <w:pPr>
              <w:jc w:val="right"/>
              <w:rPr>
                <w:rFonts w:ascii="Arial Narrow" w:hAnsi="Arial Narrow" w:cs="Calibri"/>
                <w:sz w:val="18"/>
                <w:szCs w:val="18"/>
                <w:lang w:eastAsia="sk-SK"/>
              </w:rPr>
            </w:pPr>
            <w:r>
              <w:rPr>
                <w:rFonts w:ascii="Arial Narrow" w:hAnsi="Arial Narrow" w:cs="Calibri"/>
                <w:sz w:val="18"/>
                <w:szCs w:val="18"/>
              </w:rPr>
              <w:t>8,8</w:t>
            </w:r>
          </w:p>
        </w:tc>
        <w:tc>
          <w:tcPr>
            <w:tcW w:w="717" w:type="dxa"/>
            <w:tcBorders>
              <w:top w:val="nil"/>
              <w:left w:val="nil"/>
              <w:bottom w:val="nil"/>
              <w:right w:val="single" w:sz="4" w:space="0" w:color="FF0000"/>
            </w:tcBorders>
            <w:shd w:val="clear" w:color="auto" w:fill="auto"/>
            <w:noWrap/>
            <w:vAlign w:val="bottom"/>
            <w:hideMark/>
          </w:tcPr>
          <w:p w:rsidR="00101C8A" w:rsidRDefault="00101C8A" w:rsidP="00101C8A">
            <w:pPr>
              <w:jc w:val="right"/>
              <w:rPr>
                <w:rFonts w:ascii="Arial Narrow" w:hAnsi="Arial Narrow" w:cs="Calibri"/>
                <w:sz w:val="18"/>
                <w:szCs w:val="18"/>
              </w:rPr>
            </w:pPr>
            <w:r>
              <w:rPr>
                <w:rFonts w:ascii="Arial Narrow" w:hAnsi="Arial Narrow" w:cs="Calibri"/>
                <w:sz w:val="18"/>
                <w:szCs w:val="18"/>
              </w:rPr>
              <w:t>20,8</w:t>
            </w:r>
          </w:p>
        </w:tc>
        <w:tc>
          <w:tcPr>
            <w:tcW w:w="708" w:type="dxa"/>
            <w:tcBorders>
              <w:top w:val="nil"/>
              <w:left w:val="nil"/>
              <w:bottom w:val="nil"/>
              <w:right w:val="single" w:sz="4" w:space="0" w:color="FF0000"/>
            </w:tcBorders>
            <w:shd w:val="clear" w:color="auto" w:fill="auto"/>
            <w:noWrap/>
            <w:vAlign w:val="bottom"/>
            <w:hideMark/>
          </w:tcPr>
          <w:p w:rsidR="00101C8A" w:rsidRDefault="00101C8A" w:rsidP="00101C8A">
            <w:pPr>
              <w:jc w:val="right"/>
              <w:rPr>
                <w:rFonts w:ascii="Arial Narrow" w:hAnsi="Arial Narrow" w:cs="Calibri"/>
                <w:sz w:val="18"/>
                <w:szCs w:val="18"/>
              </w:rPr>
            </w:pPr>
            <w:r>
              <w:rPr>
                <w:rFonts w:ascii="Arial Narrow" w:hAnsi="Arial Narrow" w:cs="Calibri"/>
                <w:sz w:val="18"/>
                <w:szCs w:val="18"/>
              </w:rPr>
              <w:t>0,0</w:t>
            </w:r>
          </w:p>
        </w:tc>
        <w:tc>
          <w:tcPr>
            <w:tcW w:w="709" w:type="dxa"/>
            <w:tcBorders>
              <w:top w:val="nil"/>
              <w:left w:val="nil"/>
              <w:bottom w:val="nil"/>
              <w:right w:val="single" w:sz="4" w:space="0" w:color="FF0000"/>
            </w:tcBorders>
            <w:shd w:val="clear" w:color="auto" w:fill="auto"/>
            <w:noWrap/>
            <w:vAlign w:val="bottom"/>
            <w:hideMark/>
          </w:tcPr>
          <w:p w:rsidR="00101C8A" w:rsidRDefault="00101C8A" w:rsidP="00101C8A">
            <w:pPr>
              <w:jc w:val="right"/>
              <w:rPr>
                <w:rFonts w:ascii="Arial Narrow" w:hAnsi="Arial Narrow" w:cs="Calibri"/>
                <w:sz w:val="18"/>
                <w:szCs w:val="18"/>
              </w:rPr>
            </w:pPr>
            <w:r>
              <w:rPr>
                <w:rFonts w:ascii="Arial Narrow" w:hAnsi="Arial Narrow" w:cs="Calibri"/>
                <w:sz w:val="18"/>
                <w:szCs w:val="18"/>
              </w:rPr>
              <w:t>0,0</w:t>
            </w:r>
          </w:p>
        </w:tc>
        <w:tc>
          <w:tcPr>
            <w:tcW w:w="712" w:type="dxa"/>
            <w:tcBorders>
              <w:top w:val="nil"/>
              <w:left w:val="nil"/>
              <w:bottom w:val="nil"/>
              <w:right w:val="single" w:sz="4" w:space="0" w:color="FF0000"/>
            </w:tcBorders>
            <w:shd w:val="clear" w:color="auto" w:fill="auto"/>
            <w:noWrap/>
            <w:vAlign w:val="bottom"/>
            <w:hideMark/>
          </w:tcPr>
          <w:p w:rsidR="00101C8A" w:rsidRDefault="00101C8A" w:rsidP="00101C8A">
            <w:pPr>
              <w:jc w:val="right"/>
              <w:rPr>
                <w:rFonts w:ascii="Arial Narrow" w:hAnsi="Arial Narrow" w:cs="Calibri"/>
                <w:sz w:val="18"/>
                <w:szCs w:val="18"/>
              </w:rPr>
            </w:pPr>
            <w:r>
              <w:rPr>
                <w:rFonts w:ascii="Arial Narrow" w:hAnsi="Arial Narrow" w:cs="Calibri"/>
                <w:sz w:val="18"/>
                <w:szCs w:val="18"/>
              </w:rPr>
              <w:t>0,0</w:t>
            </w:r>
          </w:p>
        </w:tc>
        <w:tc>
          <w:tcPr>
            <w:tcW w:w="989" w:type="dxa"/>
            <w:tcBorders>
              <w:top w:val="nil"/>
              <w:left w:val="nil"/>
              <w:bottom w:val="nil"/>
              <w:right w:val="nil"/>
            </w:tcBorders>
            <w:shd w:val="clear" w:color="auto" w:fill="auto"/>
            <w:noWrap/>
            <w:vAlign w:val="bottom"/>
            <w:hideMark/>
          </w:tcPr>
          <w:p w:rsidR="00101C8A" w:rsidRDefault="00205B41" w:rsidP="00101C8A">
            <w:pPr>
              <w:jc w:val="right"/>
              <w:rPr>
                <w:rFonts w:ascii="Arial Narrow" w:hAnsi="Arial Narrow" w:cs="Calibri"/>
                <w:sz w:val="18"/>
                <w:szCs w:val="18"/>
              </w:rPr>
            </w:pPr>
            <w:r>
              <w:rPr>
                <w:rFonts w:ascii="Arial Narrow" w:hAnsi="Arial Narrow" w:cs="Calibri"/>
                <w:sz w:val="18"/>
                <w:szCs w:val="18"/>
              </w:rPr>
              <w:t>60,7</w:t>
            </w:r>
          </w:p>
        </w:tc>
      </w:tr>
      <w:tr w:rsidR="00101C8A" w:rsidTr="00646DAA">
        <w:trPr>
          <w:trHeight w:val="345"/>
        </w:trPr>
        <w:tc>
          <w:tcPr>
            <w:tcW w:w="181" w:type="dxa"/>
            <w:tcBorders>
              <w:top w:val="nil"/>
              <w:left w:val="nil"/>
              <w:bottom w:val="nil"/>
              <w:right w:val="nil"/>
            </w:tcBorders>
            <w:shd w:val="clear" w:color="auto" w:fill="E2EFD9" w:themeFill="accent6" w:themeFillTint="33"/>
            <w:noWrap/>
            <w:vAlign w:val="bottom"/>
            <w:hideMark/>
          </w:tcPr>
          <w:p w:rsidR="00101C8A" w:rsidRDefault="00101C8A" w:rsidP="00101C8A">
            <w:pPr>
              <w:jc w:val="right"/>
              <w:rPr>
                <w:rFonts w:ascii="Arial Narrow" w:hAnsi="Arial Narrow"/>
                <w:b/>
                <w:bCs/>
                <w:sz w:val="18"/>
                <w:szCs w:val="18"/>
              </w:rPr>
            </w:pPr>
          </w:p>
        </w:tc>
        <w:tc>
          <w:tcPr>
            <w:tcW w:w="181" w:type="dxa"/>
            <w:tcBorders>
              <w:top w:val="nil"/>
              <w:left w:val="nil"/>
              <w:bottom w:val="nil"/>
              <w:right w:val="nil"/>
            </w:tcBorders>
            <w:shd w:val="clear" w:color="auto" w:fill="E2EFD9" w:themeFill="accent6" w:themeFillTint="33"/>
            <w:noWrap/>
            <w:vAlign w:val="bottom"/>
            <w:hideMark/>
          </w:tcPr>
          <w:p w:rsidR="00101C8A" w:rsidRDefault="00101C8A" w:rsidP="00101C8A">
            <w:pPr>
              <w:rPr>
                <w:sz w:val="20"/>
                <w:szCs w:val="20"/>
              </w:rPr>
            </w:pPr>
          </w:p>
        </w:tc>
        <w:tc>
          <w:tcPr>
            <w:tcW w:w="160" w:type="dxa"/>
            <w:tcBorders>
              <w:top w:val="nil"/>
              <w:left w:val="nil"/>
              <w:bottom w:val="nil"/>
              <w:right w:val="nil"/>
            </w:tcBorders>
            <w:shd w:val="clear" w:color="auto" w:fill="E2EFD9" w:themeFill="accent6" w:themeFillTint="33"/>
            <w:noWrap/>
            <w:vAlign w:val="bottom"/>
            <w:hideMark/>
          </w:tcPr>
          <w:p w:rsidR="00101C8A" w:rsidRDefault="00101C8A" w:rsidP="00101C8A">
            <w:pPr>
              <w:rPr>
                <w:sz w:val="20"/>
                <w:szCs w:val="20"/>
              </w:rPr>
            </w:pPr>
          </w:p>
        </w:tc>
        <w:tc>
          <w:tcPr>
            <w:tcW w:w="4152" w:type="dxa"/>
            <w:gridSpan w:val="2"/>
            <w:tcBorders>
              <w:top w:val="nil"/>
              <w:left w:val="nil"/>
              <w:bottom w:val="nil"/>
              <w:right w:val="nil"/>
            </w:tcBorders>
            <w:shd w:val="clear" w:color="auto" w:fill="E2EFD9" w:themeFill="accent6" w:themeFillTint="33"/>
            <w:noWrap/>
            <w:vAlign w:val="center"/>
            <w:hideMark/>
          </w:tcPr>
          <w:p w:rsidR="00101C8A" w:rsidRPr="00101C8A" w:rsidRDefault="00101C8A" w:rsidP="00101C8A">
            <w:pPr>
              <w:rPr>
                <w:rFonts w:ascii="Arial Narrow" w:hAnsi="Arial Narrow"/>
                <w:b/>
                <w:sz w:val="18"/>
                <w:szCs w:val="18"/>
              </w:rPr>
            </w:pPr>
            <w:r w:rsidRPr="00101C8A">
              <w:rPr>
                <w:rFonts w:ascii="Arial Narrow" w:hAnsi="Arial Narrow"/>
                <w:b/>
                <w:sz w:val="18"/>
                <w:szCs w:val="18"/>
              </w:rPr>
              <w:t>Dávky pre vlastníkov-nájomníkov</w:t>
            </w:r>
          </w:p>
        </w:tc>
        <w:tc>
          <w:tcPr>
            <w:tcW w:w="847" w:type="dxa"/>
            <w:tcBorders>
              <w:top w:val="nil"/>
              <w:left w:val="single" w:sz="4" w:space="0" w:color="FF0000"/>
              <w:bottom w:val="nil"/>
              <w:right w:val="single" w:sz="4" w:space="0" w:color="FF0000"/>
            </w:tcBorders>
            <w:shd w:val="clear" w:color="auto" w:fill="E2EFD9" w:themeFill="accent6" w:themeFillTint="33"/>
            <w:noWrap/>
            <w:vAlign w:val="bottom"/>
            <w:hideMark/>
          </w:tcPr>
          <w:p w:rsidR="00101C8A" w:rsidRDefault="00101C8A" w:rsidP="00101C8A">
            <w:pPr>
              <w:jc w:val="right"/>
              <w:rPr>
                <w:rFonts w:ascii="Arial Narrow" w:hAnsi="Arial Narrow" w:cs="Calibri"/>
                <w:b/>
                <w:bCs/>
                <w:sz w:val="18"/>
                <w:szCs w:val="18"/>
                <w:lang w:eastAsia="sk-SK"/>
              </w:rPr>
            </w:pPr>
            <w:r>
              <w:rPr>
                <w:rFonts w:ascii="Arial Narrow" w:hAnsi="Arial Narrow" w:cs="Calibri"/>
                <w:b/>
                <w:bCs/>
                <w:sz w:val="18"/>
                <w:szCs w:val="18"/>
              </w:rPr>
              <w:t>33,6</w:t>
            </w:r>
          </w:p>
        </w:tc>
        <w:tc>
          <w:tcPr>
            <w:tcW w:w="717" w:type="dxa"/>
            <w:tcBorders>
              <w:top w:val="nil"/>
              <w:left w:val="nil"/>
              <w:bottom w:val="nil"/>
              <w:right w:val="single" w:sz="4" w:space="0" w:color="FF0000"/>
            </w:tcBorders>
            <w:shd w:val="clear" w:color="auto" w:fill="E2EFD9" w:themeFill="accent6" w:themeFillTint="33"/>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79,2</w:t>
            </w:r>
          </w:p>
        </w:tc>
        <w:tc>
          <w:tcPr>
            <w:tcW w:w="708" w:type="dxa"/>
            <w:tcBorders>
              <w:top w:val="nil"/>
              <w:left w:val="nil"/>
              <w:bottom w:val="nil"/>
              <w:right w:val="single" w:sz="4" w:space="0" w:color="FF0000"/>
            </w:tcBorders>
            <w:shd w:val="clear" w:color="auto" w:fill="E2EFD9" w:themeFill="accent6" w:themeFillTint="33"/>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1,4</w:t>
            </w:r>
          </w:p>
        </w:tc>
        <w:tc>
          <w:tcPr>
            <w:tcW w:w="709" w:type="dxa"/>
            <w:tcBorders>
              <w:top w:val="nil"/>
              <w:left w:val="nil"/>
              <w:bottom w:val="nil"/>
              <w:right w:val="single" w:sz="4" w:space="0" w:color="FF0000"/>
            </w:tcBorders>
            <w:shd w:val="clear" w:color="auto" w:fill="E2EFD9" w:themeFill="accent6" w:themeFillTint="33"/>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2,2</w:t>
            </w:r>
          </w:p>
        </w:tc>
        <w:tc>
          <w:tcPr>
            <w:tcW w:w="712" w:type="dxa"/>
            <w:tcBorders>
              <w:top w:val="nil"/>
              <w:left w:val="nil"/>
              <w:bottom w:val="nil"/>
              <w:right w:val="single" w:sz="4" w:space="0" w:color="FF0000"/>
            </w:tcBorders>
            <w:shd w:val="clear" w:color="auto" w:fill="E2EFD9" w:themeFill="accent6" w:themeFillTint="33"/>
            <w:noWrap/>
            <w:vAlign w:val="bottom"/>
            <w:hideMark/>
          </w:tcPr>
          <w:p w:rsidR="00101C8A" w:rsidRDefault="00101C8A" w:rsidP="00101C8A">
            <w:pPr>
              <w:jc w:val="right"/>
              <w:rPr>
                <w:rFonts w:ascii="Arial Narrow" w:hAnsi="Arial Narrow" w:cs="Calibri"/>
                <w:b/>
                <w:bCs/>
                <w:sz w:val="18"/>
                <w:szCs w:val="18"/>
              </w:rPr>
            </w:pPr>
            <w:r>
              <w:rPr>
                <w:rFonts w:ascii="Arial Narrow" w:hAnsi="Arial Narrow" w:cs="Calibri"/>
                <w:b/>
                <w:bCs/>
                <w:sz w:val="18"/>
                <w:szCs w:val="18"/>
              </w:rPr>
              <w:t>0,0</w:t>
            </w:r>
          </w:p>
        </w:tc>
        <w:tc>
          <w:tcPr>
            <w:tcW w:w="989" w:type="dxa"/>
            <w:tcBorders>
              <w:top w:val="nil"/>
              <w:left w:val="nil"/>
              <w:bottom w:val="nil"/>
              <w:right w:val="nil"/>
            </w:tcBorders>
            <w:shd w:val="clear" w:color="auto" w:fill="E2EFD9" w:themeFill="accent6" w:themeFillTint="33"/>
            <w:noWrap/>
            <w:vAlign w:val="bottom"/>
            <w:hideMark/>
          </w:tcPr>
          <w:p w:rsidR="00101C8A" w:rsidRDefault="00101C8A" w:rsidP="00646DAA">
            <w:pPr>
              <w:jc w:val="right"/>
              <w:rPr>
                <w:rFonts w:ascii="Arial Narrow" w:hAnsi="Arial Narrow" w:cs="Calibri"/>
                <w:b/>
                <w:bCs/>
                <w:sz w:val="18"/>
                <w:szCs w:val="18"/>
              </w:rPr>
            </w:pPr>
            <w:r>
              <w:rPr>
                <w:rFonts w:ascii="Arial Narrow" w:hAnsi="Arial Narrow" w:cs="Calibri"/>
                <w:b/>
                <w:bCs/>
                <w:sz w:val="18"/>
                <w:szCs w:val="18"/>
              </w:rPr>
              <w:t>104,</w:t>
            </w:r>
            <w:r w:rsidR="00646DAA">
              <w:rPr>
                <w:rFonts w:ascii="Arial Narrow" w:hAnsi="Arial Narrow" w:cs="Calibri"/>
                <w:b/>
                <w:bCs/>
                <w:sz w:val="18"/>
                <w:szCs w:val="18"/>
              </w:rPr>
              <w:t>7</w:t>
            </w:r>
          </w:p>
        </w:tc>
      </w:tr>
    </w:tbl>
    <w:p w:rsidR="00241464" w:rsidRPr="00241464" w:rsidRDefault="00241464" w:rsidP="00CD62F9">
      <w:pPr>
        <w:rPr>
          <w:rFonts w:ascii="Arial Narrow" w:hAnsi="Arial Narrow"/>
          <w:i/>
          <w:iCs/>
          <w:sz w:val="10"/>
          <w:szCs w:val="10"/>
        </w:rPr>
      </w:pPr>
    </w:p>
    <w:p w:rsidR="00F8539D" w:rsidRDefault="00241464" w:rsidP="00CD62F9">
      <w:pPr>
        <w:rPr>
          <w:rFonts w:ascii="Arial Narrow" w:hAnsi="Arial Narrow"/>
          <w:b/>
          <w:sz w:val="20"/>
          <w:szCs w:val="20"/>
        </w:rPr>
      </w:pPr>
      <w:r w:rsidRPr="00D13D2D">
        <w:rPr>
          <w:rFonts w:ascii="Arial Narrow" w:hAnsi="Arial Narrow"/>
          <w:i/>
          <w:iCs/>
          <w:sz w:val="15"/>
          <w:szCs w:val="15"/>
        </w:rPr>
        <w:t>Zdroj: ŠÚ SR – ESSPROS</w:t>
      </w:r>
      <w:r>
        <w:rPr>
          <w:rFonts w:ascii="Arial Narrow" w:hAnsi="Arial Narrow"/>
          <w:i/>
          <w:iCs/>
          <w:sz w:val="15"/>
          <w:szCs w:val="15"/>
        </w:rPr>
        <w:t xml:space="preserve">, </w:t>
      </w:r>
      <w:r w:rsidRPr="00D13D2D">
        <w:rPr>
          <w:rFonts w:ascii="Arial Narrow" w:hAnsi="Arial Narrow"/>
          <w:i/>
          <w:iCs/>
          <w:sz w:val="15"/>
          <w:szCs w:val="15"/>
        </w:rPr>
        <w:t xml:space="preserve">1) </w:t>
      </w:r>
      <w:r>
        <w:rPr>
          <w:rFonts w:ascii="Arial Narrow" w:hAnsi="Arial Narrow"/>
          <w:i/>
          <w:iCs/>
          <w:sz w:val="15"/>
          <w:szCs w:val="15"/>
        </w:rPr>
        <w:t xml:space="preserve">údaje sú čiastočne zahrnuté aj </w:t>
      </w:r>
      <w:r w:rsidRPr="00D13D2D">
        <w:rPr>
          <w:rFonts w:ascii="Arial Narrow" w:hAnsi="Arial Narrow"/>
          <w:i/>
          <w:iCs/>
          <w:sz w:val="15"/>
          <w:szCs w:val="15"/>
        </w:rPr>
        <w:t>vo funkcii sociálne vylúčenie</w:t>
      </w:r>
    </w:p>
    <w:p w:rsidR="00241464" w:rsidRDefault="00241464" w:rsidP="00CD62F9">
      <w:pPr>
        <w:rPr>
          <w:rFonts w:ascii="Arial Narrow" w:hAnsi="Arial Narrow"/>
          <w:b/>
          <w:sz w:val="20"/>
          <w:szCs w:val="20"/>
        </w:rPr>
      </w:pPr>
    </w:p>
    <w:p w:rsidR="00EA7147" w:rsidRDefault="00EA7147" w:rsidP="00CD62F9">
      <w:pPr>
        <w:rPr>
          <w:rFonts w:ascii="Arial Narrow" w:hAnsi="Arial Narrow"/>
          <w:b/>
          <w:sz w:val="20"/>
          <w:szCs w:val="20"/>
        </w:rPr>
      </w:pPr>
    </w:p>
    <w:p w:rsidR="00CD62F9" w:rsidRDefault="00CD62F9" w:rsidP="00CD62F9">
      <w:pPr>
        <w:rPr>
          <w:rFonts w:ascii="Arial Narrow" w:hAnsi="Arial Narrow"/>
          <w:b/>
          <w:sz w:val="20"/>
          <w:szCs w:val="20"/>
        </w:rPr>
      </w:pPr>
      <w:r w:rsidRPr="00832F3B">
        <w:rPr>
          <w:rFonts w:ascii="Arial Narrow" w:hAnsi="Arial Narrow"/>
          <w:b/>
          <w:sz w:val="20"/>
          <w:szCs w:val="20"/>
        </w:rPr>
        <w:t xml:space="preserve">Tab. </w:t>
      </w:r>
      <w:r>
        <w:rPr>
          <w:rFonts w:ascii="Arial Narrow" w:hAnsi="Arial Narrow"/>
          <w:b/>
          <w:sz w:val="20"/>
          <w:szCs w:val="20"/>
        </w:rPr>
        <w:t>1</w:t>
      </w:r>
      <w:r w:rsidR="00F1117C">
        <w:rPr>
          <w:rFonts w:ascii="Arial Narrow" w:hAnsi="Arial Narrow"/>
          <w:b/>
          <w:sz w:val="20"/>
          <w:szCs w:val="20"/>
        </w:rPr>
        <w:t>.</w:t>
      </w:r>
      <w:r w:rsidR="003E3E4C">
        <w:rPr>
          <w:rFonts w:ascii="Arial Narrow" w:hAnsi="Arial Narrow"/>
          <w:b/>
          <w:sz w:val="20"/>
          <w:szCs w:val="20"/>
        </w:rPr>
        <w:t>1</w:t>
      </w:r>
      <w:r w:rsidR="0077413E">
        <w:rPr>
          <w:rFonts w:ascii="Arial Narrow" w:hAnsi="Arial Narrow"/>
          <w:b/>
          <w:sz w:val="20"/>
          <w:szCs w:val="20"/>
        </w:rPr>
        <w:t>2</w:t>
      </w:r>
      <w:r>
        <w:rPr>
          <w:rFonts w:ascii="Arial Narrow" w:hAnsi="Arial Narrow"/>
          <w:b/>
          <w:sz w:val="20"/>
          <w:szCs w:val="20"/>
        </w:rPr>
        <w:t xml:space="preserve">  </w:t>
      </w:r>
      <w:r w:rsidRPr="00832F3B">
        <w:rPr>
          <w:rFonts w:ascii="Arial Narrow" w:hAnsi="Arial Narrow"/>
          <w:b/>
          <w:sz w:val="20"/>
          <w:szCs w:val="20"/>
        </w:rPr>
        <w:t>Výdavky na sociálne dávky na účel</w:t>
      </w:r>
      <w:r>
        <w:rPr>
          <w:rFonts w:ascii="Arial Narrow" w:hAnsi="Arial Narrow"/>
          <w:b/>
          <w:sz w:val="20"/>
          <w:szCs w:val="20"/>
        </w:rPr>
        <w:t xml:space="preserve"> </w:t>
      </w:r>
      <w:r w:rsidRPr="00832F3B">
        <w:rPr>
          <w:rFonts w:ascii="Arial Narrow" w:hAnsi="Arial Narrow"/>
          <w:b/>
          <w:sz w:val="20"/>
          <w:szCs w:val="20"/>
        </w:rPr>
        <w:t>sociálne vylúčenie</w:t>
      </w:r>
      <w:r w:rsidR="00F1117C">
        <w:rPr>
          <w:rFonts w:ascii="Arial Narrow" w:hAnsi="Arial Narrow"/>
          <w:b/>
          <w:sz w:val="20"/>
          <w:szCs w:val="20"/>
        </w:rPr>
        <w:t xml:space="preserve"> </w:t>
      </w:r>
      <w:r>
        <w:rPr>
          <w:rFonts w:ascii="Arial Narrow" w:hAnsi="Arial Narrow"/>
          <w:b/>
          <w:sz w:val="20"/>
          <w:szCs w:val="20"/>
        </w:rPr>
        <w:t>v</w:t>
      </w:r>
      <w:r w:rsidR="00F1117C">
        <w:rPr>
          <w:rFonts w:ascii="Arial Narrow" w:hAnsi="Arial Narrow"/>
          <w:b/>
          <w:sz w:val="20"/>
          <w:szCs w:val="20"/>
        </w:rPr>
        <w:t> </w:t>
      </w:r>
      <w:r>
        <w:rPr>
          <w:rFonts w:ascii="Arial Narrow" w:hAnsi="Arial Narrow"/>
          <w:b/>
          <w:sz w:val="20"/>
          <w:szCs w:val="20"/>
        </w:rPr>
        <w:t>SR</w:t>
      </w:r>
      <w:r w:rsidR="00F1117C">
        <w:rPr>
          <w:rFonts w:ascii="Arial Narrow" w:hAnsi="Arial Narrow"/>
          <w:b/>
          <w:sz w:val="20"/>
          <w:szCs w:val="20"/>
        </w:rPr>
        <w:t>, 201</w:t>
      </w:r>
      <w:r w:rsidR="00101C8A">
        <w:rPr>
          <w:rFonts w:ascii="Arial Narrow" w:hAnsi="Arial Narrow"/>
          <w:b/>
          <w:sz w:val="20"/>
          <w:szCs w:val="20"/>
        </w:rPr>
        <w:t>9</w:t>
      </w:r>
    </w:p>
    <w:p w:rsidR="00241464" w:rsidRPr="00241464" w:rsidRDefault="00241464" w:rsidP="00CD62F9">
      <w:pPr>
        <w:rPr>
          <w:rFonts w:ascii="Arial Narrow" w:hAnsi="Arial Narrow"/>
          <w:b/>
          <w:sz w:val="10"/>
          <w:szCs w:val="10"/>
        </w:rPr>
      </w:pPr>
    </w:p>
    <w:tbl>
      <w:tblPr>
        <w:tblW w:w="9356" w:type="dxa"/>
        <w:tblLayout w:type="fixed"/>
        <w:tblCellMar>
          <w:left w:w="70" w:type="dxa"/>
          <w:right w:w="70" w:type="dxa"/>
        </w:tblCellMar>
        <w:tblLook w:val="04A0" w:firstRow="1" w:lastRow="0" w:firstColumn="1" w:lastColumn="0" w:noHBand="0" w:noVBand="1"/>
      </w:tblPr>
      <w:tblGrid>
        <w:gridCol w:w="199"/>
        <w:gridCol w:w="200"/>
        <w:gridCol w:w="225"/>
        <w:gridCol w:w="160"/>
        <w:gridCol w:w="3752"/>
        <w:gridCol w:w="993"/>
        <w:gridCol w:w="572"/>
        <w:gridCol w:w="849"/>
        <w:gridCol w:w="708"/>
        <w:gridCol w:w="708"/>
        <w:gridCol w:w="990"/>
      </w:tblGrid>
      <w:tr w:rsidR="00EA7147" w:rsidTr="00EA7147">
        <w:trPr>
          <w:trHeight w:val="540"/>
        </w:trPr>
        <w:tc>
          <w:tcPr>
            <w:tcW w:w="4536" w:type="dxa"/>
            <w:gridSpan w:val="5"/>
            <w:tcBorders>
              <w:top w:val="nil"/>
              <w:left w:val="nil"/>
              <w:bottom w:val="single" w:sz="4" w:space="0" w:color="FF0000"/>
              <w:right w:val="single" w:sz="4" w:space="0" w:color="FF0000"/>
            </w:tcBorders>
            <w:shd w:val="clear" w:color="000000" w:fill="A9D08E"/>
            <w:vAlign w:val="center"/>
            <w:hideMark/>
          </w:tcPr>
          <w:p w:rsidR="00EA7147" w:rsidRDefault="00EA7147">
            <w:pPr>
              <w:rPr>
                <w:rFonts w:ascii="Arial Narrow" w:hAnsi="Arial Narrow"/>
                <w:i/>
                <w:iCs/>
                <w:sz w:val="16"/>
                <w:szCs w:val="16"/>
                <w:lang w:eastAsia="sk-SK"/>
              </w:rPr>
            </w:pPr>
            <w:r>
              <w:rPr>
                <w:rFonts w:ascii="Arial Narrow" w:hAnsi="Arial Narrow"/>
                <w:i/>
                <w:iCs/>
                <w:sz w:val="16"/>
                <w:szCs w:val="16"/>
              </w:rPr>
              <w:t>Ukazovateľ</w:t>
            </w:r>
          </w:p>
        </w:tc>
        <w:tc>
          <w:tcPr>
            <w:tcW w:w="993" w:type="dxa"/>
            <w:tcBorders>
              <w:top w:val="nil"/>
              <w:left w:val="nil"/>
              <w:bottom w:val="single" w:sz="4" w:space="0" w:color="FF0000"/>
              <w:right w:val="single" w:sz="4" w:space="0" w:color="FF0000"/>
            </w:tcBorders>
            <w:shd w:val="clear" w:color="000000" w:fill="A9D08E"/>
            <w:noWrap/>
            <w:vAlign w:val="center"/>
            <w:hideMark/>
          </w:tcPr>
          <w:p w:rsidR="00EA7147" w:rsidRDefault="00EA7147">
            <w:pPr>
              <w:jc w:val="center"/>
              <w:rPr>
                <w:rFonts w:ascii="Arial Narrow" w:hAnsi="Arial Narrow"/>
                <w:color w:val="000000"/>
                <w:sz w:val="16"/>
                <w:szCs w:val="16"/>
              </w:rPr>
            </w:pPr>
            <w:r>
              <w:rPr>
                <w:rFonts w:ascii="Arial Narrow" w:hAnsi="Arial Narrow"/>
                <w:color w:val="000000"/>
                <w:sz w:val="16"/>
                <w:szCs w:val="16"/>
              </w:rPr>
              <w:t>mil. EUR</w:t>
            </w:r>
          </w:p>
        </w:tc>
        <w:tc>
          <w:tcPr>
            <w:tcW w:w="572" w:type="dxa"/>
            <w:tcBorders>
              <w:top w:val="nil"/>
              <w:left w:val="nil"/>
              <w:bottom w:val="single" w:sz="4" w:space="0" w:color="FF0000"/>
              <w:right w:val="single" w:sz="4" w:space="0" w:color="FF0000"/>
            </w:tcBorders>
            <w:shd w:val="clear" w:color="000000" w:fill="A9D08E"/>
            <w:noWrap/>
            <w:vAlign w:val="center"/>
            <w:hideMark/>
          </w:tcPr>
          <w:p w:rsidR="00EA7147" w:rsidRDefault="00646DAA">
            <w:pPr>
              <w:jc w:val="center"/>
              <w:rPr>
                <w:rFonts w:ascii="Arial Narrow" w:hAnsi="Arial Narrow"/>
                <w:color w:val="000000"/>
                <w:sz w:val="16"/>
                <w:szCs w:val="16"/>
              </w:rPr>
            </w:pPr>
            <w:r w:rsidRPr="00205B41">
              <w:rPr>
                <w:rFonts w:ascii="Arial Narrow" w:hAnsi="Arial Narrow"/>
                <w:color w:val="000000"/>
                <w:sz w:val="16"/>
                <w:szCs w:val="16"/>
              </w:rPr>
              <w:t>% z dávok spolu</w:t>
            </w:r>
          </w:p>
        </w:tc>
        <w:tc>
          <w:tcPr>
            <w:tcW w:w="849" w:type="dxa"/>
            <w:tcBorders>
              <w:top w:val="nil"/>
              <w:left w:val="nil"/>
              <w:bottom w:val="single" w:sz="4" w:space="0" w:color="FF0000"/>
              <w:right w:val="single" w:sz="4" w:space="0" w:color="FF0000"/>
            </w:tcBorders>
            <w:shd w:val="clear" w:color="000000" w:fill="A9D08E"/>
            <w:vAlign w:val="center"/>
            <w:hideMark/>
          </w:tcPr>
          <w:p w:rsidR="00EA7147" w:rsidRDefault="00EA7147">
            <w:pPr>
              <w:jc w:val="center"/>
              <w:rPr>
                <w:rFonts w:ascii="Arial Narrow" w:hAnsi="Arial Narrow"/>
                <w:color w:val="000000"/>
                <w:sz w:val="16"/>
                <w:szCs w:val="16"/>
              </w:rPr>
            </w:pPr>
            <w:r>
              <w:rPr>
                <w:rFonts w:ascii="Arial Narrow" w:hAnsi="Arial Narrow"/>
                <w:color w:val="000000"/>
                <w:sz w:val="16"/>
                <w:szCs w:val="16"/>
              </w:rPr>
              <w:t>EUR na obyv.(</w:t>
            </w:r>
            <w:proofErr w:type="spellStart"/>
            <w:r>
              <w:rPr>
                <w:rFonts w:ascii="Arial Narrow" w:hAnsi="Arial Narrow"/>
                <w:color w:val="000000"/>
                <w:sz w:val="16"/>
                <w:szCs w:val="16"/>
              </w:rPr>
              <w:t>s.c</w:t>
            </w:r>
            <w:proofErr w:type="spellEnd"/>
            <w:r>
              <w:rPr>
                <w:rFonts w:ascii="Arial Narrow" w:hAnsi="Arial Narrow"/>
                <w:color w:val="000000"/>
                <w:sz w:val="16"/>
                <w:szCs w:val="16"/>
              </w:rPr>
              <w:t>.</w:t>
            </w:r>
            <w:r w:rsidR="007B7FAB">
              <w:rPr>
                <w:rFonts w:ascii="Arial Narrow" w:hAnsi="Arial Narrow"/>
                <w:color w:val="000000"/>
                <w:sz w:val="16"/>
                <w:szCs w:val="16"/>
              </w:rPr>
              <w:t xml:space="preserve"> </w:t>
            </w:r>
            <w:r>
              <w:rPr>
                <w:rFonts w:ascii="Arial Narrow" w:hAnsi="Arial Narrow"/>
                <w:color w:val="000000"/>
                <w:sz w:val="16"/>
                <w:szCs w:val="16"/>
              </w:rPr>
              <w:t>2010)</w:t>
            </w:r>
          </w:p>
        </w:tc>
        <w:tc>
          <w:tcPr>
            <w:tcW w:w="708" w:type="dxa"/>
            <w:tcBorders>
              <w:top w:val="nil"/>
              <w:left w:val="nil"/>
              <w:bottom w:val="single" w:sz="4" w:space="0" w:color="FF0000"/>
              <w:right w:val="single" w:sz="4" w:space="0" w:color="FF0000"/>
            </w:tcBorders>
            <w:shd w:val="clear" w:color="000000" w:fill="A9D08E"/>
            <w:vAlign w:val="center"/>
            <w:hideMark/>
          </w:tcPr>
          <w:p w:rsidR="00EA7147" w:rsidRDefault="00EA7147">
            <w:pPr>
              <w:jc w:val="center"/>
              <w:rPr>
                <w:rFonts w:ascii="Arial Narrow" w:hAnsi="Arial Narrow"/>
                <w:color w:val="000000"/>
                <w:sz w:val="16"/>
                <w:szCs w:val="16"/>
              </w:rPr>
            </w:pPr>
            <w:r>
              <w:rPr>
                <w:rFonts w:ascii="Arial Narrow" w:hAnsi="Arial Narrow"/>
                <w:color w:val="000000"/>
                <w:sz w:val="16"/>
                <w:szCs w:val="16"/>
              </w:rPr>
              <w:t>PPS na obyv.</w:t>
            </w:r>
          </w:p>
        </w:tc>
        <w:tc>
          <w:tcPr>
            <w:tcW w:w="708" w:type="dxa"/>
            <w:tcBorders>
              <w:top w:val="nil"/>
              <w:left w:val="nil"/>
              <w:bottom w:val="single" w:sz="4" w:space="0" w:color="FF0000"/>
              <w:right w:val="single" w:sz="4" w:space="0" w:color="FF0000"/>
            </w:tcBorders>
            <w:shd w:val="clear" w:color="000000" w:fill="A9D08E"/>
            <w:vAlign w:val="center"/>
            <w:hideMark/>
          </w:tcPr>
          <w:p w:rsidR="00EA7147" w:rsidRDefault="00EA7147">
            <w:pPr>
              <w:jc w:val="center"/>
              <w:rPr>
                <w:rFonts w:ascii="Arial Narrow" w:hAnsi="Arial Narrow"/>
                <w:color w:val="000000"/>
                <w:sz w:val="16"/>
                <w:szCs w:val="16"/>
              </w:rPr>
            </w:pPr>
            <w:r>
              <w:rPr>
                <w:rFonts w:ascii="Arial Narrow" w:hAnsi="Arial Narrow"/>
                <w:color w:val="000000"/>
                <w:sz w:val="16"/>
                <w:szCs w:val="16"/>
              </w:rPr>
              <w:t>% HDP</w:t>
            </w:r>
          </w:p>
        </w:tc>
        <w:tc>
          <w:tcPr>
            <w:tcW w:w="990" w:type="dxa"/>
            <w:tcBorders>
              <w:top w:val="nil"/>
              <w:left w:val="nil"/>
              <w:bottom w:val="single" w:sz="4" w:space="0" w:color="FF0000"/>
              <w:right w:val="nil"/>
            </w:tcBorders>
            <w:shd w:val="clear" w:color="000000" w:fill="A9D08E"/>
            <w:vAlign w:val="center"/>
            <w:hideMark/>
          </w:tcPr>
          <w:p w:rsidR="00EA7147" w:rsidRDefault="00EA7147" w:rsidP="00101C8A">
            <w:pPr>
              <w:jc w:val="center"/>
              <w:rPr>
                <w:rFonts w:ascii="Arial Narrow" w:hAnsi="Arial Narrow"/>
                <w:color w:val="000000"/>
                <w:sz w:val="16"/>
                <w:szCs w:val="16"/>
              </w:rPr>
            </w:pPr>
            <w:r>
              <w:rPr>
                <w:rFonts w:ascii="Arial Narrow" w:hAnsi="Arial Narrow"/>
                <w:color w:val="000000"/>
                <w:sz w:val="16"/>
                <w:szCs w:val="16"/>
              </w:rPr>
              <w:t>Index 201</w:t>
            </w:r>
            <w:r w:rsidR="00101C8A">
              <w:rPr>
                <w:rFonts w:ascii="Arial Narrow" w:hAnsi="Arial Narrow"/>
                <w:color w:val="000000"/>
                <w:sz w:val="16"/>
                <w:szCs w:val="16"/>
              </w:rPr>
              <w:t>9</w:t>
            </w:r>
            <w:r>
              <w:rPr>
                <w:rFonts w:ascii="Arial Narrow" w:hAnsi="Arial Narrow"/>
                <w:color w:val="000000"/>
                <w:sz w:val="16"/>
                <w:szCs w:val="16"/>
              </w:rPr>
              <w:t>/201</w:t>
            </w:r>
            <w:r w:rsidR="00101C8A">
              <w:rPr>
                <w:rFonts w:ascii="Arial Narrow" w:hAnsi="Arial Narrow"/>
                <w:color w:val="000000"/>
                <w:sz w:val="16"/>
                <w:szCs w:val="16"/>
              </w:rPr>
              <w:t>8</w:t>
            </w:r>
          </w:p>
        </w:tc>
      </w:tr>
      <w:tr w:rsidR="002E01F1" w:rsidTr="00EF1D32">
        <w:trPr>
          <w:trHeight w:val="270"/>
        </w:trPr>
        <w:tc>
          <w:tcPr>
            <w:tcW w:w="4536" w:type="dxa"/>
            <w:gridSpan w:val="5"/>
            <w:tcBorders>
              <w:top w:val="nil"/>
              <w:left w:val="nil"/>
              <w:bottom w:val="nil"/>
              <w:right w:val="single" w:sz="4" w:space="0" w:color="FF0000"/>
            </w:tcBorders>
            <w:shd w:val="clear" w:color="auto" w:fill="A8D08D" w:themeFill="accent6" w:themeFillTint="99"/>
            <w:noWrap/>
            <w:vAlign w:val="center"/>
            <w:hideMark/>
          </w:tcPr>
          <w:p w:rsidR="002E01F1" w:rsidRDefault="002E01F1" w:rsidP="002E01F1">
            <w:pPr>
              <w:rPr>
                <w:rFonts w:ascii="Arial Narrow" w:hAnsi="Arial Narrow"/>
                <w:b/>
                <w:bCs/>
                <w:sz w:val="18"/>
                <w:szCs w:val="18"/>
              </w:rPr>
            </w:pPr>
            <w:r>
              <w:rPr>
                <w:rFonts w:ascii="Arial Narrow" w:hAnsi="Arial Narrow"/>
                <w:b/>
                <w:bCs/>
                <w:sz w:val="18"/>
                <w:szCs w:val="18"/>
              </w:rPr>
              <w:t>Dávky sociálnej ochrany</w:t>
            </w:r>
            <w:r w:rsidR="00646DAA">
              <w:rPr>
                <w:rFonts w:ascii="Arial Narrow" w:hAnsi="Arial Narrow"/>
                <w:b/>
                <w:bCs/>
                <w:sz w:val="18"/>
                <w:szCs w:val="18"/>
              </w:rPr>
              <w:t xml:space="preserve"> na účel sociálne vylúčenie</w:t>
            </w:r>
          </w:p>
        </w:tc>
        <w:tc>
          <w:tcPr>
            <w:tcW w:w="993" w:type="dxa"/>
            <w:tcBorders>
              <w:top w:val="nil"/>
              <w:left w:val="nil"/>
              <w:bottom w:val="nil"/>
              <w:right w:val="single" w:sz="4" w:space="0" w:color="FF0000"/>
            </w:tcBorders>
            <w:shd w:val="clear" w:color="auto" w:fill="A8D08D" w:themeFill="accent6" w:themeFillTint="99"/>
            <w:noWrap/>
            <w:vAlign w:val="bottom"/>
            <w:hideMark/>
          </w:tcPr>
          <w:p w:rsidR="002E01F1" w:rsidRDefault="002E01F1" w:rsidP="002E01F1">
            <w:pPr>
              <w:jc w:val="right"/>
              <w:rPr>
                <w:rFonts w:ascii="Arial Narrow" w:hAnsi="Arial Narrow" w:cs="Calibri"/>
                <w:b/>
                <w:bCs/>
                <w:sz w:val="18"/>
                <w:szCs w:val="18"/>
                <w:lang w:eastAsia="sk-SK"/>
              </w:rPr>
            </w:pPr>
            <w:r>
              <w:rPr>
                <w:rFonts w:ascii="Arial Narrow" w:hAnsi="Arial Narrow" w:cs="Calibri"/>
                <w:b/>
                <w:bCs/>
                <w:sz w:val="18"/>
                <w:szCs w:val="18"/>
              </w:rPr>
              <w:t>206,3</w:t>
            </w:r>
          </w:p>
        </w:tc>
        <w:tc>
          <w:tcPr>
            <w:tcW w:w="572" w:type="dxa"/>
            <w:tcBorders>
              <w:top w:val="nil"/>
              <w:left w:val="nil"/>
              <w:bottom w:val="nil"/>
              <w:right w:val="single" w:sz="4" w:space="0" w:color="FF0000"/>
            </w:tcBorders>
            <w:shd w:val="clear" w:color="auto" w:fill="A8D08D" w:themeFill="accent6" w:themeFillTint="99"/>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100,0</w:t>
            </w:r>
          </w:p>
        </w:tc>
        <w:tc>
          <w:tcPr>
            <w:tcW w:w="849" w:type="dxa"/>
            <w:tcBorders>
              <w:top w:val="nil"/>
              <w:left w:val="nil"/>
              <w:bottom w:val="nil"/>
              <w:right w:val="single" w:sz="4" w:space="0" w:color="FF0000"/>
            </w:tcBorders>
            <w:shd w:val="clear" w:color="auto" w:fill="A8D08D" w:themeFill="accent6" w:themeFillTint="99"/>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32,6</w:t>
            </w:r>
          </w:p>
        </w:tc>
        <w:tc>
          <w:tcPr>
            <w:tcW w:w="708" w:type="dxa"/>
            <w:tcBorders>
              <w:top w:val="nil"/>
              <w:left w:val="nil"/>
              <w:bottom w:val="nil"/>
              <w:right w:val="single" w:sz="4" w:space="0" w:color="FF0000"/>
            </w:tcBorders>
            <w:shd w:val="clear" w:color="auto" w:fill="A8D08D" w:themeFill="accent6" w:themeFillTint="99"/>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52,1</w:t>
            </w:r>
          </w:p>
        </w:tc>
        <w:tc>
          <w:tcPr>
            <w:tcW w:w="708" w:type="dxa"/>
            <w:tcBorders>
              <w:top w:val="nil"/>
              <w:left w:val="nil"/>
              <w:bottom w:val="nil"/>
              <w:right w:val="single" w:sz="4" w:space="0" w:color="FF0000"/>
            </w:tcBorders>
            <w:shd w:val="clear" w:color="auto" w:fill="A8D08D" w:themeFill="accent6" w:themeFillTint="99"/>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0,2</w:t>
            </w:r>
          </w:p>
        </w:tc>
        <w:tc>
          <w:tcPr>
            <w:tcW w:w="990" w:type="dxa"/>
            <w:tcBorders>
              <w:top w:val="nil"/>
              <w:left w:val="nil"/>
              <w:bottom w:val="nil"/>
              <w:right w:val="nil"/>
            </w:tcBorders>
            <w:shd w:val="clear" w:color="auto" w:fill="A8D08D" w:themeFill="accent6" w:themeFillTint="99"/>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113,2</w:t>
            </w:r>
          </w:p>
        </w:tc>
      </w:tr>
      <w:tr w:rsidR="002E01F1" w:rsidTr="00EF1D32">
        <w:trPr>
          <w:trHeight w:val="225"/>
        </w:trPr>
        <w:tc>
          <w:tcPr>
            <w:tcW w:w="199" w:type="dxa"/>
            <w:tcBorders>
              <w:top w:val="nil"/>
              <w:left w:val="nil"/>
              <w:bottom w:val="nil"/>
              <w:right w:val="nil"/>
            </w:tcBorders>
            <w:shd w:val="clear" w:color="auto" w:fill="C5E0B3" w:themeFill="accent6" w:themeFillTint="66"/>
            <w:noWrap/>
            <w:vAlign w:val="center"/>
            <w:hideMark/>
          </w:tcPr>
          <w:p w:rsidR="002E01F1" w:rsidRDefault="002E01F1" w:rsidP="002E01F1">
            <w:pPr>
              <w:rPr>
                <w:rFonts w:ascii="Arial Narrow" w:hAnsi="Arial Narrow"/>
                <w:b/>
                <w:bCs/>
                <w:sz w:val="18"/>
                <w:szCs w:val="18"/>
              </w:rPr>
            </w:pPr>
            <w:r>
              <w:rPr>
                <w:rFonts w:ascii="Arial Narrow" w:hAnsi="Arial Narrow"/>
                <w:b/>
                <w:bCs/>
                <w:sz w:val="18"/>
                <w:szCs w:val="18"/>
              </w:rPr>
              <w:t> </w:t>
            </w:r>
          </w:p>
        </w:tc>
        <w:tc>
          <w:tcPr>
            <w:tcW w:w="4337" w:type="dxa"/>
            <w:gridSpan w:val="4"/>
            <w:tcBorders>
              <w:top w:val="nil"/>
              <w:left w:val="nil"/>
              <w:bottom w:val="nil"/>
              <w:right w:val="single" w:sz="4" w:space="0" w:color="FF0000"/>
            </w:tcBorders>
            <w:shd w:val="clear" w:color="auto" w:fill="C5E0B3" w:themeFill="accent6" w:themeFillTint="66"/>
            <w:noWrap/>
            <w:vAlign w:val="center"/>
            <w:hideMark/>
          </w:tcPr>
          <w:p w:rsidR="002E01F1" w:rsidRDefault="002E01F1" w:rsidP="002E01F1">
            <w:pPr>
              <w:rPr>
                <w:rFonts w:ascii="Arial Narrow" w:hAnsi="Arial Narrow"/>
                <w:b/>
                <w:bCs/>
                <w:sz w:val="18"/>
                <w:szCs w:val="18"/>
              </w:rPr>
            </w:pPr>
            <w:r>
              <w:rPr>
                <w:rFonts w:ascii="Arial Narrow" w:hAnsi="Arial Narrow"/>
                <w:b/>
                <w:bCs/>
                <w:sz w:val="18"/>
                <w:szCs w:val="18"/>
              </w:rPr>
              <w:t>Netestované dávky na príjem</w:t>
            </w:r>
          </w:p>
        </w:tc>
        <w:tc>
          <w:tcPr>
            <w:tcW w:w="993" w:type="dxa"/>
            <w:tcBorders>
              <w:top w:val="nil"/>
              <w:left w:val="nil"/>
              <w:bottom w:val="nil"/>
              <w:right w:val="single" w:sz="4" w:space="0" w:color="FF0000"/>
            </w:tcBorders>
            <w:shd w:val="clear" w:color="auto" w:fill="C5E0B3" w:themeFill="accent6" w:themeFillTint="66"/>
            <w:noWrap/>
            <w:vAlign w:val="bottom"/>
            <w:hideMark/>
          </w:tcPr>
          <w:p w:rsidR="002E01F1" w:rsidRDefault="002E01F1" w:rsidP="002E01F1">
            <w:pPr>
              <w:jc w:val="right"/>
              <w:rPr>
                <w:rFonts w:ascii="Arial Narrow" w:hAnsi="Arial Narrow" w:cs="Calibri"/>
                <w:b/>
                <w:bCs/>
                <w:sz w:val="18"/>
                <w:szCs w:val="18"/>
                <w:lang w:eastAsia="sk-SK"/>
              </w:rPr>
            </w:pPr>
            <w:r>
              <w:rPr>
                <w:rFonts w:ascii="Arial Narrow" w:hAnsi="Arial Narrow" w:cs="Calibri"/>
                <w:b/>
                <w:bCs/>
                <w:sz w:val="18"/>
                <w:szCs w:val="18"/>
              </w:rPr>
              <w:t>46,0</w:t>
            </w:r>
          </w:p>
        </w:tc>
        <w:tc>
          <w:tcPr>
            <w:tcW w:w="572" w:type="dxa"/>
            <w:tcBorders>
              <w:top w:val="nil"/>
              <w:left w:val="nil"/>
              <w:bottom w:val="nil"/>
              <w:right w:val="single" w:sz="4" w:space="0" w:color="FF0000"/>
            </w:tcBorders>
            <w:shd w:val="clear" w:color="auto" w:fill="C5E0B3" w:themeFill="accent6" w:themeFillTint="66"/>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22,3</w:t>
            </w:r>
          </w:p>
        </w:tc>
        <w:tc>
          <w:tcPr>
            <w:tcW w:w="849" w:type="dxa"/>
            <w:tcBorders>
              <w:top w:val="nil"/>
              <w:left w:val="nil"/>
              <w:bottom w:val="nil"/>
              <w:right w:val="single" w:sz="4" w:space="0" w:color="FF0000"/>
            </w:tcBorders>
            <w:shd w:val="clear" w:color="auto" w:fill="C5E0B3" w:themeFill="accent6" w:themeFillTint="66"/>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7,3</w:t>
            </w:r>
          </w:p>
        </w:tc>
        <w:tc>
          <w:tcPr>
            <w:tcW w:w="708" w:type="dxa"/>
            <w:tcBorders>
              <w:top w:val="nil"/>
              <w:left w:val="nil"/>
              <w:bottom w:val="nil"/>
              <w:right w:val="single" w:sz="4" w:space="0" w:color="FF0000"/>
            </w:tcBorders>
            <w:shd w:val="clear" w:color="auto" w:fill="C5E0B3" w:themeFill="accent6" w:themeFillTint="66"/>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11,6</w:t>
            </w:r>
          </w:p>
        </w:tc>
        <w:tc>
          <w:tcPr>
            <w:tcW w:w="708" w:type="dxa"/>
            <w:tcBorders>
              <w:top w:val="nil"/>
              <w:left w:val="nil"/>
              <w:bottom w:val="nil"/>
              <w:right w:val="single" w:sz="4" w:space="0" w:color="FF0000"/>
            </w:tcBorders>
            <w:shd w:val="clear" w:color="auto" w:fill="C5E0B3" w:themeFill="accent6" w:themeFillTint="66"/>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0,0</w:t>
            </w:r>
          </w:p>
        </w:tc>
        <w:tc>
          <w:tcPr>
            <w:tcW w:w="990" w:type="dxa"/>
            <w:tcBorders>
              <w:top w:val="nil"/>
              <w:left w:val="nil"/>
              <w:bottom w:val="nil"/>
              <w:right w:val="nil"/>
            </w:tcBorders>
            <w:shd w:val="clear" w:color="auto" w:fill="C5E0B3" w:themeFill="accent6" w:themeFillTint="66"/>
            <w:noWrap/>
            <w:vAlign w:val="bottom"/>
            <w:hideMark/>
          </w:tcPr>
          <w:p w:rsidR="002E01F1" w:rsidRDefault="00205B41" w:rsidP="002E01F1">
            <w:pPr>
              <w:jc w:val="right"/>
              <w:rPr>
                <w:rFonts w:ascii="Arial Narrow" w:hAnsi="Arial Narrow" w:cs="Calibri"/>
                <w:b/>
                <w:bCs/>
                <w:sz w:val="18"/>
                <w:szCs w:val="18"/>
              </w:rPr>
            </w:pPr>
            <w:r>
              <w:rPr>
                <w:rFonts w:ascii="Arial Narrow" w:hAnsi="Arial Narrow" w:cs="Calibri"/>
                <w:b/>
                <w:bCs/>
                <w:sz w:val="18"/>
                <w:szCs w:val="18"/>
              </w:rPr>
              <w:t>113,0</w:t>
            </w:r>
          </w:p>
        </w:tc>
      </w:tr>
      <w:tr w:rsidR="00EA7147" w:rsidTr="00EA7147">
        <w:trPr>
          <w:trHeight w:val="225"/>
        </w:trPr>
        <w:tc>
          <w:tcPr>
            <w:tcW w:w="199" w:type="dxa"/>
            <w:tcBorders>
              <w:top w:val="nil"/>
              <w:left w:val="nil"/>
              <w:bottom w:val="nil"/>
              <w:right w:val="nil"/>
            </w:tcBorders>
            <w:shd w:val="clear" w:color="000000" w:fill="E2EFDA"/>
            <w:noWrap/>
            <w:vAlign w:val="center"/>
            <w:hideMark/>
          </w:tcPr>
          <w:p w:rsidR="00EA7147" w:rsidRDefault="00EA7147">
            <w:pPr>
              <w:rPr>
                <w:rFonts w:ascii="Arial Narrow" w:hAnsi="Arial Narrow"/>
                <w:b/>
                <w:bCs/>
                <w:sz w:val="18"/>
                <w:szCs w:val="18"/>
              </w:rPr>
            </w:pPr>
            <w:r>
              <w:rPr>
                <w:rFonts w:ascii="Arial Narrow" w:hAnsi="Arial Narrow"/>
                <w:b/>
                <w:bCs/>
                <w:sz w:val="18"/>
                <w:szCs w:val="18"/>
              </w:rPr>
              <w:t> </w:t>
            </w:r>
          </w:p>
        </w:tc>
        <w:tc>
          <w:tcPr>
            <w:tcW w:w="200" w:type="dxa"/>
            <w:tcBorders>
              <w:top w:val="nil"/>
              <w:left w:val="nil"/>
              <w:bottom w:val="nil"/>
              <w:right w:val="nil"/>
            </w:tcBorders>
            <w:shd w:val="clear" w:color="000000" w:fill="E2EFDA"/>
            <w:noWrap/>
            <w:vAlign w:val="center"/>
            <w:hideMark/>
          </w:tcPr>
          <w:p w:rsidR="00EA7147" w:rsidRDefault="00EA7147">
            <w:pPr>
              <w:rPr>
                <w:rFonts w:ascii="Arial Narrow" w:hAnsi="Arial Narrow"/>
                <w:b/>
                <w:bCs/>
                <w:sz w:val="18"/>
                <w:szCs w:val="18"/>
              </w:rPr>
            </w:pPr>
            <w:r>
              <w:rPr>
                <w:rFonts w:ascii="Arial Narrow" w:hAnsi="Arial Narrow"/>
                <w:b/>
                <w:bCs/>
                <w:sz w:val="18"/>
                <w:szCs w:val="18"/>
              </w:rPr>
              <w:t> </w:t>
            </w:r>
          </w:p>
        </w:tc>
        <w:tc>
          <w:tcPr>
            <w:tcW w:w="4137" w:type="dxa"/>
            <w:gridSpan w:val="3"/>
            <w:tcBorders>
              <w:top w:val="nil"/>
              <w:left w:val="nil"/>
              <w:bottom w:val="nil"/>
              <w:right w:val="single" w:sz="4" w:space="0" w:color="FF0000"/>
            </w:tcBorders>
            <w:shd w:val="clear" w:color="000000" w:fill="E2EFDA"/>
            <w:noWrap/>
            <w:vAlign w:val="center"/>
            <w:hideMark/>
          </w:tcPr>
          <w:p w:rsidR="00EA7147" w:rsidRDefault="00EA7147">
            <w:pPr>
              <w:rPr>
                <w:rFonts w:ascii="Arial Narrow" w:hAnsi="Arial Narrow"/>
                <w:b/>
                <w:bCs/>
                <w:sz w:val="18"/>
                <w:szCs w:val="18"/>
              </w:rPr>
            </w:pPr>
            <w:r>
              <w:rPr>
                <w:rFonts w:ascii="Arial Narrow" w:hAnsi="Arial Narrow"/>
                <w:b/>
                <w:bCs/>
                <w:sz w:val="18"/>
                <w:szCs w:val="18"/>
              </w:rPr>
              <w:t>Peňažné dávky</w:t>
            </w:r>
          </w:p>
        </w:tc>
        <w:tc>
          <w:tcPr>
            <w:tcW w:w="993" w:type="dxa"/>
            <w:tcBorders>
              <w:top w:val="nil"/>
              <w:left w:val="nil"/>
              <w:bottom w:val="nil"/>
              <w:right w:val="single" w:sz="4" w:space="0" w:color="FF0000"/>
            </w:tcBorders>
            <w:shd w:val="clear" w:color="000000" w:fill="E2EFDA"/>
            <w:noWrap/>
            <w:vAlign w:val="bottom"/>
            <w:hideMark/>
          </w:tcPr>
          <w:p w:rsidR="00EA7147" w:rsidRDefault="00EA7147">
            <w:pPr>
              <w:jc w:val="right"/>
              <w:rPr>
                <w:rFonts w:ascii="Arial Narrow" w:hAnsi="Arial Narrow"/>
                <w:b/>
                <w:bCs/>
                <w:sz w:val="18"/>
                <w:szCs w:val="18"/>
              </w:rPr>
            </w:pPr>
            <w:r>
              <w:rPr>
                <w:rFonts w:ascii="Arial Narrow" w:hAnsi="Arial Narrow"/>
                <w:b/>
                <w:bCs/>
                <w:sz w:val="18"/>
                <w:szCs w:val="18"/>
              </w:rPr>
              <w:t>0,0</w:t>
            </w:r>
          </w:p>
        </w:tc>
        <w:tc>
          <w:tcPr>
            <w:tcW w:w="572" w:type="dxa"/>
            <w:tcBorders>
              <w:top w:val="nil"/>
              <w:left w:val="nil"/>
              <w:bottom w:val="nil"/>
              <w:right w:val="single" w:sz="4" w:space="0" w:color="FF0000"/>
            </w:tcBorders>
            <w:shd w:val="clear" w:color="000000" w:fill="E2EFDA"/>
            <w:noWrap/>
            <w:vAlign w:val="bottom"/>
            <w:hideMark/>
          </w:tcPr>
          <w:p w:rsidR="00EA7147" w:rsidRDefault="00EA7147">
            <w:pPr>
              <w:jc w:val="right"/>
              <w:rPr>
                <w:rFonts w:ascii="Arial Narrow" w:hAnsi="Arial Narrow"/>
                <w:b/>
                <w:bCs/>
                <w:sz w:val="18"/>
                <w:szCs w:val="18"/>
              </w:rPr>
            </w:pPr>
            <w:r>
              <w:rPr>
                <w:rFonts w:ascii="Arial Narrow" w:hAnsi="Arial Narrow"/>
                <w:b/>
                <w:bCs/>
                <w:sz w:val="18"/>
                <w:szCs w:val="18"/>
              </w:rPr>
              <w:t>0,0</w:t>
            </w:r>
          </w:p>
        </w:tc>
        <w:tc>
          <w:tcPr>
            <w:tcW w:w="849" w:type="dxa"/>
            <w:tcBorders>
              <w:top w:val="nil"/>
              <w:left w:val="nil"/>
              <w:bottom w:val="nil"/>
              <w:right w:val="single" w:sz="4" w:space="0" w:color="FF0000"/>
            </w:tcBorders>
            <w:shd w:val="clear" w:color="000000" w:fill="E2EFDA"/>
            <w:noWrap/>
            <w:vAlign w:val="bottom"/>
            <w:hideMark/>
          </w:tcPr>
          <w:p w:rsidR="00EA7147" w:rsidRDefault="00EA7147">
            <w:pPr>
              <w:jc w:val="right"/>
              <w:rPr>
                <w:rFonts w:ascii="Arial Narrow" w:hAnsi="Arial Narrow"/>
                <w:b/>
                <w:bCs/>
                <w:sz w:val="18"/>
                <w:szCs w:val="18"/>
              </w:rPr>
            </w:pPr>
            <w:r>
              <w:rPr>
                <w:rFonts w:ascii="Arial Narrow" w:hAnsi="Arial Narrow"/>
                <w:b/>
                <w:bCs/>
                <w:sz w:val="18"/>
                <w:szCs w:val="18"/>
              </w:rPr>
              <w:t>0,0</w:t>
            </w:r>
          </w:p>
        </w:tc>
        <w:tc>
          <w:tcPr>
            <w:tcW w:w="708" w:type="dxa"/>
            <w:tcBorders>
              <w:top w:val="nil"/>
              <w:left w:val="nil"/>
              <w:bottom w:val="nil"/>
              <w:right w:val="single" w:sz="4" w:space="0" w:color="FF0000"/>
            </w:tcBorders>
            <w:shd w:val="clear" w:color="000000" w:fill="E2EFDA"/>
            <w:noWrap/>
            <w:vAlign w:val="bottom"/>
            <w:hideMark/>
          </w:tcPr>
          <w:p w:rsidR="00EA7147" w:rsidRDefault="00EA7147">
            <w:pPr>
              <w:jc w:val="right"/>
              <w:rPr>
                <w:rFonts w:ascii="Arial Narrow" w:hAnsi="Arial Narrow"/>
                <w:b/>
                <w:bCs/>
                <w:sz w:val="18"/>
                <w:szCs w:val="18"/>
              </w:rPr>
            </w:pPr>
            <w:r>
              <w:rPr>
                <w:rFonts w:ascii="Arial Narrow" w:hAnsi="Arial Narrow"/>
                <w:b/>
                <w:bCs/>
                <w:sz w:val="18"/>
                <w:szCs w:val="18"/>
              </w:rPr>
              <w:t>0,0</w:t>
            </w:r>
          </w:p>
        </w:tc>
        <w:tc>
          <w:tcPr>
            <w:tcW w:w="708" w:type="dxa"/>
            <w:tcBorders>
              <w:top w:val="nil"/>
              <w:left w:val="nil"/>
              <w:bottom w:val="nil"/>
              <w:right w:val="single" w:sz="4" w:space="0" w:color="FF0000"/>
            </w:tcBorders>
            <w:shd w:val="clear" w:color="000000" w:fill="E2EFDA"/>
            <w:noWrap/>
            <w:vAlign w:val="bottom"/>
            <w:hideMark/>
          </w:tcPr>
          <w:p w:rsidR="00EA7147" w:rsidRDefault="00EA7147">
            <w:pPr>
              <w:jc w:val="right"/>
              <w:rPr>
                <w:rFonts w:ascii="Arial Narrow" w:hAnsi="Arial Narrow"/>
                <w:b/>
                <w:bCs/>
                <w:sz w:val="18"/>
                <w:szCs w:val="18"/>
              </w:rPr>
            </w:pPr>
            <w:r>
              <w:rPr>
                <w:rFonts w:ascii="Arial Narrow" w:hAnsi="Arial Narrow"/>
                <w:b/>
                <w:bCs/>
                <w:sz w:val="18"/>
                <w:szCs w:val="18"/>
              </w:rPr>
              <w:t>0,0</w:t>
            </w:r>
          </w:p>
        </w:tc>
        <w:tc>
          <w:tcPr>
            <w:tcW w:w="990" w:type="dxa"/>
            <w:tcBorders>
              <w:top w:val="nil"/>
              <w:left w:val="nil"/>
              <w:bottom w:val="nil"/>
              <w:right w:val="nil"/>
            </w:tcBorders>
            <w:shd w:val="clear" w:color="000000" w:fill="E2EFDA"/>
            <w:noWrap/>
            <w:vAlign w:val="bottom"/>
            <w:hideMark/>
          </w:tcPr>
          <w:p w:rsidR="00EA7147" w:rsidRDefault="007B7FAB">
            <w:pPr>
              <w:jc w:val="right"/>
              <w:rPr>
                <w:rFonts w:ascii="Arial Narrow" w:hAnsi="Arial Narrow"/>
                <w:b/>
                <w:bCs/>
                <w:sz w:val="18"/>
                <w:szCs w:val="18"/>
              </w:rPr>
            </w:pPr>
            <w:r>
              <w:rPr>
                <w:rFonts w:ascii="Arial Narrow" w:hAnsi="Arial Narrow"/>
                <w:b/>
                <w:bCs/>
                <w:sz w:val="18"/>
                <w:szCs w:val="18"/>
              </w:rPr>
              <w:t>x</w:t>
            </w:r>
          </w:p>
        </w:tc>
      </w:tr>
      <w:tr w:rsidR="00EA7147" w:rsidTr="00EA7147">
        <w:trPr>
          <w:trHeight w:val="225"/>
        </w:trPr>
        <w:tc>
          <w:tcPr>
            <w:tcW w:w="199" w:type="dxa"/>
            <w:tcBorders>
              <w:top w:val="nil"/>
              <w:left w:val="nil"/>
              <w:bottom w:val="nil"/>
              <w:right w:val="nil"/>
            </w:tcBorders>
            <w:shd w:val="clear" w:color="auto" w:fill="auto"/>
            <w:noWrap/>
            <w:vAlign w:val="center"/>
            <w:hideMark/>
          </w:tcPr>
          <w:p w:rsidR="00EA7147" w:rsidRDefault="00EA7147">
            <w:pPr>
              <w:jc w:val="right"/>
              <w:rPr>
                <w:rFonts w:ascii="Arial Narrow" w:hAnsi="Arial Narrow"/>
                <w:b/>
                <w:bCs/>
                <w:sz w:val="18"/>
                <w:szCs w:val="18"/>
              </w:rPr>
            </w:pPr>
          </w:p>
        </w:tc>
        <w:tc>
          <w:tcPr>
            <w:tcW w:w="200" w:type="dxa"/>
            <w:tcBorders>
              <w:top w:val="nil"/>
              <w:left w:val="nil"/>
              <w:bottom w:val="nil"/>
              <w:right w:val="nil"/>
            </w:tcBorders>
            <w:shd w:val="clear" w:color="auto" w:fill="auto"/>
            <w:noWrap/>
            <w:vAlign w:val="center"/>
            <w:hideMark/>
          </w:tcPr>
          <w:p w:rsidR="00EA7147" w:rsidRDefault="00EA7147">
            <w:pPr>
              <w:rPr>
                <w:sz w:val="20"/>
                <w:szCs w:val="20"/>
              </w:rPr>
            </w:pPr>
          </w:p>
        </w:tc>
        <w:tc>
          <w:tcPr>
            <w:tcW w:w="225" w:type="dxa"/>
            <w:tcBorders>
              <w:top w:val="nil"/>
              <w:left w:val="nil"/>
              <w:bottom w:val="nil"/>
              <w:right w:val="nil"/>
            </w:tcBorders>
            <w:shd w:val="clear" w:color="auto" w:fill="auto"/>
            <w:noWrap/>
            <w:vAlign w:val="center"/>
            <w:hideMark/>
          </w:tcPr>
          <w:p w:rsidR="00EA7147" w:rsidRDefault="00EA7147">
            <w:pPr>
              <w:rPr>
                <w:sz w:val="20"/>
                <w:szCs w:val="20"/>
              </w:rPr>
            </w:pPr>
          </w:p>
        </w:tc>
        <w:tc>
          <w:tcPr>
            <w:tcW w:w="3912" w:type="dxa"/>
            <w:gridSpan w:val="2"/>
            <w:tcBorders>
              <w:top w:val="nil"/>
              <w:left w:val="nil"/>
              <w:bottom w:val="nil"/>
              <w:right w:val="single" w:sz="4" w:space="0" w:color="FF0000"/>
            </w:tcBorders>
            <w:shd w:val="clear" w:color="auto" w:fill="auto"/>
            <w:noWrap/>
            <w:vAlign w:val="center"/>
            <w:hideMark/>
          </w:tcPr>
          <w:p w:rsidR="00EA7147" w:rsidRDefault="00EA7147">
            <w:pPr>
              <w:rPr>
                <w:rFonts w:ascii="Arial Narrow" w:hAnsi="Arial Narrow"/>
                <w:b/>
                <w:bCs/>
                <w:sz w:val="18"/>
                <w:szCs w:val="18"/>
              </w:rPr>
            </w:pPr>
            <w:r>
              <w:rPr>
                <w:rFonts w:ascii="Arial Narrow" w:hAnsi="Arial Narrow"/>
                <w:b/>
                <w:bCs/>
                <w:sz w:val="18"/>
                <w:szCs w:val="18"/>
              </w:rPr>
              <w:t xml:space="preserve"> Periodické</w:t>
            </w:r>
          </w:p>
        </w:tc>
        <w:tc>
          <w:tcPr>
            <w:tcW w:w="993"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b/>
                <w:bCs/>
                <w:sz w:val="18"/>
                <w:szCs w:val="18"/>
              </w:rPr>
            </w:pPr>
            <w:r>
              <w:rPr>
                <w:rFonts w:ascii="Arial Narrow" w:hAnsi="Arial Narrow"/>
                <w:b/>
                <w:bCs/>
                <w:sz w:val="18"/>
                <w:szCs w:val="18"/>
              </w:rPr>
              <w:t>0,0</w:t>
            </w:r>
          </w:p>
        </w:tc>
        <w:tc>
          <w:tcPr>
            <w:tcW w:w="572"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b/>
                <w:bCs/>
                <w:sz w:val="18"/>
                <w:szCs w:val="18"/>
              </w:rPr>
            </w:pPr>
            <w:r>
              <w:rPr>
                <w:rFonts w:ascii="Arial Narrow" w:hAnsi="Arial Narrow"/>
                <w:b/>
                <w:bCs/>
                <w:sz w:val="18"/>
                <w:szCs w:val="18"/>
              </w:rPr>
              <w:t>0,0</w:t>
            </w:r>
          </w:p>
        </w:tc>
        <w:tc>
          <w:tcPr>
            <w:tcW w:w="849"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b/>
                <w:bCs/>
                <w:sz w:val="18"/>
                <w:szCs w:val="18"/>
              </w:rPr>
            </w:pPr>
            <w:r>
              <w:rPr>
                <w:rFonts w:ascii="Arial Narrow" w:hAnsi="Arial Narrow"/>
                <w:b/>
                <w:bCs/>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b/>
                <w:bCs/>
                <w:sz w:val="18"/>
                <w:szCs w:val="18"/>
              </w:rPr>
            </w:pPr>
            <w:r>
              <w:rPr>
                <w:rFonts w:ascii="Arial Narrow" w:hAnsi="Arial Narrow"/>
                <w:b/>
                <w:bCs/>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b/>
                <w:bCs/>
                <w:sz w:val="18"/>
                <w:szCs w:val="18"/>
              </w:rPr>
            </w:pPr>
            <w:r>
              <w:rPr>
                <w:rFonts w:ascii="Arial Narrow" w:hAnsi="Arial Narrow"/>
                <w:b/>
                <w:bCs/>
                <w:sz w:val="18"/>
                <w:szCs w:val="18"/>
              </w:rPr>
              <w:t>0,0</w:t>
            </w:r>
          </w:p>
        </w:tc>
        <w:tc>
          <w:tcPr>
            <w:tcW w:w="990" w:type="dxa"/>
            <w:tcBorders>
              <w:top w:val="nil"/>
              <w:left w:val="nil"/>
              <w:bottom w:val="nil"/>
              <w:right w:val="nil"/>
            </w:tcBorders>
            <w:shd w:val="clear" w:color="auto" w:fill="auto"/>
            <w:noWrap/>
            <w:vAlign w:val="bottom"/>
            <w:hideMark/>
          </w:tcPr>
          <w:p w:rsidR="00EA7147" w:rsidRDefault="007B7FAB">
            <w:pPr>
              <w:jc w:val="right"/>
              <w:rPr>
                <w:rFonts w:ascii="Arial Narrow" w:hAnsi="Arial Narrow"/>
                <w:b/>
                <w:bCs/>
                <w:sz w:val="18"/>
                <w:szCs w:val="18"/>
              </w:rPr>
            </w:pPr>
            <w:r>
              <w:rPr>
                <w:rFonts w:ascii="Arial Narrow" w:hAnsi="Arial Narrow"/>
                <w:b/>
                <w:bCs/>
                <w:sz w:val="18"/>
                <w:szCs w:val="18"/>
              </w:rPr>
              <w:t>x</w:t>
            </w:r>
          </w:p>
        </w:tc>
      </w:tr>
      <w:tr w:rsidR="00EA7147" w:rsidTr="00EA7147">
        <w:trPr>
          <w:trHeight w:val="225"/>
        </w:trPr>
        <w:tc>
          <w:tcPr>
            <w:tcW w:w="199" w:type="dxa"/>
            <w:tcBorders>
              <w:top w:val="nil"/>
              <w:left w:val="nil"/>
              <w:bottom w:val="nil"/>
              <w:right w:val="nil"/>
            </w:tcBorders>
            <w:shd w:val="clear" w:color="auto" w:fill="auto"/>
            <w:noWrap/>
            <w:vAlign w:val="bottom"/>
            <w:hideMark/>
          </w:tcPr>
          <w:p w:rsidR="00EA7147" w:rsidRDefault="00EA7147">
            <w:pPr>
              <w:jc w:val="right"/>
              <w:rPr>
                <w:rFonts w:ascii="Arial Narrow" w:hAnsi="Arial Narrow"/>
                <w:b/>
                <w:bCs/>
                <w:sz w:val="18"/>
                <w:szCs w:val="18"/>
              </w:rPr>
            </w:pPr>
          </w:p>
        </w:tc>
        <w:tc>
          <w:tcPr>
            <w:tcW w:w="200" w:type="dxa"/>
            <w:tcBorders>
              <w:top w:val="nil"/>
              <w:left w:val="nil"/>
              <w:bottom w:val="nil"/>
              <w:right w:val="nil"/>
            </w:tcBorders>
            <w:shd w:val="clear" w:color="auto" w:fill="auto"/>
            <w:noWrap/>
            <w:vAlign w:val="center"/>
            <w:hideMark/>
          </w:tcPr>
          <w:p w:rsidR="00EA7147" w:rsidRDefault="00EA7147">
            <w:pPr>
              <w:rPr>
                <w:sz w:val="20"/>
                <w:szCs w:val="20"/>
              </w:rPr>
            </w:pPr>
          </w:p>
        </w:tc>
        <w:tc>
          <w:tcPr>
            <w:tcW w:w="225" w:type="dxa"/>
            <w:tcBorders>
              <w:top w:val="nil"/>
              <w:left w:val="nil"/>
              <w:bottom w:val="nil"/>
              <w:right w:val="nil"/>
            </w:tcBorders>
            <w:shd w:val="clear" w:color="auto" w:fill="auto"/>
            <w:noWrap/>
            <w:vAlign w:val="center"/>
            <w:hideMark/>
          </w:tcPr>
          <w:p w:rsidR="00EA7147" w:rsidRDefault="00EA7147">
            <w:pPr>
              <w:rPr>
                <w:sz w:val="20"/>
                <w:szCs w:val="20"/>
              </w:rPr>
            </w:pPr>
          </w:p>
        </w:tc>
        <w:tc>
          <w:tcPr>
            <w:tcW w:w="160" w:type="dxa"/>
            <w:tcBorders>
              <w:top w:val="nil"/>
              <w:left w:val="nil"/>
              <w:bottom w:val="nil"/>
              <w:right w:val="nil"/>
            </w:tcBorders>
            <w:shd w:val="clear" w:color="auto" w:fill="auto"/>
            <w:noWrap/>
            <w:vAlign w:val="center"/>
            <w:hideMark/>
          </w:tcPr>
          <w:p w:rsidR="00EA7147" w:rsidRDefault="00EA7147">
            <w:pPr>
              <w:rPr>
                <w:sz w:val="20"/>
                <w:szCs w:val="20"/>
              </w:rPr>
            </w:pPr>
          </w:p>
        </w:tc>
        <w:tc>
          <w:tcPr>
            <w:tcW w:w="3752" w:type="dxa"/>
            <w:tcBorders>
              <w:top w:val="nil"/>
              <w:left w:val="nil"/>
              <w:bottom w:val="nil"/>
              <w:right w:val="single" w:sz="4" w:space="0" w:color="FF0000"/>
            </w:tcBorders>
            <w:shd w:val="clear" w:color="auto" w:fill="auto"/>
            <w:noWrap/>
            <w:vAlign w:val="center"/>
            <w:hideMark/>
          </w:tcPr>
          <w:p w:rsidR="00EA7147" w:rsidRDefault="00EA7147">
            <w:pPr>
              <w:rPr>
                <w:rFonts w:ascii="Arial Narrow" w:hAnsi="Arial Narrow"/>
                <w:sz w:val="18"/>
                <w:szCs w:val="18"/>
              </w:rPr>
            </w:pPr>
            <w:r>
              <w:rPr>
                <w:rFonts w:ascii="Arial Narrow" w:hAnsi="Arial Narrow"/>
                <w:sz w:val="18"/>
                <w:szCs w:val="18"/>
              </w:rPr>
              <w:t>Podpora príjmu</w:t>
            </w:r>
          </w:p>
        </w:tc>
        <w:tc>
          <w:tcPr>
            <w:tcW w:w="993"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572"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849"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990" w:type="dxa"/>
            <w:tcBorders>
              <w:top w:val="nil"/>
              <w:left w:val="nil"/>
              <w:bottom w:val="nil"/>
              <w:right w:val="nil"/>
            </w:tcBorders>
            <w:shd w:val="clear" w:color="auto" w:fill="auto"/>
            <w:noWrap/>
            <w:vAlign w:val="bottom"/>
            <w:hideMark/>
          </w:tcPr>
          <w:p w:rsidR="00EA7147" w:rsidRDefault="007B7FAB">
            <w:pPr>
              <w:jc w:val="right"/>
              <w:rPr>
                <w:rFonts w:ascii="Arial Narrow" w:hAnsi="Arial Narrow"/>
                <w:sz w:val="18"/>
                <w:szCs w:val="18"/>
              </w:rPr>
            </w:pPr>
            <w:r>
              <w:rPr>
                <w:rFonts w:ascii="Arial Narrow" w:hAnsi="Arial Narrow"/>
                <w:sz w:val="18"/>
                <w:szCs w:val="18"/>
              </w:rPr>
              <w:t>x</w:t>
            </w:r>
          </w:p>
        </w:tc>
      </w:tr>
      <w:tr w:rsidR="00EA7147" w:rsidTr="00EA7147">
        <w:trPr>
          <w:trHeight w:val="225"/>
        </w:trPr>
        <w:tc>
          <w:tcPr>
            <w:tcW w:w="199" w:type="dxa"/>
            <w:tcBorders>
              <w:top w:val="nil"/>
              <w:left w:val="nil"/>
              <w:bottom w:val="nil"/>
              <w:right w:val="nil"/>
            </w:tcBorders>
            <w:shd w:val="clear" w:color="auto" w:fill="auto"/>
            <w:noWrap/>
            <w:vAlign w:val="bottom"/>
            <w:hideMark/>
          </w:tcPr>
          <w:p w:rsidR="00EA7147" w:rsidRDefault="00EA7147">
            <w:pPr>
              <w:jc w:val="right"/>
              <w:rPr>
                <w:rFonts w:ascii="Arial Narrow" w:hAnsi="Arial Narrow"/>
                <w:sz w:val="18"/>
                <w:szCs w:val="18"/>
              </w:rPr>
            </w:pPr>
          </w:p>
        </w:tc>
        <w:tc>
          <w:tcPr>
            <w:tcW w:w="200" w:type="dxa"/>
            <w:tcBorders>
              <w:top w:val="nil"/>
              <w:left w:val="nil"/>
              <w:bottom w:val="nil"/>
              <w:right w:val="nil"/>
            </w:tcBorders>
            <w:shd w:val="clear" w:color="auto" w:fill="auto"/>
            <w:noWrap/>
            <w:vAlign w:val="center"/>
            <w:hideMark/>
          </w:tcPr>
          <w:p w:rsidR="00EA7147" w:rsidRDefault="00EA7147">
            <w:pPr>
              <w:rPr>
                <w:sz w:val="20"/>
                <w:szCs w:val="20"/>
              </w:rPr>
            </w:pPr>
          </w:p>
        </w:tc>
        <w:tc>
          <w:tcPr>
            <w:tcW w:w="225" w:type="dxa"/>
            <w:tcBorders>
              <w:top w:val="nil"/>
              <w:left w:val="nil"/>
              <w:bottom w:val="nil"/>
              <w:right w:val="nil"/>
            </w:tcBorders>
            <w:shd w:val="clear" w:color="auto" w:fill="auto"/>
            <w:noWrap/>
            <w:vAlign w:val="center"/>
            <w:hideMark/>
          </w:tcPr>
          <w:p w:rsidR="00EA7147" w:rsidRDefault="00EA7147">
            <w:pPr>
              <w:rPr>
                <w:sz w:val="20"/>
                <w:szCs w:val="20"/>
              </w:rPr>
            </w:pPr>
          </w:p>
        </w:tc>
        <w:tc>
          <w:tcPr>
            <w:tcW w:w="160" w:type="dxa"/>
            <w:tcBorders>
              <w:top w:val="nil"/>
              <w:left w:val="nil"/>
              <w:bottom w:val="nil"/>
              <w:right w:val="nil"/>
            </w:tcBorders>
            <w:shd w:val="clear" w:color="auto" w:fill="auto"/>
            <w:noWrap/>
            <w:vAlign w:val="center"/>
            <w:hideMark/>
          </w:tcPr>
          <w:p w:rsidR="00EA7147" w:rsidRDefault="00EA7147">
            <w:pPr>
              <w:rPr>
                <w:sz w:val="20"/>
                <w:szCs w:val="20"/>
              </w:rPr>
            </w:pPr>
          </w:p>
        </w:tc>
        <w:tc>
          <w:tcPr>
            <w:tcW w:w="3752" w:type="dxa"/>
            <w:tcBorders>
              <w:top w:val="nil"/>
              <w:left w:val="nil"/>
              <w:bottom w:val="nil"/>
              <w:right w:val="single" w:sz="4" w:space="0" w:color="FF0000"/>
            </w:tcBorders>
            <w:shd w:val="clear" w:color="auto" w:fill="auto"/>
            <w:noWrap/>
            <w:vAlign w:val="center"/>
            <w:hideMark/>
          </w:tcPr>
          <w:p w:rsidR="00EA7147" w:rsidRDefault="00EA7147">
            <w:pPr>
              <w:rPr>
                <w:rFonts w:ascii="Arial Narrow" w:hAnsi="Arial Narrow"/>
                <w:sz w:val="18"/>
                <w:szCs w:val="18"/>
              </w:rPr>
            </w:pPr>
            <w:r>
              <w:rPr>
                <w:rFonts w:ascii="Arial Narrow" w:hAnsi="Arial Narrow"/>
                <w:sz w:val="18"/>
                <w:szCs w:val="18"/>
              </w:rPr>
              <w:t>Iné peňažné periodické dávky</w:t>
            </w:r>
          </w:p>
        </w:tc>
        <w:tc>
          <w:tcPr>
            <w:tcW w:w="993"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572"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849"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990" w:type="dxa"/>
            <w:tcBorders>
              <w:top w:val="nil"/>
              <w:left w:val="nil"/>
              <w:bottom w:val="nil"/>
              <w:right w:val="nil"/>
            </w:tcBorders>
            <w:shd w:val="clear" w:color="auto" w:fill="auto"/>
            <w:noWrap/>
            <w:vAlign w:val="bottom"/>
            <w:hideMark/>
          </w:tcPr>
          <w:p w:rsidR="00EA7147" w:rsidRDefault="007B7FAB">
            <w:pPr>
              <w:jc w:val="right"/>
              <w:rPr>
                <w:rFonts w:ascii="Arial Narrow" w:hAnsi="Arial Narrow"/>
                <w:sz w:val="18"/>
                <w:szCs w:val="18"/>
              </w:rPr>
            </w:pPr>
            <w:r>
              <w:rPr>
                <w:rFonts w:ascii="Arial Narrow" w:hAnsi="Arial Narrow"/>
                <w:sz w:val="18"/>
                <w:szCs w:val="18"/>
              </w:rPr>
              <w:t>x</w:t>
            </w:r>
          </w:p>
        </w:tc>
      </w:tr>
      <w:tr w:rsidR="00EA7147" w:rsidTr="00EA7147">
        <w:trPr>
          <w:trHeight w:val="225"/>
        </w:trPr>
        <w:tc>
          <w:tcPr>
            <w:tcW w:w="199" w:type="dxa"/>
            <w:tcBorders>
              <w:top w:val="nil"/>
              <w:left w:val="nil"/>
              <w:bottom w:val="nil"/>
              <w:right w:val="nil"/>
            </w:tcBorders>
            <w:shd w:val="clear" w:color="auto" w:fill="auto"/>
            <w:noWrap/>
            <w:vAlign w:val="bottom"/>
            <w:hideMark/>
          </w:tcPr>
          <w:p w:rsidR="00EA7147" w:rsidRDefault="00EA7147">
            <w:pPr>
              <w:jc w:val="right"/>
              <w:rPr>
                <w:rFonts w:ascii="Arial Narrow" w:hAnsi="Arial Narrow"/>
                <w:sz w:val="18"/>
                <w:szCs w:val="18"/>
              </w:rPr>
            </w:pPr>
          </w:p>
        </w:tc>
        <w:tc>
          <w:tcPr>
            <w:tcW w:w="200" w:type="dxa"/>
            <w:tcBorders>
              <w:top w:val="nil"/>
              <w:left w:val="nil"/>
              <w:bottom w:val="nil"/>
              <w:right w:val="nil"/>
            </w:tcBorders>
            <w:shd w:val="clear" w:color="auto" w:fill="auto"/>
            <w:noWrap/>
            <w:vAlign w:val="center"/>
            <w:hideMark/>
          </w:tcPr>
          <w:p w:rsidR="00EA7147" w:rsidRDefault="00EA7147">
            <w:pPr>
              <w:rPr>
                <w:sz w:val="20"/>
                <w:szCs w:val="20"/>
              </w:rPr>
            </w:pPr>
          </w:p>
        </w:tc>
        <w:tc>
          <w:tcPr>
            <w:tcW w:w="225" w:type="dxa"/>
            <w:tcBorders>
              <w:top w:val="nil"/>
              <w:left w:val="nil"/>
              <w:bottom w:val="nil"/>
              <w:right w:val="nil"/>
            </w:tcBorders>
            <w:shd w:val="clear" w:color="auto" w:fill="auto"/>
            <w:noWrap/>
            <w:vAlign w:val="center"/>
            <w:hideMark/>
          </w:tcPr>
          <w:p w:rsidR="00EA7147" w:rsidRDefault="00EA7147">
            <w:pPr>
              <w:rPr>
                <w:sz w:val="20"/>
                <w:szCs w:val="20"/>
              </w:rPr>
            </w:pPr>
          </w:p>
        </w:tc>
        <w:tc>
          <w:tcPr>
            <w:tcW w:w="3912" w:type="dxa"/>
            <w:gridSpan w:val="2"/>
            <w:tcBorders>
              <w:top w:val="nil"/>
              <w:left w:val="nil"/>
              <w:bottom w:val="nil"/>
              <w:right w:val="single" w:sz="4" w:space="0" w:color="FF0000"/>
            </w:tcBorders>
            <w:shd w:val="clear" w:color="auto" w:fill="auto"/>
            <w:noWrap/>
            <w:vAlign w:val="center"/>
            <w:hideMark/>
          </w:tcPr>
          <w:p w:rsidR="00EA7147" w:rsidRDefault="00EA7147">
            <w:pPr>
              <w:rPr>
                <w:rFonts w:ascii="Arial Narrow" w:hAnsi="Arial Narrow"/>
                <w:b/>
                <w:bCs/>
                <w:sz w:val="18"/>
                <w:szCs w:val="18"/>
              </w:rPr>
            </w:pPr>
            <w:r>
              <w:rPr>
                <w:rFonts w:ascii="Arial Narrow" w:hAnsi="Arial Narrow"/>
                <w:b/>
                <w:bCs/>
                <w:sz w:val="18"/>
                <w:szCs w:val="18"/>
              </w:rPr>
              <w:t>Jednorazové</w:t>
            </w:r>
          </w:p>
        </w:tc>
        <w:tc>
          <w:tcPr>
            <w:tcW w:w="993" w:type="dxa"/>
            <w:tcBorders>
              <w:top w:val="nil"/>
              <w:left w:val="nil"/>
              <w:bottom w:val="nil"/>
              <w:right w:val="single" w:sz="4" w:space="0" w:color="FF0000"/>
            </w:tcBorders>
            <w:shd w:val="clear" w:color="auto" w:fill="auto"/>
            <w:noWrap/>
            <w:vAlign w:val="bottom"/>
            <w:hideMark/>
          </w:tcPr>
          <w:p w:rsidR="00EA7147" w:rsidRPr="002E01F1" w:rsidRDefault="00EA7147">
            <w:pPr>
              <w:jc w:val="right"/>
              <w:rPr>
                <w:rFonts w:ascii="Arial Narrow" w:hAnsi="Arial Narrow"/>
                <w:b/>
                <w:sz w:val="18"/>
                <w:szCs w:val="18"/>
              </w:rPr>
            </w:pPr>
            <w:r w:rsidRPr="002E01F1">
              <w:rPr>
                <w:rFonts w:ascii="Arial Narrow" w:hAnsi="Arial Narrow"/>
                <w:b/>
                <w:sz w:val="18"/>
                <w:szCs w:val="18"/>
              </w:rPr>
              <w:t>0,0</w:t>
            </w:r>
          </w:p>
        </w:tc>
        <w:tc>
          <w:tcPr>
            <w:tcW w:w="572" w:type="dxa"/>
            <w:tcBorders>
              <w:top w:val="nil"/>
              <w:left w:val="nil"/>
              <w:bottom w:val="nil"/>
              <w:right w:val="single" w:sz="4" w:space="0" w:color="FF0000"/>
            </w:tcBorders>
            <w:shd w:val="clear" w:color="auto" w:fill="auto"/>
            <w:noWrap/>
            <w:vAlign w:val="bottom"/>
            <w:hideMark/>
          </w:tcPr>
          <w:p w:rsidR="00EA7147" w:rsidRPr="002E01F1" w:rsidRDefault="00EA7147">
            <w:pPr>
              <w:jc w:val="right"/>
              <w:rPr>
                <w:rFonts w:ascii="Arial Narrow" w:hAnsi="Arial Narrow"/>
                <w:b/>
                <w:sz w:val="18"/>
                <w:szCs w:val="18"/>
              </w:rPr>
            </w:pPr>
            <w:r w:rsidRPr="002E01F1">
              <w:rPr>
                <w:rFonts w:ascii="Arial Narrow" w:hAnsi="Arial Narrow"/>
                <w:b/>
                <w:sz w:val="18"/>
                <w:szCs w:val="18"/>
              </w:rPr>
              <w:t>0,0</w:t>
            </w:r>
          </w:p>
        </w:tc>
        <w:tc>
          <w:tcPr>
            <w:tcW w:w="849" w:type="dxa"/>
            <w:tcBorders>
              <w:top w:val="nil"/>
              <w:left w:val="nil"/>
              <w:bottom w:val="nil"/>
              <w:right w:val="single" w:sz="4" w:space="0" w:color="FF0000"/>
            </w:tcBorders>
            <w:shd w:val="clear" w:color="auto" w:fill="auto"/>
            <w:noWrap/>
            <w:vAlign w:val="bottom"/>
            <w:hideMark/>
          </w:tcPr>
          <w:p w:rsidR="00EA7147" w:rsidRPr="002E01F1" w:rsidRDefault="00EA7147">
            <w:pPr>
              <w:jc w:val="right"/>
              <w:rPr>
                <w:rFonts w:ascii="Arial Narrow" w:hAnsi="Arial Narrow"/>
                <w:b/>
                <w:sz w:val="18"/>
                <w:szCs w:val="18"/>
              </w:rPr>
            </w:pPr>
            <w:r w:rsidRPr="002E01F1">
              <w:rPr>
                <w:rFonts w:ascii="Arial Narrow" w:hAnsi="Arial Narrow"/>
                <w:b/>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Pr="002E01F1" w:rsidRDefault="00EA7147">
            <w:pPr>
              <w:jc w:val="right"/>
              <w:rPr>
                <w:rFonts w:ascii="Arial Narrow" w:hAnsi="Arial Narrow"/>
                <w:b/>
                <w:sz w:val="18"/>
                <w:szCs w:val="18"/>
              </w:rPr>
            </w:pPr>
            <w:r w:rsidRPr="002E01F1">
              <w:rPr>
                <w:rFonts w:ascii="Arial Narrow" w:hAnsi="Arial Narrow"/>
                <w:b/>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Pr="002E01F1" w:rsidRDefault="00EA7147">
            <w:pPr>
              <w:jc w:val="right"/>
              <w:rPr>
                <w:rFonts w:ascii="Arial Narrow" w:hAnsi="Arial Narrow"/>
                <w:b/>
                <w:sz w:val="18"/>
                <w:szCs w:val="18"/>
              </w:rPr>
            </w:pPr>
            <w:r w:rsidRPr="002E01F1">
              <w:rPr>
                <w:rFonts w:ascii="Arial Narrow" w:hAnsi="Arial Narrow"/>
                <w:b/>
                <w:sz w:val="18"/>
                <w:szCs w:val="18"/>
              </w:rPr>
              <w:t>0,0</w:t>
            </w:r>
          </w:p>
        </w:tc>
        <w:tc>
          <w:tcPr>
            <w:tcW w:w="990" w:type="dxa"/>
            <w:tcBorders>
              <w:top w:val="nil"/>
              <w:left w:val="nil"/>
              <w:bottom w:val="nil"/>
              <w:right w:val="nil"/>
            </w:tcBorders>
            <w:shd w:val="clear" w:color="auto" w:fill="auto"/>
            <w:noWrap/>
            <w:vAlign w:val="bottom"/>
            <w:hideMark/>
          </w:tcPr>
          <w:p w:rsidR="00EA7147" w:rsidRPr="002E01F1" w:rsidRDefault="007B7FAB">
            <w:pPr>
              <w:jc w:val="right"/>
              <w:rPr>
                <w:rFonts w:ascii="Arial Narrow" w:hAnsi="Arial Narrow"/>
                <w:b/>
                <w:sz w:val="18"/>
                <w:szCs w:val="18"/>
              </w:rPr>
            </w:pPr>
            <w:r w:rsidRPr="002E01F1">
              <w:rPr>
                <w:rFonts w:ascii="Arial Narrow" w:hAnsi="Arial Narrow"/>
                <w:b/>
                <w:sz w:val="18"/>
                <w:szCs w:val="18"/>
              </w:rPr>
              <w:t>x</w:t>
            </w:r>
          </w:p>
        </w:tc>
      </w:tr>
      <w:tr w:rsidR="00EA7147" w:rsidTr="00EA7147">
        <w:trPr>
          <w:trHeight w:val="225"/>
        </w:trPr>
        <w:tc>
          <w:tcPr>
            <w:tcW w:w="199" w:type="dxa"/>
            <w:tcBorders>
              <w:top w:val="nil"/>
              <w:left w:val="nil"/>
              <w:bottom w:val="nil"/>
              <w:right w:val="nil"/>
            </w:tcBorders>
            <w:shd w:val="clear" w:color="auto" w:fill="auto"/>
            <w:noWrap/>
            <w:vAlign w:val="bottom"/>
            <w:hideMark/>
          </w:tcPr>
          <w:p w:rsidR="00EA7147" w:rsidRDefault="00EA7147">
            <w:pPr>
              <w:jc w:val="right"/>
              <w:rPr>
                <w:rFonts w:ascii="Arial Narrow" w:hAnsi="Arial Narrow"/>
                <w:sz w:val="18"/>
                <w:szCs w:val="18"/>
              </w:rPr>
            </w:pPr>
          </w:p>
        </w:tc>
        <w:tc>
          <w:tcPr>
            <w:tcW w:w="200" w:type="dxa"/>
            <w:tcBorders>
              <w:top w:val="nil"/>
              <w:left w:val="nil"/>
              <w:bottom w:val="nil"/>
              <w:right w:val="nil"/>
            </w:tcBorders>
            <w:shd w:val="clear" w:color="auto" w:fill="auto"/>
            <w:noWrap/>
            <w:vAlign w:val="center"/>
            <w:hideMark/>
          </w:tcPr>
          <w:p w:rsidR="00EA7147" w:rsidRDefault="00EA7147">
            <w:pPr>
              <w:rPr>
                <w:sz w:val="20"/>
                <w:szCs w:val="20"/>
              </w:rPr>
            </w:pPr>
          </w:p>
        </w:tc>
        <w:tc>
          <w:tcPr>
            <w:tcW w:w="225" w:type="dxa"/>
            <w:tcBorders>
              <w:top w:val="nil"/>
              <w:left w:val="nil"/>
              <w:bottom w:val="nil"/>
              <w:right w:val="nil"/>
            </w:tcBorders>
            <w:shd w:val="clear" w:color="auto" w:fill="auto"/>
            <w:noWrap/>
            <w:vAlign w:val="center"/>
            <w:hideMark/>
          </w:tcPr>
          <w:p w:rsidR="00EA7147" w:rsidRDefault="00EA7147">
            <w:pPr>
              <w:rPr>
                <w:sz w:val="20"/>
                <w:szCs w:val="20"/>
              </w:rPr>
            </w:pPr>
          </w:p>
        </w:tc>
        <w:tc>
          <w:tcPr>
            <w:tcW w:w="160" w:type="dxa"/>
            <w:tcBorders>
              <w:top w:val="nil"/>
              <w:left w:val="nil"/>
              <w:bottom w:val="nil"/>
              <w:right w:val="nil"/>
            </w:tcBorders>
            <w:shd w:val="clear" w:color="auto" w:fill="auto"/>
            <w:noWrap/>
            <w:vAlign w:val="bottom"/>
            <w:hideMark/>
          </w:tcPr>
          <w:p w:rsidR="00EA7147" w:rsidRDefault="00EA7147">
            <w:pPr>
              <w:rPr>
                <w:sz w:val="20"/>
                <w:szCs w:val="20"/>
              </w:rPr>
            </w:pPr>
          </w:p>
        </w:tc>
        <w:tc>
          <w:tcPr>
            <w:tcW w:w="3752" w:type="dxa"/>
            <w:tcBorders>
              <w:top w:val="nil"/>
              <w:left w:val="nil"/>
              <w:bottom w:val="nil"/>
              <w:right w:val="single" w:sz="4" w:space="0" w:color="FF0000"/>
            </w:tcBorders>
            <w:shd w:val="clear" w:color="auto" w:fill="auto"/>
            <w:noWrap/>
            <w:vAlign w:val="center"/>
            <w:hideMark/>
          </w:tcPr>
          <w:p w:rsidR="00EA7147" w:rsidRDefault="00EA7147">
            <w:pPr>
              <w:rPr>
                <w:rFonts w:ascii="Arial Narrow" w:hAnsi="Arial Narrow"/>
                <w:sz w:val="18"/>
                <w:szCs w:val="18"/>
              </w:rPr>
            </w:pPr>
            <w:r>
              <w:rPr>
                <w:rFonts w:ascii="Arial Narrow" w:hAnsi="Arial Narrow"/>
                <w:sz w:val="18"/>
                <w:szCs w:val="18"/>
              </w:rPr>
              <w:t>Iné peňažné jednorazové dávky</w:t>
            </w:r>
          </w:p>
        </w:tc>
        <w:tc>
          <w:tcPr>
            <w:tcW w:w="993"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572"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849"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990" w:type="dxa"/>
            <w:tcBorders>
              <w:top w:val="nil"/>
              <w:left w:val="nil"/>
              <w:bottom w:val="nil"/>
              <w:right w:val="nil"/>
            </w:tcBorders>
            <w:shd w:val="clear" w:color="auto" w:fill="auto"/>
            <w:noWrap/>
            <w:vAlign w:val="bottom"/>
            <w:hideMark/>
          </w:tcPr>
          <w:p w:rsidR="00EA7147" w:rsidRDefault="007B7FAB">
            <w:pPr>
              <w:jc w:val="right"/>
              <w:rPr>
                <w:rFonts w:ascii="Arial Narrow" w:hAnsi="Arial Narrow"/>
                <w:sz w:val="18"/>
                <w:szCs w:val="18"/>
              </w:rPr>
            </w:pPr>
            <w:r>
              <w:rPr>
                <w:rFonts w:ascii="Arial Narrow" w:hAnsi="Arial Narrow"/>
                <w:sz w:val="18"/>
                <w:szCs w:val="18"/>
              </w:rPr>
              <w:t>x</w:t>
            </w:r>
          </w:p>
        </w:tc>
      </w:tr>
      <w:tr w:rsidR="002E01F1" w:rsidTr="00EA7147">
        <w:trPr>
          <w:trHeight w:val="225"/>
        </w:trPr>
        <w:tc>
          <w:tcPr>
            <w:tcW w:w="199" w:type="dxa"/>
            <w:tcBorders>
              <w:top w:val="nil"/>
              <w:left w:val="nil"/>
              <w:bottom w:val="nil"/>
              <w:right w:val="nil"/>
            </w:tcBorders>
            <w:shd w:val="clear" w:color="000000" w:fill="E2EFDA"/>
            <w:noWrap/>
            <w:vAlign w:val="bottom"/>
            <w:hideMark/>
          </w:tcPr>
          <w:p w:rsidR="002E01F1" w:rsidRDefault="002E01F1" w:rsidP="002E01F1">
            <w:pPr>
              <w:rPr>
                <w:rFonts w:ascii="Arial Narrow" w:hAnsi="Arial Narrow"/>
                <w:b/>
                <w:bCs/>
                <w:sz w:val="18"/>
                <w:szCs w:val="18"/>
              </w:rPr>
            </w:pPr>
            <w:r>
              <w:rPr>
                <w:rFonts w:ascii="Arial Narrow" w:hAnsi="Arial Narrow"/>
                <w:b/>
                <w:bCs/>
                <w:sz w:val="18"/>
                <w:szCs w:val="18"/>
              </w:rPr>
              <w:t> </w:t>
            </w:r>
          </w:p>
        </w:tc>
        <w:tc>
          <w:tcPr>
            <w:tcW w:w="200" w:type="dxa"/>
            <w:tcBorders>
              <w:top w:val="nil"/>
              <w:left w:val="nil"/>
              <w:bottom w:val="nil"/>
              <w:right w:val="nil"/>
            </w:tcBorders>
            <w:shd w:val="clear" w:color="000000" w:fill="E2EFDA"/>
            <w:noWrap/>
            <w:vAlign w:val="bottom"/>
            <w:hideMark/>
          </w:tcPr>
          <w:p w:rsidR="002E01F1" w:rsidRDefault="002E01F1" w:rsidP="002E01F1">
            <w:pPr>
              <w:rPr>
                <w:rFonts w:ascii="Arial Narrow" w:hAnsi="Arial Narrow"/>
                <w:b/>
                <w:bCs/>
                <w:color w:val="FFFFFF"/>
                <w:sz w:val="18"/>
                <w:szCs w:val="18"/>
              </w:rPr>
            </w:pPr>
            <w:r>
              <w:rPr>
                <w:rFonts w:ascii="Arial Narrow" w:hAnsi="Arial Narrow"/>
                <w:b/>
                <w:bCs/>
                <w:color w:val="FFFFFF"/>
                <w:sz w:val="18"/>
                <w:szCs w:val="18"/>
              </w:rPr>
              <w:t> </w:t>
            </w:r>
          </w:p>
        </w:tc>
        <w:tc>
          <w:tcPr>
            <w:tcW w:w="4137" w:type="dxa"/>
            <w:gridSpan w:val="3"/>
            <w:tcBorders>
              <w:top w:val="nil"/>
              <w:left w:val="nil"/>
              <w:bottom w:val="nil"/>
              <w:right w:val="single" w:sz="4" w:space="0" w:color="FF0000"/>
            </w:tcBorders>
            <w:shd w:val="clear" w:color="000000" w:fill="E2EFDA"/>
            <w:noWrap/>
            <w:vAlign w:val="center"/>
            <w:hideMark/>
          </w:tcPr>
          <w:p w:rsidR="002E01F1" w:rsidRDefault="002E01F1" w:rsidP="002E01F1">
            <w:pPr>
              <w:rPr>
                <w:rFonts w:ascii="Arial Narrow" w:hAnsi="Arial Narrow"/>
                <w:b/>
                <w:bCs/>
                <w:sz w:val="18"/>
                <w:szCs w:val="18"/>
              </w:rPr>
            </w:pPr>
            <w:r>
              <w:rPr>
                <w:rFonts w:ascii="Arial Narrow" w:hAnsi="Arial Narrow"/>
                <w:b/>
                <w:bCs/>
                <w:sz w:val="18"/>
                <w:szCs w:val="18"/>
              </w:rPr>
              <w:t>Vecné dávky</w:t>
            </w:r>
          </w:p>
        </w:tc>
        <w:tc>
          <w:tcPr>
            <w:tcW w:w="993" w:type="dxa"/>
            <w:tcBorders>
              <w:top w:val="nil"/>
              <w:left w:val="nil"/>
              <w:bottom w:val="nil"/>
              <w:right w:val="single" w:sz="4" w:space="0" w:color="FF0000"/>
            </w:tcBorders>
            <w:shd w:val="clear" w:color="000000" w:fill="E2EFDA"/>
            <w:noWrap/>
            <w:vAlign w:val="bottom"/>
            <w:hideMark/>
          </w:tcPr>
          <w:p w:rsidR="002E01F1" w:rsidRDefault="002E01F1" w:rsidP="002E01F1">
            <w:pPr>
              <w:jc w:val="right"/>
              <w:rPr>
                <w:rFonts w:ascii="Arial Narrow" w:hAnsi="Arial Narrow" w:cs="Calibri"/>
                <w:b/>
                <w:bCs/>
                <w:sz w:val="18"/>
                <w:szCs w:val="18"/>
                <w:lang w:eastAsia="sk-SK"/>
              </w:rPr>
            </w:pPr>
            <w:r>
              <w:rPr>
                <w:rFonts w:ascii="Arial Narrow" w:hAnsi="Arial Narrow" w:cs="Calibri"/>
                <w:b/>
                <w:bCs/>
                <w:sz w:val="18"/>
                <w:szCs w:val="18"/>
              </w:rPr>
              <w:t>46,0</w:t>
            </w:r>
          </w:p>
        </w:tc>
        <w:tc>
          <w:tcPr>
            <w:tcW w:w="572" w:type="dxa"/>
            <w:tcBorders>
              <w:top w:val="nil"/>
              <w:left w:val="nil"/>
              <w:bottom w:val="nil"/>
              <w:right w:val="single" w:sz="4" w:space="0" w:color="FF0000"/>
            </w:tcBorders>
            <w:shd w:val="clear" w:color="000000" w:fill="E2EFDA"/>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22,3</w:t>
            </w:r>
          </w:p>
        </w:tc>
        <w:tc>
          <w:tcPr>
            <w:tcW w:w="849" w:type="dxa"/>
            <w:tcBorders>
              <w:top w:val="nil"/>
              <w:left w:val="nil"/>
              <w:bottom w:val="nil"/>
              <w:right w:val="single" w:sz="4" w:space="0" w:color="FF0000"/>
            </w:tcBorders>
            <w:shd w:val="clear" w:color="000000" w:fill="E2EFDA"/>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7,3</w:t>
            </w:r>
          </w:p>
        </w:tc>
        <w:tc>
          <w:tcPr>
            <w:tcW w:w="708" w:type="dxa"/>
            <w:tcBorders>
              <w:top w:val="nil"/>
              <w:left w:val="nil"/>
              <w:bottom w:val="nil"/>
              <w:right w:val="single" w:sz="4" w:space="0" w:color="FF0000"/>
            </w:tcBorders>
            <w:shd w:val="clear" w:color="000000" w:fill="E2EFDA"/>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11,6</w:t>
            </w:r>
          </w:p>
        </w:tc>
        <w:tc>
          <w:tcPr>
            <w:tcW w:w="708" w:type="dxa"/>
            <w:tcBorders>
              <w:top w:val="nil"/>
              <w:left w:val="nil"/>
              <w:bottom w:val="nil"/>
              <w:right w:val="single" w:sz="4" w:space="0" w:color="FF0000"/>
            </w:tcBorders>
            <w:shd w:val="clear" w:color="000000" w:fill="E2EFDA"/>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0,0</w:t>
            </w:r>
          </w:p>
        </w:tc>
        <w:tc>
          <w:tcPr>
            <w:tcW w:w="990" w:type="dxa"/>
            <w:tcBorders>
              <w:top w:val="nil"/>
              <w:left w:val="nil"/>
              <w:bottom w:val="nil"/>
              <w:right w:val="nil"/>
            </w:tcBorders>
            <w:shd w:val="clear" w:color="000000" w:fill="E2EFDA"/>
            <w:noWrap/>
            <w:vAlign w:val="bottom"/>
            <w:hideMark/>
          </w:tcPr>
          <w:p w:rsidR="002E01F1" w:rsidRDefault="00205B41" w:rsidP="002E01F1">
            <w:pPr>
              <w:jc w:val="right"/>
              <w:rPr>
                <w:rFonts w:ascii="Arial Narrow" w:hAnsi="Arial Narrow" w:cs="Calibri"/>
                <w:b/>
                <w:bCs/>
                <w:sz w:val="18"/>
                <w:szCs w:val="18"/>
              </w:rPr>
            </w:pPr>
            <w:r>
              <w:rPr>
                <w:rFonts w:ascii="Arial Narrow" w:hAnsi="Arial Narrow" w:cs="Calibri"/>
                <w:b/>
                <w:bCs/>
                <w:sz w:val="18"/>
                <w:szCs w:val="18"/>
              </w:rPr>
              <w:t>113,0</w:t>
            </w:r>
          </w:p>
        </w:tc>
      </w:tr>
      <w:tr w:rsidR="002E01F1" w:rsidTr="00EA7147">
        <w:trPr>
          <w:trHeight w:val="225"/>
        </w:trPr>
        <w:tc>
          <w:tcPr>
            <w:tcW w:w="199" w:type="dxa"/>
            <w:tcBorders>
              <w:top w:val="nil"/>
              <w:left w:val="nil"/>
              <w:bottom w:val="nil"/>
              <w:right w:val="nil"/>
            </w:tcBorders>
            <w:shd w:val="clear" w:color="auto" w:fill="auto"/>
            <w:noWrap/>
            <w:vAlign w:val="bottom"/>
            <w:hideMark/>
          </w:tcPr>
          <w:p w:rsidR="002E01F1" w:rsidRDefault="002E01F1" w:rsidP="002E01F1">
            <w:pPr>
              <w:jc w:val="right"/>
              <w:rPr>
                <w:rFonts w:ascii="Arial Narrow" w:hAnsi="Arial Narrow"/>
                <w:b/>
                <w:bCs/>
                <w:sz w:val="18"/>
                <w:szCs w:val="18"/>
              </w:rPr>
            </w:pPr>
          </w:p>
        </w:tc>
        <w:tc>
          <w:tcPr>
            <w:tcW w:w="200" w:type="dxa"/>
            <w:tcBorders>
              <w:top w:val="nil"/>
              <w:left w:val="nil"/>
              <w:bottom w:val="nil"/>
              <w:right w:val="nil"/>
            </w:tcBorders>
            <w:shd w:val="clear" w:color="auto" w:fill="auto"/>
            <w:noWrap/>
            <w:vAlign w:val="bottom"/>
            <w:hideMark/>
          </w:tcPr>
          <w:p w:rsidR="002E01F1" w:rsidRDefault="002E01F1" w:rsidP="002E01F1">
            <w:pPr>
              <w:rPr>
                <w:sz w:val="20"/>
                <w:szCs w:val="20"/>
              </w:rPr>
            </w:pPr>
          </w:p>
        </w:tc>
        <w:tc>
          <w:tcPr>
            <w:tcW w:w="225" w:type="dxa"/>
            <w:tcBorders>
              <w:top w:val="nil"/>
              <w:left w:val="nil"/>
              <w:bottom w:val="nil"/>
              <w:right w:val="nil"/>
            </w:tcBorders>
            <w:shd w:val="clear" w:color="auto" w:fill="auto"/>
            <w:noWrap/>
            <w:vAlign w:val="bottom"/>
            <w:hideMark/>
          </w:tcPr>
          <w:p w:rsidR="002E01F1" w:rsidRDefault="002E01F1" w:rsidP="002E01F1">
            <w:pPr>
              <w:rPr>
                <w:sz w:val="20"/>
                <w:szCs w:val="20"/>
              </w:rPr>
            </w:pPr>
          </w:p>
        </w:tc>
        <w:tc>
          <w:tcPr>
            <w:tcW w:w="3912" w:type="dxa"/>
            <w:gridSpan w:val="2"/>
            <w:tcBorders>
              <w:top w:val="nil"/>
              <w:left w:val="nil"/>
              <w:bottom w:val="nil"/>
              <w:right w:val="single" w:sz="4" w:space="0" w:color="FF0000"/>
            </w:tcBorders>
            <w:shd w:val="clear" w:color="auto" w:fill="auto"/>
            <w:noWrap/>
            <w:vAlign w:val="center"/>
            <w:hideMark/>
          </w:tcPr>
          <w:p w:rsidR="002E01F1" w:rsidRDefault="002E01F1" w:rsidP="002E01F1">
            <w:pPr>
              <w:rPr>
                <w:rFonts w:ascii="Arial Narrow" w:hAnsi="Arial Narrow"/>
                <w:sz w:val="18"/>
                <w:szCs w:val="18"/>
              </w:rPr>
            </w:pPr>
            <w:r>
              <w:rPr>
                <w:rFonts w:ascii="Arial Narrow" w:hAnsi="Arial Narrow"/>
                <w:sz w:val="18"/>
                <w:szCs w:val="18"/>
              </w:rPr>
              <w:t>Ubytovanie</w:t>
            </w:r>
          </w:p>
        </w:tc>
        <w:tc>
          <w:tcPr>
            <w:tcW w:w="993"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lang w:eastAsia="sk-SK"/>
              </w:rPr>
            </w:pPr>
            <w:r>
              <w:rPr>
                <w:rFonts w:ascii="Arial Narrow" w:hAnsi="Arial Narrow" w:cs="Calibri"/>
                <w:sz w:val="18"/>
                <w:szCs w:val="18"/>
              </w:rPr>
              <w:t>12,9</w:t>
            </w:r>
          </w:p>
        </w:tc>
        <w:tc>
          <w:tcPr>
            <w:tcW w:w="572"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6,3</w:t>
            </w:r>
          </w:p>
        </w:tc>
        <w:tc>
          <w:tcPr>
            <w:tcW w:w="849"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2,0</w:t>
            </w:r>
          </w:p>
        </w:tc>
        <w:tc>
          <w:tcPr>
            <w:tcW w:w="708"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3,3</w:t>
            </w:r>
          </w:p>
        </w:tc>
        <w:tc>
          <w:tcPr>
            <w:tcW w:w="708"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0,0</w:t>
            </w:r>
          </w:p>
        </w:tc>
        <w:tc>
          <w:tcPr>
            <w:tcW w:w="990" w:type="dxa"/>
            <w:tcBorders>
              <w:top w:val="nil"/>
              <w:left w:val="nil"/>
              <w:bottom w:val="nil"/>
              <w:right w:val="nil"/>
            </w:tcBorders>
            <w:shd w:val="clear" w:color="auto" w:fill="auto"/>
            <w:noWrap/>
            <w:vAlign w:val="bottom"/>
            <w:hideMark/>
          </w:tcPr>
          <w:p w:rsidR="002E01F1" w:rsidRDefault="00205B41" w:rsidP="002E01F1">
            <w:pPr>
              <w:jc w:val="right"/>
              <w:rPr>
                <w:rFonts w:ascii="Arial Narrow" w:hAnsi="Arial Narrow" w:cs="Calibri"/>
                <w:sz w:val="18"/>
                <w:szCs w:val="18"/>
              </w:rPr>
            </w:pPr>
            <w:r>
              <w:rPr>
                <w:rFonts w:ascii="Arial Narrow" w:hAnsi="Arial Narrow" w:cs="Calibri"/>
                <w:sz w:val="18"/>
                <w:szCs w:val="18"/>
              </w:rPr>
              <w:t>115,2</w:t>
            </w:r>
          </w:p>
        </w:tc>
      </w:tr>
      <w:tr w:rsidR="002E01F1" w:rsidTr="00EA7147">
        <w:trPr>
          <w:trHeight w:val="225"/>
        </w:trPr>
        <w:tc>
          <w:tcPr>
            <w:tcW w:w="199" w:type="dxa"/>
            <w:tcBorders>
              <w:top w:val="nil"/>
              <w:left w:val="nil"/>
              <w:bottom w:val="nil"/>
              <w:right w:val="nil"/>
            </w:tcBorders>
            <w:shd w:val="clear" w:color="auto" w:fill="auto"/>
            <w:vAlign w:val="center"/>
            <w:hideMark/>
          </w:tcPr>
          <w:p w:rsidR="002E01F1" w:rsidRDefault="002E01F1" w:rsidP="002E01F1">
            <w:pPr>
              <w:jc w:val="right"/>
              <w:rPr>
                <w:rFonts w:ascii="Arial Narrow" w:hAnsi="Arial Narrow"/>
                <w:sz w:val="18"/>
                <w:szCs w:val="18"/>
              </w:rPr>
            </w:pPr>
          </w:p>
        </w:tc>
        <w:tc>
          <w:tcPr>
            <w:tcW w:w="200" w:type="dxa"/>
            <w:tcBorders>
              <w:top w:val="nil"/>
              <w:left w:val="nil"/>
              <w:bottom w:val="nil"/>
              <w:right w:val="nil"/>
            </w:tcBorders>
            <w:shd w:val="clear" w:color="auto" w:fill="auto"/>
            <w:vAlign w:val="center"/>
            <w:hideMark/>
          </w:tcPr>
          <w:p w:rsidR="002E01F1" w:rsidRDefault="002E01F1" w:rsidP="002E01F1">
            <w:pPr>
              <w:rPr>
                <w:sz w:val="20"/>
                <w:szCs w:val="20"/>
              </w:rPr>
            </w:pPr>
          </w:p>
        </w:tc>
        <w:tc>
          <w:tcPr>
            <w:tcW w:w="225" w:type="dxa"/>
            <w:tcBorders>
              <w:top w:val="nil"/>
              <w:left w:val="nil"/>
              <w:bottom w:val="nil"/>
              <w:right w:val="nil"/>
            </w:tcBorders>
            <w:shd w:val="clear" w:color="auto" w:fill="auto"/>
            <w:vAlign w:val="center"/>
            <w:hideMark/>
          </w:tcPr>
          <w:p w:rsidR="002E01F1" w:rsidRDefault="002E01F1" w:rsidP="002E01F1">
            <w:pPr>
              <w:rPr>
                <w:sz w:val="20"/>
                <w:szCs w:val="20"/>
              </w:rPr>
            </w:pPr>
          </w:p>
        </w:tc>
        <w:tc>
          <w:tcPr>
            <w:tcW w:w="3912" w:type="dxa"/>
            <w:gridSpan w:val="2"/>
            <w:tcBorders>
              <w:top w:val="nil"/>
              <w:left w:val="nil"/>
              <w:bottom w:val="nil"/>
              <w:right w:val="single" w:sz="4" w:space="0" w:color="FF0000"/>
            </w:tcBorders>
            <w:shd w:val="clear" w:color="auto" w:fill="auto"/>
            <w:vAlign w:val="center"/>
            <w:hideMark/>
          </w:tcPr>
          <w:p w:rsidR="002E01F1" w:rsidRDefault="002E01F1" w:rsidP="002E01F1">
            <w:pPr>
              <w:rPr>
                <w:rFonts w:ascii="Arial Narrow" w:hAnsi="Arial Narrow"/>
                <w:sz w:val="18"/>
                <w:szCs w:val="18"/>
              </w:rPr>
            </w:pPr>
            <w:r>
              <w:rPr>
                <w:rFonts w:ascii="Arial Narrow" w:hAnsi="Arial Narrow"/>
                <w:sz w:val="18"/>
                <w:szCs w:val="18"/>
              </w:rPr>
              <w:t>Rehabilitácia alkoholikov a narkomanov</w:t>
            </w:r>
          </w:p>
        </w:tc>
        <w:tc>
          <w:tcPr>
            <w:tcW w:w="993"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lang w:eastAsia="sk-SK"/>
              </w:rPr>
            </w:pPr>
            <w:r>
              <w:rPr>
                <w:rFonts w:ascii="Arial Narrow" w:hAnsi="Arial Narrow" w:cs="Calibri"/>
                <w:sz w:val="18"/>
                <w:szCs w:val="18"/>
              </w:rPr>
              <w:t>1,5</w:t>
            </w:r>
          </w:p>
        </w:tc>
        <w:tc>
          <w:tcPr>
            <w:tcW w:w="572"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0,7</w:t>
            </w:r>
          </w:p>
        </w:tc>
        <w:tc>
          <w:tcPr>
            <w:tcW w:w="849"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0,2</w:t>
            </w:r>
          </w:p>
        </w:tc>
        <w:tc>
          <w:tcPr>
            <w:tcW w:w="708"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0,4</w:t>
            </w:r>
          </w:p>
        </w:tc>
        <w:tc>
          <w:tcPr>
            <w:tcW w:w="708"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0,0</w:t>
            </w:r>
          </w:p>
        </w:tc>
        <w:tc>
          <w:tcPr>
            <w:tcW w:w="990" w:type="dxa"/>
            <w:tcBorders>
              <w:top w:val="nil"/>
              <w:left w:val="nil"/>
              <w:bottom w:val="nil"/>
              <w:right w:val="nil"/>
            </w:tcBorders>
            <w:shd w:val="clear" w:color="auto" w:fill="auto"/>
            <w:noWrap/>
            <w:vAlign w:val="bottom"/>
            <w:hideMark/>
          </w:tcPr>
          <w:p w:rsidR="002E01F1" w:rsidRDefault="00205B41" w:rsidP="002E01F1">
            <w:pPr>
              <w:jc w:val="right"/>
              <w:rPr>
                <w:rFonts w:ascii="Arial Narrow" w:hAnsi="Arial Narrow" w:cs="Calibri"/>
                <w:sz w:val="18"/>
                <w:szCs w:val="18"/>
              </w:rPr>
            </w:pPr>
            <w:r>
              <w:rPr>
                <w:rFonts w:ascii="Arial Narrow" w:hAnsi="Arial Narrow" w:cs="Calibri"/>
                <w:sz w:val="18"/>
                <w:szCs w:val="18"/>
              </w:rPr>
              <w:t>125,0</w:t>
            </w:r>
          </w:p>
        </w:tc>
      </w:tr>
      <w:tr w:rsidR="002E01F1" w:rsidTr="00EA7147">
        <w:trPr>
          <w:trHeight w:val="225"/>
        </w:trPr>
        <w:tc>
          <w:tcPr>
            <w:tcW w:w="199" w:type="dxa"/>
            <w:tcBorders>
              <w:top w:val="nil"/>
              <w:left w:val="nil"/>
              <w:bottom w:val="nil"/>
              <w:right w:val="nil"/>
            </w:tcBorders>
            <w:shd w:val="clear" w:color="auto" w:fill="auto"/>
            <w:noWrap/>
            <w:vAlign w:val="bottom"/>
            <w:hideMark/>
          </w:tcPr>
          <w:p w:rsidR="002E01F1" w:rsidRDefault="002E01F1" w:rsidP="002E01F1">
            <w:pPr>
              <w:jc w:val="right"/>
              <w:rPr>
                <w:rFonts w:ascii="Arial Narrow" w:hAnsi="Arial Narrow"/>
                <w:sz w:val="18"/>
                <w:szCs w:val="18"/>
              </w:rPr>
            </w:pPr>
          </w:p>
        </w:tc>
        <w:tc>
          <w:tcPr>
            <w:tcW w:w="200" w:type="dxa"/>
            <w:tcBorders>
              <w:top w:val="nil"/>
              <w:left w:val="nil"/>
              <w:bottom w:val="nil"/>
              <w:right w:val="nil"/>
            </w:tcBorders>
            <w:shd w:val="clear" w:color="auto" w:fill="auto"/>
            <w:noWrap/>
            <w:vAlign w:val="bottom"/>
            <w:hideMark/>
          </w:tcPr>
          <w:p w:rsidR="002E01F1" w:rsidRDefault="002E01F1" w:rsidP="002E01F1">
            <w:pPr>
              <w:rPr>
                <w:sz w:val="20"/>
                <w:szCs w:val="20"/>
              </w:rPr>
            </w:pPr>
          </w:p>
        </w:tc>
        <w:tc>
          <w:tcPr>
            <w:tcW w:w="225" w:type="dxa"/>
            <w:tcBorders>
              <w:top w:val="nil"/>
              <w:left w:val="nil"/>
              <w:bottom w:val="nil"/>
              <w:right w:val="nil"/>
            </w:tcBorders>
            <w:shd w:val="clear" w:color="auto" w:fill="auto"/>
            <w:noWrap/>
            <w:vAlign w:val="bottom"/>
            <w:hideMark/>
          </w:tcPr>
          <w:p w:rsidR="002E01F1" w:rsidRDefault="002E01F1" w:rsidP="002E01F1">
            <w:pPr>
              <w:rPr>
                <w:sz w:val="20"/>
                <w:szCs w:val="20"/>
              </w:rPr>
            </w:pPr>
          </w:p>
        </w:tc>
        <w:tc>
          <w:tcPr>
            <w:tcW w:w="3912" w:type="dxa"/>
            <w:gridSpan w:val="2"/>
            <w:tcBorders>
              <w:top w:val="nil"/>
              <w:left w:val="nil"/>
              <w:bottom w:val="nil"/>
              <w:right w:val="single" w:sz="4" w:space="0" w:color="FF0000"/>
            </w:tcBorders>
            <w:shd w:val="clear" w:color="auto" w:fill="auto"/>
            <w:noWrap/>
            <w:vAlign w:val="center"/>
            <w:hideMark/>
          </w:tcPr>
          <w:p w:rsidR="002E01F1" w:rsidRDefault="002E01F1" w:rsidP="002E01F1">
            <w:pPr>
              <w:rPr>
                <w:rFonts w:ascii="Arial Narrow" w:hAnsi="Arial Narrow"/>
                <w:sz w:val="18"/>
                <w:szCs w:val="18"/>
              </w:rPr>
            </w:pPr>
            <w:r>
              <w:rPr>
                <w:rFonts w:ascii="Arial Narrow" w:hAnsi="Arial Narrow"/>
                <w:sz w:val="18"/>
                <w:szCs w:val="18"/>
              </w:rPr>
              <w:t>Iné vecné dávky</w:t>
            </w:r>
          </w:p>
        </w:tc>
        <w:tc>
          <w:tcPr>
            <w:tcW w:w="993"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lang w:eastAsia="sk-SK"/>
              </w:rPr>
            </w:pPr>
            <w:r>
              <w:rPr>
                <w:rFonts w:ascii="Arial Narrow" w:hAnsi="Arial Narrow" w:cs="Calibri"/>
                <w:sz w:val="18"/>
                <w:szCs w:val="18"/>
              </w:rPr>
              <w:t>31,6</w:t>
            </w:r>
          </w:p>
        </w:tc>
        <w:tc>
          <w:tcPr>
            <w:tcW w:w="572"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15,3</w:t>
            </w:r>
          </w:p>
        </w:tc>
        <w:tc>
          <w:tcPr>
            <w:tcW w:w="849"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5,0</w:t>
            </w:r>
          </w:p>
        </w:tc>
        <w:tc>
          <w:tcPr>
            <w:tcW w:w="708"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8,0</w:t>
            </w:r>
          </w:p>
        </w:tc>
        <w:tc>
          <w:tcPr>
            <w:tcW w:w="708"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0,0</w:t>
            </w:r>
          </w:p>
        </w:tc>
        <w:tc>
          <w:tcPr>
            <w:tcW w:w="990" w:type="dxa"/>
            <w:tcBorders>
              <w:top w:val="nil"/>
              <w:left w:val="nil"/>
              <w:bottom w:val="nil"/>
              <w:right w:val="nil"/>
            </w:tcBorders>
            <w:shd w:val="clear" w:color="auto" w:fill="auto"/>
            <w:noWrap/>
            <w:vAlign w:val="bottom"/>
            <w:hideMark/>
          </w:tcPr>
          <w:p w:rsidR="002E01F1" w:rsidRDefault="00205B41" w:rsidP="002E01F1">
            <w:pPr>
              <w:jc w:val="right"/>
              <w:rPr>
                <w:rFonts w:ascii="Arial Narrow" w:hAnsi="Arial Narrow" w:cs="Calibri"/>
                <w:sz w:val="18"/>
                <w:szCs w:val="18"/>
              </w:rPr>
            </w:pPr>
            <w:r>
              <w:rPr>
                <w:rFonts w:ascii="Arial Narrow" w:hAnsi="Arial Narrow" w:cs="Calibri"/>
                <w:sz w:val="18"/>
                <w:szCs w:val="18"/>
              </w:rPr>
              <w:t>111,7</w:t>
            </w:r>
          </w:p>
        </w:tc>
      </w:tr>
      <w:tr w:rsidR="002E01F1" w:rsidTr="00EF1D32">
        <w:trPr>
          <w:trHeight w:val="225"/>
        </w:trPr>
        <w:tc>
          <w:tcPr>
            <w:tcW w:w="199" w:type="dxa"/>
            <w:tcBorders>
              <w:top w:val="nil"/>
              <w:left w:val="nil"/>
              <w:bottom w:val="nil"/>
              <w:right w:val="nil"/>
            </w:tcBorders>
            <w:shd w:val="clear" w:color="auto" w:fill="C5E0B3" w:themeFill="accent6" w:themeFillTint="66"/>
            <w:noWrap/>
            <w:vAlign w:val="bottom"/>
            <w:hideMark/>
          </w:tcPr>
          <w:p w:rsidR="002E01F1" w:rsidRDefault="002E01F1" w:rsidP="002E01F1">
            <w:pPr>
              <w:rPr>
                <w:rFonts w:ascii="Arial Narrow" w:hAnsi="Arial Narrow"/>
                <w:b/>
                <w:bCs/>
                <w:sz w:val="18"/>
                <w:szCs w:val="18"/>
              </w:rPr>
            </w:pPr>
            <w:r>
              <w:rPr>
                <w:rFonts w:ascii="Arial Narrow" w:hAnsi="Arial Narrow"/>
                <w:b/>
                <w:bCs/>
                <w:sz w:val="18"/>
                <w:szCs w:val="18"/>
              </w:rPr>
              <w:t> </w:t>
            </w:r>
          </w:p>
        </w:tc>
        <w:tc>
          <w:tcPr>
            <w:tcW w:w="4337" w:type="dxa"/>
            <w:gridSpan w:val="4"/>
            <w:tcBorders>
              <w:top w:val="nil"/>
              <w:left w:val="nil"/>
              <w:bottom w:val="nil"/>
              <w:right w:val="single" w:sz="4" w:space="0" w:color="FF0000"/>
            </w:tcBorders>
            <w:shd w:val="clear" w:color="auto" w:fill="C5E0B3" w:themeFill="accent6" w:themeFillTint="66"/>
            <w:noWrap/>
            <w:vAlign w:val="center"/>
            <w:hideMark/>
          </w:tcPr>
          <w:p w:rsidR="002E01F1" w:rsidRDefault="002E01F1" w:rsidP="002E01F1">
            <w:pPr>
              <w:rPr>
                <w:rFonts w:ascii="Arial Narrow" w:hAnsi="Arial Narrow"/>
                <w:b/>
                <w:bCs/>
                <w:sz w:val="18"/>
                <w:szCs w:val="18"/>
              </w:rPr>
            </w:pPr>
            <w:r>
              <w:rPr>
                <w:rFonts w:ascii="Arial Narrow" w:hAnsi="Arial Narrow"/>
                <w:b/>
                <w:bCs/>
                <w:sz w:val="18"/>
                <w:szCs w:val="18"/>
              </w:rPr>
              <w:t>Testované dávky</w:t>
            </w:r>
          </w:p>
        </w:tc>
        <w:tc>
          <w:tcPr>
            <w:tcW w:w="993" w:type="dxa"/>
            <w:tcBorders>
              <w:top w:val="nil"/>
              <w:left w:val="nil"/>
              <w:bottom w:val="nil"/>
              <w:right w:val="single" w:sz="4" w:space="0" w:color="FF0000"/>
            </w:tcBorders>
            <w:shd w:val="clear" w:color="auto" w:fill="C5E0B3" w:themeFill="accent6" w:themeFillTint="66"/>
            <w:noWrap/>
            <w:vAlign w:val="bottom"/>
            <w:hideMark/>
          </w:tcPr>
          <w:p w:rsidR="002E01F1" w:rsidRDefault="002E01F1" w:rsidP="002E01F1">
            <w:pPr>
              <w:jc w:val="right"/>
              <w:rPr>
                <w:rFonts w:ascii="Arial Narrow" w:hAnsi="Arial Narrow" w:cs="Calibri"/>
                <w:b/>
                <w:bCs/>
                <w:sz w:val="18"/>
                <w:szCs w:val="18"/>
                <w:lang w:eastAsia="sk-SK"/>
              </w:rPr>
            </w:pPr>
            <w:r>
              <w:rPr>
                <w:rFonts w:ascii="Arial Narrow" w:hAnsi="Arial Narrow" w:cs="Calibri"/>
                <w:b/>
                <w:bCs/>
                <w:sz w:val="18"/>
                <w:szCs w:val="18"/>
              </w:rPr>
              <w:t>160,3</w:t>
            </w:r>
          </w:p>
        </w:tc>
        <w:tc>
          <w:tcPr>
            <w:tcW w:w="572" w:type="dxa"/>
            <w:tcBorders>
              <w:top w:val="nil"/>
              <w:left w:val="nil"/>
              <w:bottom w:val="nil"/>
              <w:right w:val="single" w:sz="4" w:space="0" w:color="FF0000"/>
            </w:tcBorders>
            <w:shd w:val="clear" w:color="auto" w:fill="C5E0B3" w:themeFill="accent6" w:themeFillTint="66"/>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77,7</w:t>
            </w:r>
          </w:p>
        </w:tc>
        <w:tc>
          <w:tcPr>
            <w:tcW w:w="849" w:type="dxa"/>
            <w:tcBorders>
              <w:top w:val="nil"/>
              <w:left w:val="nil"/>
              <w:bottom w:val="nil"/>
              <w:right w:val="single" w:sz="4" w:space="0" w:color="FF0000"/>
            </w:tcBorders>
            <w:shd w:val="clear" w:color="auto" w:fill="C5E0B3" w:themeFill="accent6" w:themeFillTint="66"/>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25,4</w:t>
            </w:r>
          </w:p>
        </w:tc>
        <w:tc>
          <w:tcPr>
            <w:tcW w:w="708" w:type="dxa"/>
            <w:tcBorders>
              <w:top w:val="nil"/>
              <w:left w:val="nil"/>
              <w:bottom w:val="nil"/>
              <w:right w:val="single" w:sz="4" w:space="0" w:color="FF0000"/>
            </w:tcBorders>
            <w:shd w:val="clear" w:color="auto" w:fill="C5E0B3" w:themeFill="accent6" w:themeFillTint="66"/>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40,5</w:t>
            </w:r>
          </w:p>
        </w:tc>
        <w:tc>
          <w:tcPr>
            <w:tcW w:w="708" w:type="dxa"/>
            <w:tcBorders>
              <w:top w:val="nil"/>
              <w:left w:val="nil"/>
              <w:bottom w:val="nil"/>
              <w:right w:val="single" w:sz="4" w:space="0" w:color="FF0000"/>
            </w:tcBorders>
            <w:shd w:val="clear" w:color="auto" w:fill="C5E0B3" w:themeFill="accent6" w:themeFillTint="66"/>
            <w:noWrap/>
            <w:vAlign w:val="bottom"/>
            <w:hideMark/>
          </w:tcPr>
          <w:p w:rsidR="002E01F1" w:rsidRDefault="002E01F1" w:rsidP="002E01F1">
            <w:pPr>
              <w:jc w:val="right"/>
              <w:rPr>
                <w:rFonts w:ascii="Arial Narrow" w:hAnsi="Arial Narrow" w:cs="Calibri"/>
                <w:b/>
                <w:bCs/>
                <w:sz w:val="18"/>
                <w:szCs w:val="18"/>
              </w:rPr>
            </w:pPr>
            <w:r>
              <w:rPr>
                <w:rFonts w:ascii="Arial Narrow" w:hAnsi="Arial Narrow" w:cs="Calibri"/>
                <w:b/>
                <w:bCs/>
                <w:sz w:val="18"/>
                <w:szCs w:val="18"/>
              </w:rPr>
              <w:t>0,2</w:t>
            </w:r>
          </w:p>
        </w:tc>
        <w:tc>
          <w:tcPr>
            <w:tcW w:w="990" w:type="dxa"/>
            <w:tcBorders>
              <w:top w:val="nil"/>
              <w:left w:val="nil"/>
              <w:bottom w:val="nil"/>
              <w:right w:val="nil"/>
            </w:tcBorders>
            <w:shd w:val="clear" w:color="auto" w:fill="C5E0B3" w:themeFill="accent6" w:themeFillTint="66"/>
            <w:noWrap/>
            <w:vAlign w:val="bottom"/>
            <w:hideMark/>
          </w:tcPr>
          <w:p w:rsidR="002E01F1" w:rsidRDefault="00205B41" w:rsidP="002E01F1">
            <w:pPr>
              <w:jc w:val="right"/>
              <w:rPr>
                <w:rFonts w:ascii="Arial Narrow" w:hAnsi="Arial Narrow" w:cs="Calibri"/>
                <w:b/>
                <w:bCs/>
                <w:sz w:val="18"/>
                <w:szCs w:val="18"/>
              </w:rPr>
            </w:pPr>
            <w:r>
              <w:rPr>
                <w:rFonts w:ascii="Arial Narrow" w:hAnsi="Arial Narrow" w:cs="Calibri"/>
                <w:b/>
                <w:bCs/>
                <w:sz w:val="18"/>
                <w:szCs w:val="18"/>
              </w:rPr>
              <w:t>113,3</w:t>
            </w:r>
          </w:p>
        </w:tc>
      </w:tr>
      <w:tr w:rsidR="002E01F1" w:rsidTr="00EA7147">
        <w:trPr>
          <w:trHeight w:val="225"/>
        </w:trPr>
        <w:tc>
          <w:tcPr>
            <w:tcW w:w="199" w:type="dxa"/>
            <w:tcBorders>
              <w:top w:val="nil"/>
              <w:left w:val="nil"/>
              <w:bottom w:val="nil"/>
              <w:right w:val="nil"/>
            </w:tcBorders>
            <w:shd w:val="clear" w:color="auto" w:fill="auto"/>
            <w:noWrap/>
            <w:vAlign w:val="bottom"/>
            <w:hideMark/>
          </w:tcPr>
          <w:p w:rsidR="002E01F1" w:rsidRDefault="002E01F1" w:rsidP="002E01F1">
            <w:pPr>
              <w:jc w:val="right"/>
              <w:rPr>
                <w:rFonts w:ascii="Arial Narrow" w:hAnsi="Arial Narrow"/>
                <w:b/>
                <w:bCs/>
                <w:sz w:val="18"/>
                <w:szCs w:val="18"/>
              </w:rPr>
            </w:pPr>
          </w:p>
        </w:tc>
        <w:tc>
          <w:tcPr>
            <w:tcW w:w="200" w:type="dxa"/>
            <w:tcBorders>
              <w:top w:val="nil"/>
              <w:left w:val="nil"/>
              <w:bottom w:val="nil"/>
              <w:right w:val="nil"/>
            </w:tcBorders>
            <w:shd w:val="clear" w:color="auto" w:fill="auto"/>
            <w:noWrap/>
            <w:vAlign w:val="bottom"/>
            <w:hideMark/>
          </w:tcPr>
          <w:p w:rsidR="002E01F1" w:rsidRDefault="002E01F1" w:rsidP="002E01F1">
            <w:pPr>
              <w:rPr>
                <w:sz w:val="20"/>
                <w:szCs w:val="20"/>
              </w:rPr>
            </w:pPr>
          </w:p>
        </w:tc>
        <w:tc>
          <w:tcPr>
            <w:tcW w:w="4137" w:type="dxa"/>
            <w:gridSpan w:val="3"/>
            <w:tcBorders>
              <w:top w:val="nil"/>
              <w:left w:val="nil"/>
              <w:bottom w:val="nil"/>
              <w:right w:val="single" w:sz="4" w:space="0" w:color="FF0000"/>
            </w:tcBorders>
            <w:shd w:val="clear" w:color="auto" w:fill="auto"/>
            <w:noWrap/>
            <w:vAlign w:val="center"/>
            <w:hideMark/>
          </w:tcPr>
          <w:p w:rsidR="002E01F1" w:rsidRDefault="002E01F1" w:rsidP="002E01F1">
            <w:pPr>
              <w:rPr>
                <w:rFonts w:ascii="Arial Narrow" w:hAnsi="Arial Narrow"/>
                <w:sz w:val="18"/>
                <w:szCs w:val="18"/>
              </w:rPr>
            </w:pPr>
            <w:r>
              <w:rPr>
                <w:rFonts w:ascii="Arial Narrow" w:hAnsi="Arial Narrow"/>
                <w:sz w:val="18"/>
                <w:szCs w:val="18"/>
              </w:rPr>
              <w:t>Peňažné dávky</w:t>
            </w:r>
          </w:p>
        </w:tc>
        <w:tc>
          <w:tcPr>
            <w:tcW w:w="993"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lang w:eastAsia="sk-SK"/>
              </w:rPr>
            </w:pPr>
            <w:r>
              <w:rPr>
                <w:rFonts w:ascii="Arial Narrow" w:hAnsi="Arial Narrow" w:cs="Calibri"/>
                <w:sz w:val="18"/>
                <w:szCs w:val="18"/>
              </w:rPr>
              <w:t>160,3</w:t>
            </w:r>
          </w:p>
        </w:tc>
        <w:tc>
          <w:tcPr>
            <w:tcW w:w="572"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77,7</w:t>
            </w:r>
          </w:p>
        </w:tc>
        <w:tc>
          <w:tcPr>
            <w:tcW w:w="849"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25,4</w:t>
            </w:r>
          </w:p>
        </w:tc>
        <w:tc>
          <w:tcPr>
            <w:tcW w:w="708"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40,5</w:t>
            </w:r>
          </w:p>
        </w:tc>
        <w:tc>
          <w:tcPr>
            <w:tcW w:w="708" w:type="dxa"/>
            <w:tcBorders>
              <w:top w:val="nil"/>
              <w:left w:val="nil"/>
              <w:bottom w:val="nil"/>
              <w:right w:val="single" w:sz="4" w:space="0" w:color="FF0000"/>
            </w:tcBorders>
            <w:shd w:val="clear" w:color="auto" w:fill="auto"/>
            <w:noWrap/>
            <w:vAlign w:val="bottom"/>
            <w:hideMark/>
          </w:tcPr>
          <w:p w:rsidR="002E01F1" w:rsidRDefault="002E01F1" w:rsidP="002E01F1">
            <w:pPr>
              <w:jc w:val="right"/>
              <w:rPr>
                <w:rFonts w:ascii="Arial Narrow" w:hAnsi="Arial Narrow" w:cs="Calibri"/>
                <w:sz w:val="18"/>
                <w:szCs w:val="18"/>
              </w:rPr>
            </w:pPr>
            <w:r>
              <w:rPr>
                <w:rFonts w:ascii="Arial Narrow" w:hAnsi="Arial Narrow" w:cs="Calibri"/>
                <w:sz w:val="18"/>
                <w:szCs w:val="18"/>
              </w:rPr>
              <w:t>0,2</w:t>
            </w:r>
          </w:p>
        </w:tc>
        <w:tc>
          <w:tcPr>
            <w:tcW w:w="990" w:type="dxa"/>
            <w:tcBorders>
              <w:top w:val="nil"/>
              <w:left w:val="nil"/>
              <w:bottom w:val="nil"/>
              <w:right w:val="nil"/>
            </w:tcBorders>
            <w:shd w:val="clear" w:color="auto" w:fill="auto"/>
            <w:noWrap/>
            <w:vAlign w:val="bottom"/>
            <w:hideMark/>
          </w:tcPr>
          <w:p w:rsidR="002E01F1" w:rsidRDefault="00205B41" w:rsidP="002E01F1">
            <w:pPr>
              <w:jc w:val="right"/>
              <w:rPr>
                <w:rFonts w:ascii="Arial Narrow" w:hAnsi="Arial Narrow" w:cs="Calibri"/>
                <w:sz w:val="18"/>
                <w:szCs w:val="18"/>
              </w:rPr>
            </w:pPr>
            <w:r>
              <w:rPr>
                <w:rFonts w:ascii="Arial Narrow" w:hAnsi="Arial Narrow" w:cs="Calibri"/>
                <w:sz w:val="18"/>
                <w:szCs w:val="18"/>
              </w:rPr>
              <w:t>113,3</w:t>
            </w:r>
          </w:p>
        </w:tc>
      </w:tr>
      <w:tr w:rsidR="00EA7147" w:rsidTr="00EA7147">
        <w:trPr>
          <w:trHeight w:val="225"/>
        </w:trPr>
        <w:tc>
          <w:tcPr>
            <w:tcW w:w="199" w:type="dxa"/>
            <w:tcBorders>
              <w:top w:val="nil"/>
              <w:left w:val="nil"/>
              <w:bottom w:val="nil"/>
              <w:right w:val="nil"/>
            </w:tcBorders>
            <w:shd w:val="clear" w:color="auto" w:fill="auto"/>
            <w:noWrap/>
            <w:vAlign w:val="bottom"/>
            <w:hideMark/>
          </w:tcPr>
          <w:p w:rsidR="00EA7147" w:rsidRDefault="00EA7147">
            <w:pPr>
              <w:jc w:val="right"/>
              <w:rPr>
                <w:rFonts w:ascii="Arial Narrow" w:hAnsi="Arial Narrow"/>
                <w:sz w:val="18"/>
                <w:szCs w:val="18"/>
              </w:rPr>
            </w:pPr>
          </w:p>
        </w:tc>
        <w:tc>
          <w:tcPr>
            <w:tcW w:w="200" w:type="dxa"/>
            <w:tcBorders>
              <w:top w:val="nil"/>
              <w:left w:val="nil"/>
              <w:bottom w:val="nil"/>
              <w:right w:val="nil"/>
            </w:tcBorders>
            <w:shd w:val="clear" w:color="auto" w:fill="auto"/>
            <w:noWrap/>
            <w:vAlign w:val="bottom"/>
            <w:hideMark/>
          </w:tcPr>
          <w:p w:rsidR="00EA7147" w:rsidRDefault="00EA7147">
            <w:pPr>
              <w:rPr>
                <w:sz w:val="20"/>
                <w:szCs w:val="20"/>
              </w:rPr>
            </w:pPr>
          </w:p>
        </w:tc>
        <w:tc>
          <w:tcPr>
            <w:tcW w:w="4137" w:type="dxa"/>
            <w:gridSpan w:val="3"/>
            <w:tcBorders>
              <w:top w:val="nil"/>
              <w:left w:val="nil"/>
              <w:bottom w:val="nil"/>
              <w:right w:val="single" w:sz="4" w:space="0" w:color="FF0000"/>
            </w:tcBorders>
            <w:shd w:val="clear" w:color="auto" w:fill="auto"/>
            <w:noWrap/>
            <w:vAlign w:val="center"/>
            <w:hideMark/>
          </w:tcPr>
          <w:p w:rsidR="00EA7147" w:rsidRDefault="00EA7147">
            <w:pPr>
              <w:rPr>
                <w:rFonts w:ascii="Arial Narrow" w:hAnsi="Arial Narrow"/>
                <w:sz w:val="18"/>
                <w:szCs w:val="18"/>
              </w:rPr>
            </w:pPr>
            <w:r>
              <w:rPr>
                <w:rFonts w:ascii="Arial Narrow" w:hAnsi="Arial Narrow"/>
                <w:sz w:val="18"/>
                <w:szCs w:val="18"/>
              </w:rPr>
              <w:t>Vecné dávky</w:t>
            </w:r>
          </w:p>
        </w:tc>
        <w:tc>
          <w:tcPr>
            <w:tcW w:w="993"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572"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849"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708" w:type="dxa"/>
            <w:tcBorders>
              <w:top w:val="nil"/>
              <w:left w:val="nil"/>
              <w:bottom w:val="nil"/>
              <w:right w:val="single" w:sz="4" w:space="0" w:color="FF0000"/>
            </w:tcBorders>
            <w:shd w:val="clear" w:color="auto" w:fill="auto"/>
            <w:noWrap/>
            <w:vAlign w:val="bottom"/>
            <w:hideMark/>
          </w:tcPr>
          <w:p w:rsidR="00EA7147" w:rsidRDefault="00EA7147">
            <w:pPr>
              <w:jc w:val="right"/>
              <w:rPr>
                <w:rFonts w:ascii="Arial Narrow" w:hAnsi="Arial Narrow"/>
                <w:sz w:val="18"/>
                <w:szCs w:val="18"/>
              </w:rPr>
            </w:pPr>
            <w:r>
              <w:rPr>
                <w:rFonts w:ascii="Arial Narrow" w:hAnsi="Arial Narrow"/>
                <w:sz w:val="18"/>
                <w:szCs w:val="18"/>
              </w:rPr>
              <w:t>0,0</w:t>
            </w:r>
          </w:p>
        </w:tc>
        <w:tc>
          <w:tcPr>
            <w:tcW w:w="990" w:type="dxa"/>
            <w:tcBorders>
              <w:top w:val="nil"/>
              <w:left w:val="nil"/>
              <w:bottom w:val="nil"/>
              <w:right w:val="nil"/>
            </w:tcBorders>
            <w:shd w:val="clear" w:color="auto" w:fill="auto"/>
            <w:noWrap/>
            <w:vAlign w:val="bottom"/>
            <w:hideMark/>
          </w:tcPr>
          <w:p w:rsidR="00EA7147" w:rsidRDefault="007B7FAB">
            <w:pPr>
              <w:jc w:val="right"/>
              <w:rPr>
                <w:rFonts w:ascii="Arial Narrow" w:hAnsi="Arial Narrow"/>
                <w:sz w:val="18"/>
                <w:szCs w:val="18"/>
              </w:rPr>
            </w:pPr>
            <w:r>
              <w:rPr>
                <w:rFonts w:ascii="Arial Narrow" w:hAnsi="Arial Narrow"/>
                <w:sz w:val="18"/>
                <w:szCs w:val="18"/>
              </w:rPr>
              <w:t>x</w:t>
            </w:r>
          </w:p>
        </w:tc>
      </w:tr>
    </w:tbl>
    <w:p w:rsidR="00013B62" w:rsidRPr="00241464" w:rsidRDefault="00013B62" w:rsidP="00013B62">
      <w:pPr>
        <w:rPr>
          <w:rFonts w:ascii="Arial Narrow" w:hAnsi="Arial Narrow"/>
          <w:b/>
          <w:sz w:val="10"/>
          <w:szCs w:val="10"/>
        </w:rPr>
      </w:pPr>
      <w:r>
        <w:rPr>
          <w:rFonts w:ascii="Arial Narrow" w:hAnsi="Arial Narrow"/>
          <w:b/>
          <w:sz w:val="20"/>
          <w:szCs w:val="20"/>
        </w:rPr>
        <w:tab/>
      </w:r>
    </w:p>
    <w:p w:rsidR="00013B62" w:rsidRPr="00241464" w:rsidRDefault="00013B62" w:rsidP="00013B62">
      <w:pPr>
        <w:rPr>
          <w:rFonts w:ascii="Arial Narrow" w:hAnsi="Arial Narrow"/>
          <w:b/>
          <w:sz w:val="20"/>
          <w:szCs w:val="20"/>
        </w:rPr>
      </w:pPr>
      <w:r>
        <w:rPr>
          <w:rFonts w:ascii="Arial Narrow" w:hAnsi="Arial Narrow"/>
          <w:i/>
          <w:iCs/>
          <w:sz w:val="16"/>
          <w:szCs w:val="16"/>
        </w:rPr>
        <w:t>Zdroj: ŠÚ SR – ESSPROS</w:t>
      </w:r>
    </w:p>
    <w:p w:rsidR="00EA7147" w:rsidRPr="00241464" w:rsidRDefault="00EA7147" w:rsidP="00EA7147">
      <w:pPr>
        <w:jc w:val="both"/>
        <w:rPr>
          <w:rFonts w:ascii="Arial Narrow" w:hAnsi="Arial Narrow"/>
          <w:sz w:val="22"/>
          <w:szCs w:val="20"/>
        </w:rPr>
      </w:pPr>
    </w:p>
    <w:p w:rsidR="00002DCD" w:rsidRPr="00241464" w:rsidRDefault="00002DCD" w:rsidP="00646DAA">
      <w:pPr>
        <w:ind w:right="113" w:firstLine="708"/>
        <w:jc w:val="both"/>
        <w:rPr>
          <w:rFonts w:ascii="Arial Narrow" w:hAnsi="Arial Narrow"/>
          <w:sz w:val="22"/>
          <w:szCs w:val="20"/>
        </w:rPr>
      </w:pPr>
      <w:r w:rsidRPr="00241464">
        <w:rPr>
          <w:rFonts w:ascii="Arial Narrow" w:hAnsi="Arial Narrow"/>
          <w:sz w:val="22"/>
          <w:szCs w:val="20"/>
        </w:rPr>
        <w:t>Podiel výdavkov na účely bývanie a sociálne vylúčenie z celkových výdavkov na sociálne dávky sa pohyboval od 1,</w:t>
      </w:r>
      <w:r w:rsidR="00646DAA">
        <w:rPr>
          <w:rFonts w:ascii="Arial Narrow" w:hAnsi="Arial Narrow"/>
          <w:sz w:val="22"/>
          <w:szCs w:val="20"/>
        </w:rPr>
        <w:t>5</w:t>
      </w:r>
      <w:r w:rsidRPr="00241464">
        <w:rPr>
          <w:rFonts w:ascii="Arial Narrow" w:hAnsi="Arial Narrow"/>
          <w:sz w:val="22"/>
          <w:szCs w:val="20"/>
        </w:rPr>
        <w:t xml:space="preserve"> %  v rokoch 20</w:t>
      </w:r>
      <w:r w:rsidR="00646DAA">
        <w:rPr>
          <w:rFonts w:ascii="Arial Narrow" w:hAnsi="Arial Narrow"/>
          <w:sz w:val="22"/>
          <w:szCs w:val="20"/>
        </w:rPr>
        <w:t>18 a 2019</w:t>
      </w:r>
      <w:r w:rsidRPr="00241464">
        <w:rPr>
          <w:rFonts w:ascii="Arial Narrow" w:hAnsi="Arial Narrow"/>
          <w:sz w:val="22"/>
          <w:szCs w:val="20"/>
        </w:rPr>
        <w:t xml:space="preserve"> do 6,8 %  v roku 2001.</w:t>
      </w:r>
      <w:r w:rsidR="00FB0334">
        <w:rPr>
          <w:rFonts w:ascii="Arial Narrow" w:hAnsi="Arial Narrow"/>
          <w:sz w:val="22"/>
          <w:szCs w:val="20"/>
        </w:rPr>
        <w:t xml:space="preserve"> </w:t>
      </w:r>
    </w:p>
    <w:p w:rsidR="00002DCD" w:rsidRDefault="00002DCD" w:rsidP="00FB0334">
      <w:pPr>
        <w:jc w:val="both"/>
        <w:rPr>
          <w:rFonts w:ascii="Arial Narrow" w:hAnsi="Arial Narrow"/>
          <w:sz w:val="20"/>
          <w:szCs w:val="20"/>
          <w:highlight w:val="cyan"/>
        </w:rPr>
      </w:pPr>
    </w:p>
    <w:p w:rsidR="00F9237D" w:rsidRDefault="00F9237D" w:rsidP="00FB0334">
      <w:pPr>
        <w:jc w:val="both"/>
        <w:rPr>
          <w:rFonts w:ascii="Arial Narrow" w:hAnsi="Arial Narrow"/>
          <w:sz w:val="20"/>
          <w:szCs w:val="20"/>
          <w:highlight w:val="cyan"/>
        </w:rPr>
      </w:pPr>
    </w:p>
    <w:p w:rsidR="00F9237D" w:rsidRDefault="00F9237D" w:rsidP="00FB0334">
      <w:pPr>
        <w:jc w:val="both"/>
        <w:rPr>
          <w:rFonts w:ascii="Arial Narrow" w:hAnsi="Arial Narrow"/>
          <w:sz w:val="20"/>
          <w:szCs w:val="20"/>
          <w:highlight w:val="cyan"/>
        </w:rPr>
      </w:pPr>
    </w:p>
    <w:p w:rsidR="00F9237D" w:rsidRDefault="00F9237D" w:rsidP="00FB0334">
      <w:pPr>
        <w:jc w:val="both"/>
        <w:rPr>
          <w:rFonts w:ascii="Arial Narrow" w:hAnsi="Arial Narrow"/>
          <w:sz w:val="20"/>
          <w:szCs w:val="20"/>
          <w:highlight w:val="cyan"/>
        </w:rPr>
      </w:pPr>
    </w:p>
    <w:p w:rsidR="00F9237D" w:rsidRDefault="00F9237D" w:rsidP="00FB0334">
      <w:pPr>
        <w:jc w:val="both"/>
        <w:rPr>
          <w:rFonts w:ascii="Arial Narrow" w:hAnsi="Arial Narrow"/>
          <w:sz w:val="20"/>
          <w:szCs w:val="20"/>
          <w:highlight w:val="cyan"/>
        </w:rPr>
      </w:pPr>
    </w:p>
    <w:p w:rsidR="00F9237D" w:rsidRDefault="00F9237D" w:rsidP="00FB0334">
      <w:pPr>
        <w:jc w:val="both"/>
        <w:rPr>
          <w:rFonts w:ascii="Arial Narrow" w:hAnsi="Arial Narrow"/>
          <w:sz w:val="20"/>
          <w:szCs w:val="20"/>
          <w:highlight w:val="cyan"/>
        </w:rPr>
      </w:pPr>
    </w:p>
    <w:p w:rsidR="00F9237D" w:rsidRDefault="00F9237D" w:rsidP="00FB0334">
      <w:pPr>
        <w:jc w:val="both"/>
        <w:rPr>
          <w:rFonts w:ascii="Arial Narrow" w:hAnsi="Arial Narrow"/>
          <w:sz w:val="20"/>
          <w:szCs w:val="20"/>
          <w:highlight w:val="cyan"/>
        </w:rPr>
      </w:pPr>
    </w:p>
    <w:p w:rsidR="00F9237D" w:rsidRDefault="00F9237D" w:rsidP="00FB0334">
      <w:pPr>
        <w:jc w:val="both"/>
        <w:rPr>
          <w:rFonts w:ascii="Arial Narrow" w:hAnsi="Arial Narrow"/>
          <w:sz w:val="20"/>
          <w:szCs w:val="20"/>
          <w:highlight w:val="cyan"/>
        </w:rPr>
      </w:pPr>
    </w:p>
    <w:p w:rsidR="00CD62F9" w:rsidRDefault="00CD62F9" w:rsidP="00CD62F9">
      <w:pPr>
        <w:rPr>
          <w:rFonts w:ascii="Arial Narrow" w:hAnsi="Arial Narrow"/>
          <w:b/>
          <w:sz w:val="20"/>
          <w:szCs w:val="20"/>
        </w:rPr>
      </w:pPr>
      <w:r w:rsidRPr="00595E9E">
        <w:rPr>
          <w:rFonts w:ascii="Arial Narrow" w:hAnsi="Arial Narrow"/>
          <w:b/>
          <w:sz w:val="20"/>
          <w:szCs w:val="20"/>
        </w:rPr>
        <w:lastRenderedPageBreak/>
        <w:t>Graf 1</w:t>
      </w:r>
      <w:r w:rsidR="001871C0" w:rsidRPr="00595E9E">
        <w:rPr>
          <w:rFonts w:ascii="Arial Narrow" w:hAnsi="Arial Narrow"/>
          <w:b/>
          <w:sz w:val="20"/>
          <w:szCs w:val="20"/>
        </w:rPr>
        <w:t>.</w:t>
      </w:r>
      <w:r w:rsidR="00D45BCA">
        <w:rPr>
          <w:rFonts w:ascii="Arial Narrow" w:hAnsi="Arial Narrow"/>
          <w:b/>
          <w:sz w:val="20"/>
          <w:szCs w:val="20"/>
        </w:rPr>
        <w:t>15</w:t>
      </w:r>
      <w:r w:rsidR="00785FF0" w:rsidRPr="00595E9E">
        <w:rPr>
          <w:rFonts w:ascii="Arial Narrow" w:hAnsi="Arial Narrow"/>
          <w:b/>
          <w:sz w:val="20"/>
          <w:szCs w:val="20"/>
        </w:rPr>
        <w:t xml:space="preserve"> </w:t>
      </w:r>
      <w:r w:rsidRPr="00595E9E">
        <w:rPr>
          <w:rFonts w:ascii="Arial Narrow" w:hAnsi="Arial Narrow"/>
          <w:b/>
          <w:sz w:val="20"/>
          <w:szCs w:val="20"/>
        </w:rPr>
        <w:t xml:space="preserve"> Výdavky na sociálne dávky na účely bývanie a soc</w:t>
      </w:r>
      <w:r w:rsidR="00971DB3" w:rsidRPr="00595E9E">
        <w:rPr>
          <w:rFonts w:ascii="Arial Narrow" w:hAnsi="Arial Narrow"/>
          <w:b/>
          <w:sz w:val="20"/>
          <w:szCs w:val="20"/>
        </w:rPr>
        <w:t>iálne</w:t>
      </w:r>
      <w:r w:rsidRPr="00595E9E">
        <w:rPr>
          <w:rFonts w:ascii="Arial Narrow" w:hAnsi="Arial Narrow"/>
          <w:b/>
          <w:sz w:val="20"/>
          <w:szCs w:val="20"/>
        </w:rPr>
        <w:t xml:space="preserve"> vylúčenie v SR, 199</w:t>
      </w:r>
      <w:r w:rsidR="00595E9E" w:rsidRPr="00595E9E">
        <w:rPr>
          <w:rFonts w:ascii="Arial Narrow" w:hAnsi="Arial Narrow"/>
          <w:b/>
          <w:sz w:val="20"/>
          <w:szCs w:val="20"/>
        </w:rPr>
        <w:t>8</w:t>
      </w:r>
      <w:r w:rsidRPr="00595E9E">
        <w:rPr>
          <w:rFonts w:ascii="Arial Narrow" w:hAnsi="Arial Narrow"/>
          <w:b/>
          <w:sz w:val="20"/>
          <w:szCs w:val="20"/>
        </w:rPr>
        <w:t xml:space="preserve"> </w:t>
      </w:r>
      <w:r w:rsidR="00241464">
        <w:rPr>
          <w:rFonts w:ascii="Arial Narrow" w:hAnsi="Arial Narrow"/>
          <w:b/>
          <w:sz w:val="20"/>
          <w:szCs w:val="20"/>
        </w:rPr>
        <w:t>–</w:t>
      </w:r>
      <w:r w:rsidRPr="00595E9E">
        <w:rPr>
          <w:rFonts w:ascii="Arial Narrow" w:hAnsi="Arial Narrow"/>
          <w:b/>
          <w:sz w:val="20"/>
          <w:szCs w:val="20"/>
        </w:rPr>
        <w:t xml:space="preserve"> </w:t>
      </w:r>
      <w:r w:rsidR="00EA7147" w:rsidRPr="00595E9E">
        <w:rPr>
          <w:rFonts w:ascii="Arial Narrow" w:hAnsi="Arial Narrow"/>
          <w:b/>
          <w:sz w:val="20"/>
          <w:szCs w:val="20"/>
        </w:rPr>
        <w:t>201</w:t>
      </w:r>
      <w:r w:rsidR="00595E9E" w:rsidRPr="00595E9E">
        <w:rPr>
          <w:rFonts w:ascii="Arial Narrow" w:hAnsi="Arial Narrow"/>
          <w:b/>
          <w:sz w:val="20"/>
          <w:szCs w:val="20"/>
        </w:rPr>
        <w:t>9</w:t>
      </w:r>
    </w:p>
    <w:p w:rsidR="00241464" w:rsidRPr="00241464" w:rsidRDefault="00241464" w:rsidP="00CD62F9">
      <w:pPr>
        <w:rPr>
          <w:rFonts w:ascii="Arial Narrow" w:hAnsi="Arial Narrow"/>
          <w:b/>
          <w:sz w:val="10"/>
          <w:szCs w:val="10"/>
        </w:rPr>
      </w:pPr>
    </w:p>
    <w:p w:rsidR="00CD62F9" w:rsidRPr="00A5448C" w:rsidRDefault="00646DAA" w:rsidP="00A5448C">
      <w:pPr>
        <w:rPr>
          <w:rFonts w:ascii="Arial Narrow" w:hAnsi="Arial Narrow"/>
          <w:b/>
          <w:sz w:val="10"/>
          <w:szCs w:val="10"/>
        </w:rPr>
      </w:pPr>
      <w:r>
        <w:rPr>
          <w:noProof/>
          <w:lang w:eastAsia="sk-SK"/>
        </w:rPr>
        <w:drawing>
          <wp:inline distT="0" distB="0" distL="0" distR="0" wp14:anchorId="2E0F5B7D" wp14:editId="0E43D259">
            <wp:extent cx="5558287" cy="2297113"/>
            <wp:effectExtent l="0" t="0" r="4445" b="8255"/>
            <wp:docPr id="36" name="Graf 36">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5448C" w:rsidRPr="00A5448C" w:rsidRDefault="00240206" w:rsidP="009F70CF">
      <w:pPr>
        <w:rPr>
          <w:rFonts w:ascii="Arial Narrow" w:hAnsi="Arial Narrow"/>
          <w:i/>
          <w:sz w:val="6"/>
          <w:szCs w:val="6"/>
          <w:lang w:val="en-GB"/>
        </w:rPr>
      </w:pPr>
      <w:r w:rsidRPr="00AD061D">
        <w:rPr>
          <w:rFonts w:ascii="Arial Narrow" w:hAnsi="Arial Narrow"/>
          <w:i/>
          <w:sz w:val="6"/>
          <w:szCs w:val="6"/>
          <w:lang w:val="en-GB"/>
        </w:rPr>
        <w:tab/>
      </w:r>
    </w:p>
    <w:p w:rsidR="00241464" w:rsidRPr="00241464" w:rsidRDefault="00241464" w:rsidP="009F70CF">
      <w:pPr>
        <w:rPr>
          <w:rFonts w:ascii="Arial Narrow" w:hAnsi="Arial Narrow"/>
          <w:i/>
          <w:sz w:val="10"/>
          <w:szCs w:val="10"/>
        </w:rPr>
      </w:pPr>
    </w:p>
    <w:p w:rsidR="00E920BE" w:rsidRDefault="00241464" w:rsidP="009F70CF">
      <w:pPr>
        <w:rPr>
          <w:rFonts w:ascii="Arial Narrow" w:hAnsi="Arial Narrow"/>
          <w:b/>
          <w:sz w:val="20"/>
          <w:szCs w:val="20"/>
        </w:rPr>
      </w:pPr>
      <w:r w:rsidRPr="00EA7147">
        <w:rPr>
          <w:rFonts w:ascii="Arial Narrow" w:hAnsi="Arial Narrow"/>
          <w:i/>
          <w:sz w:val="15"/>
          <w:szCs w:val="15"/>
        </w:rPr>
        <w:t xml:space="preserve">Zdroj: ŠÚ SR </w:t>
      </w:r>
      <w:r>
        <w:rPr>
          <w:rFonts w:ascii="Arial Narrow" w:hAnsi="Arial Narrow"/>
          <w:i/>
          <w:sz w:val="15"/>
          <w:szCs w:val="15"/>
        </w:rPr>
        <w:t>–</w:t>
      </w:r>
      <w:r w:rsidRPr="00EA7147">
        <w:rPr>
          <w:rFonts w:ascii="Arial Narrow" w:hAnsi="Arial Narrow"/>
          <w:i/>
          <w:sz w:val="15"/>
          <w:szCs w:val="15"/>
        </w:rPr>
        <w:t xml:space="preserve"> ESSPROS</w:t>
      </w:r>
      <w:r>
        <w:rPr>
          <w:rFonts w:ascii="Arial Narrow" w:hAnsi="Arial Narrow"/>
          <w:i/>
          <w:sz w:val="15"/>
          <w:szCs w:val="15"/>
        </w:rPr>
        <w:t xml:space="preserve">, </w:t>
      </w:r>
      <w:r w:rsidR="00240206" w:rsidRPr="00EA7147">
        <w:rPr>
          <w:rFonts w:ascii="Arial Narrow" w:hAnsi="Arial Narrow"/>
          <w:i/>
          <w:sz w:val="15"/>
          <w:szCs w:val="15"/>
        </w:rPr>
        <w:t xml:space="preserve">* </w:t>
      </w:r>
      <w:r w:rsidR="00A5448C" w:rsidRPr="00EA7147">
        <w:rPr>
          <w:rFonts w:ascii="Arial Narrow" w:hAnsi="Arial Narrow"/>
          <w:i/>
          <w:sz w:val="15"/>
          <w:szCs w:val="15"/>
        </w:rPr>
        <w:t>o</w:t>
      </w:r>
      <w:r w:rsidR="00240206" w:rsidRPr="00EA7147">
        <w:rPr>
          <w:rFonts w:ascii="Arial Narrow" w:hAnsi="Arial Narrow"/>
          <w:i/>
          <w:sz w:val="15"/>
          <w:szCs w:val="15"/>
        </w:rPr>
        <w:t>d roku 2007 vrátane štátneho príspevku pre mladých</w:t>
      </w:r>
      <w:r w:rsidR="00240206">
        <w:rPr>
          <w:rFonts w:ascii="Arial Narrow" w:hAnsi="Arial Narrow"/>
          <w:i/>
          <w:sz w:val="16"/>
          <w:szCs w:val="16"/>
        </w:rPr>
        <w:tab/>
      </w:r>
      <w:r w:rsidR="00E920BE">
        <w:rPr>
          <w:rFonts w:ascii="Arial Narrow" w:hAnsi="Arial Narrow"/>
          <w:i/>
          <w:sz w:val="16"/>
          <w:szCs w:val="16"/>
        </w:rPr>
        <w:tab/>
      </w:r>
      <w:r w:rsidR="00E920BE">
        <w:rPr>
          <w:rFonts w:ascii="Arial Narrow" w:hAnsi="Arial Narrow"/>
          <w:i/>
          <w:sz w:val="16"/>
          <w:szCs w:val="16"/>
        </w:rPr>
        <w:tab/>
      </w:r>
      <w:r w:rsidR="00E920BE">
        <w:rPr>
          <w:rFonts w:ascii="Arial Narrow" w:hAnsi="Arial Narrow"/>
          <w:i/>
          <w:sz w:val="16"/>
          <w:szCs w:val="16"/>
        </w:rPr>
        <w:tab/>
      </w:r>
      <w:r w:rsidR="00E920BE">
        <w:rPr>
          <w:rFonts w:ascii="Arial Narrow" w:hAnsi="Arial Narrow"/>
          <w:i/>
          <w:sz w:val="16"/>
          <w:szCs w:val="16"/>
        </w:rPr>
        <w:tab/>
      </w:r>
      <w:r w:rsidR="00E920BE">
        <w:rPr>
          <w:rFonts w:ascii="Arial Narrow" w:hAnsi="Arial Narrow"/>
          <w:i/>
          <w:sz w:val="16"/>
          <w:szCs w:val="16"/>
        </w:rPr>
        <w:tab/>
      </w:r>
      <w:r w:rsidR="00240206">
        <w:rPr>
          <w:rFonts w:ascii="Arial Narrow" w:hAnsi="Arial Narrow"/>
          <w:i/>
          <w:sz w:val="16"/>
          <w:szCs w:val="16"/>
        </w:rPr>
        <w:t xml:space="preserve"> </w:t>
      </w:r>
    </w:p>
    <w:p w:rsidR="002E382D" w:rsidRDefault="002E382D" w:rsidP="009F70CF">
      <w:pPr>
        <w:rPr>
          <w:rFonts w:ascii="Arial Narrow" w:hAnsi="Arial Narrow"/>
          <w:b/>
          <w:szCs w:val="22"/>
        </w:rPr>
      </w:pPr>
    </w:p>
    <w:p w:rsidR="00E920BE" w:rsidRPr="00241464" w:rsidRDefault="00550864" w:rsidP="009F70CF">
      <w:pPr>
        <w:rPr>
          <w:rFonts w:ascii="Arial Narrow" w:hAnsi="Arial Narrow"/>
          <w:b/>
          <w:sz w:val="20"/>
          <w:szCs w:val="20"/>
        </w:rPr>
      </w:pPr>
      <w:r w:rsidRPr="00241464">
        <w:rPr>
          <w:rFonts w:ascii="Arial Narrow" w:hAnsi="Arial Narrow"/>
          <w:b/>
          <w:szCs w:val="22"/>
        </w:rPr>
        <w:t>2.</w:t>
      </w:r>
      <w:r w:rsidR="00B36E70" w:rsidRPr="00241464">
        <w:rPr>
          <w:rFonts w:ascii="Arial Narrow" w:hAnsi="Arial Narrow"/>
          <w:b/>
          <w:szCs w:val="22"/>
        </w:rPr>
        <w:t xml:space="preserve"> </w:t>
      </w:r>
      <w:r w:rsidRPr="00241464">
        <w:rPr>
          <w:rFonts w:ascii="Arial Narrow" w:hAnsi="Arial Narrow"/>
          <w:b/>
          <w:szCs w:val="22"/>
        </w:rPr>
        <w:t xml:space="preserve"> </w:t>
      </w:r>
      <w:r w:rsidR="00F96D82" w:rsidRPr="00241464">
        <w:rPr>
          <w:rFonts w:ascii="Arial Narrow" w:hAnsi="Arial Narrow"/>
          <w:b/>
          <w:szCs w:val="22"/>
        </w:rPr>
        <w:t>Výdavky na dôchodky</w:t>
      </w:r>
      <w:r w:rsidR="00F1117C" w:rsidRPr="00241464">
        <w:rPr>
          <w:rFonts w:ascii="Arial Narrow" w:hAnsi="Arial Narrow"/>
          <w:b/>
          <w:szCs w:val="22"/>
        </w:rPr>
        <w:t xml:space="preserve"> v</w:t>
      </w:r>
      <w:r w:rsidR="00FF71F1" w:rsidRPr="00241464">
        <w:rPr>
          <w:rFonts w:ascii="Arial Narrow" w:hAnsi="Arial Narrow"/>
          <w:b/>
          <w:szCs w:val="22"/>
        </w:rPr>
        <w:t> </w:t>
      </w:r>
      <w:r w:rsidR="00F1117C" w:rsidRPr="00241464">
        <w:rPr>
          <w:rFonts w:ascii="Arial Narrow" w:hAnsi="Arial Narrow"/>
          <w:b/>
          <w:szCs w:val="22"/>
        </w:rPr>
        <w:t>SR</w:t>
      </w:r>
      <w:r w:rsidR="00FF71F1" w:rsidRPr="00241464">
        <w:rPr>
          <w:rFonts w:ascii="Arial Narrow" w:hAnsi="Arial Narrow"/>
          <w:b/>
          <w:szCs w:val="22"/>
        </w:rPr>
        <w:t xml:space="preserve"> </w:t>
      </w:r>
      <w:r w:rsidR="00FF71F1" w:rsidRPr="00241464">
        <w:rPr>
          <w:rFonts w:ascii="Arial Narrow" w:hAnsi="Arial Narrow"/>
          <w:szCs w:val="22"/>
        </w:rPr>
        <w:t>(Programy sociálnej ochrany č. 5, 11, 13, 18, 19, 20, 22)</w:t>
      </w:r>
    </w:p>
    <w:p w:rsidR="00E920BE" w:rsidRPr="00241464" w:rsidRDefault="00E920BE" w:rsidP="009F70CF">
      <w:pPr>
        <w:rPr>
          <w:rFonts w:ascii="Arial Narrow" w:hAnsi="Arial Narrow"/>
          <w:b/>
          <w:sz w:val="22"/>
          <w:szCs w:val="20"/>
        </w:rPr>
      </w:pPr>
    </w:p>
    <w:p w:rsidR="00E920BE" w:rsidRPr="00241464" w:rsidRDefault="00C20220" w:rsidP="0059645E">
      <w:pPr>
        <w:ind w:right="141"/>
        <w:jc w:val="both"/>
        <w:rPr>
          <w:rFonts w:ascii="Arial Narrow" w:hAnsi="Arial Narrow"/>
          <w:sz w:val="22"/>
          <w:szCs w:val="20"/>
          <w:lang w:eastAsia="en-US"/>
        </w:rPr>
      </w:pPr>
      <w:r w:rsidRPr="00241464">
        <w:rPr>
          <w:rFonts w:ascii="Arial Narrow" w:hAnsi="Arial Narrow"/>
          <w:b/>
          <w:sz w:val="22"/>
          <w:szCs w:val="20"/>
          <w:lang w:eastAsia="en-US"/>
        </w:rPr>
        <w:t>Dôchodok</w:t>
      </w:r>
      <w:r w:rsidRPr="00241464">
        <w:rPr>
          <w:rFonts w:ascii="Arial Narrow" w:hAnsi="Arial Narrow"/>
          <w:sz w:val="22"/>
          <w:szCs w:val="20"/>
          <w:lang w:eastAsia="en-US"/>
        </w:rPr>
        <w:t xml:space="preserve"> je vo všeobecnosti pravidelná peňažná dávka vyplácaná za účelom udržania alebo podpory príjmu dôchodcu. Nárok na dôchodok je viazaný na podmienku, že poberateľ predtým platil sociálne odvody do poistných dôchodkových fondov (resp. dane) v presne stanovenom minimálnom období a výške. Metodika ESSPROS stanovuje 7 kategórií dôchodkov v nasledovných účeloch</w:t>
      </w:r>
      <w:r w:rsidR="00B36E70" w:rsidRPr="00241464">
        <w:rPr>
          <w:rFonts w:ascii="Arial Narrow" w:hAnsi="Arial Narrow"/>
          <w:sz w:val="22"/>
          <w:szCs w:val="20"/>
          <w:lang w:eastAsia="en-US"/>
        </w:rPr>
        <w:t>:</w:t>
      </w:r>
    </w:p>
    <w:p w:rsidR="00C20220" w:rsidRPr="00241464" w:rsidRDefault="00C20220" w:rsidP="00B36E70">
      <w:pPr>
        <w:tabs>
          <w:tab w:val="left" w:pos="284"/>
        </w:tabs>
        <w:ind w:left="284" w:right="141"/>
        <w:jc w:val="both"/>
        <w:rPr>
          <w:rFonts w:ascii="Arial Narrow" w:hAnsi="Arial Narrow"/>
          <w:sz w:val="22"/>
          <w:szCs w:val="20"/>
          <w:lang w:eastAsia="en-US"/>
        </w:rPr>
      </w:pPr>
      <w:r w:rsidRPr="00241464">
        <w:rPr>
          <w:rFonts w:ascii="Arial Narrow" w:hAnsi="Arial Narrow"/>
          <w:sz w:val="22"/>
          <w:szCs w:val="20"/>
          <w:lang w:eastAsia="en-US"/>
        </w:rPr>
        <w:t xml:space="preserve">- </w:t>
      </w:r>
      <w:r w:rsidR="0059645E" w:rsidRPr="00241464">
        <w:rPr>
          <w:rFonts w:ascii="Arial Narrow" w:hAnsi="Arial Narrow"/>
          <w:sz w:val="22"/>
          <w:szCs w:val="20"/>
          <w:lang w:eastAsia="en-US"/>
        </w:rPr>
        <w:t>zdravotné postihnutie</w:t>
      </w:r>
      <w:r w:rsidRPr="00241464">
        <w:rPr>
          <w:rFonts w:ascii="Arial Narrow" w:hAnsi="Arial Narrow"/>
          <w:sz w:val="22"/>
          <w:szCs w:val="20"/>
          <w:lang w:eastAsia="en-US"/>
        </w:rPr>
        <w:t xml:space="preserve"> (invalidný dôchodok a predčasný dôchodok v dôsledku</w:t>
      </w:r>
      <w:r w:rsidR="0059645E" w:rsidRPr="00241464">
        <w:rPr>
          <w:rFonts w:ascii="Arial Narrow" w:hAnsi="Arial Narrow"/>
          <w:sz w:val="22"/>
          <w:szCs w:val="20"/>
          <w:lang w:eastAsia="en-US"/>
        </w:rPr>
        <w:t xml:space="preserve"> zníženej pracovnej schopnosti),</w:t>
      </w:r>
      <w:r w:rsidRPr="00241464">
        <w:rPr>
          <w:rFonts w:ascii="Arial Narrow" w:hAnsi="Arial Narrow"/>
          <w:sz w:val="22"/>
          <w:szCs w:val="20"/>
          <w:lang w:eastAsia="en-US"/>
        </w:rPr>
        <w:t xml:space="preserve"> </w:t>
      </w:r>
    </w:p>
    <w:p w:rsidR="00C20220" w:rsidRPr="00241464" w:rsidRDefault="00C20220" w:rsidP="00B36E70">
      <w:pPr>
        <w:tabs>
          <w:tab w:val="left" w:pos="284"/>
        </w:tabs>
        <w:ind w:left="284" w:right="141"/>
        <w:jc w:val="both"/>
        <w:rPr>
          <w:rFonts w:ascii="Arial Narrow" w:hAnsi="Arial Narrow"/>
          <w:sz w:val="22"/>
          <w:szCs w:val="20"/>
          <w:lang w:eastAsia="en-US"/>
        </w:rPr>
      </w:pPr>
      <w:r w:rsidRPr="00241464">
        <w:rPr>
          <w:rFonts w:ascii="Arial Narrow" w:hAnsi="Arial Narrow"/>
          <w:sz w:val="22"/>
          <w:szCs w:val="20"/>
          <w:lang w:eastAsia="en-US"/>
        </w:rPr>
        <w:t xml:space="preserve">- staroba (starobný dôchodok, predpokladaný predčasný </w:t>
      </w:r>
      <w:r w:rsidR="0059645E" w:rsidRPr="00241464">
        <w:rPr>
          <w:rFonts w:ascii="Arial Narrow" w:hAnsi="Arial Narrow"/>
          <w:sz w:val="22"/>
          <w:szCs w:val="20"/>
          <w:lang w:eastAsia="en-US"/>
        </w:rPr>
        <w:t xml:space="preserve">starobný </w:t>
      </w:r>
      <w:r w:rsidRPr="00241464">
        <w:rPr>
          <w:rFonts w:ascii="Arial Narrow" w:hAnsi="Arial Narrow"/>
          <w:sz w:val="22"/>
          <w:szCs w:val="20"/>
          <w:lang w:eastAsia="en-US"/>
        </w:rPr>
        <w:t xml:space="preserve">dôchodok, čiastočný </w:t>
      </w:r>
      <w:r w:rsidR="0059645E" w:rsidRPr="00241464">
        <w:rPr>
          <w:rFonts w:ascii="Arial Narrow" w:hAnsi="Arial Narrow"/>
          <w:sz w:val="22"/>
          <w:szCs w:val="20"/>
          <w:lang w:eastAsia="en-US"/>
        </w:rPr>
        <w:t xml:space="preserve">starobný </w:t>
      </w:r>
      <w:r w:rsidRPr="00241464">
        <w:rPr>
          <w:rFonts w:ascii="Arial Narrow" w:hAnsi="Arial Narrow"/>
          <w:sz w:val="22"/>
          <w:szCs w:val="20"/>
          <w:lang w:eastAsia="en-US"/>
        </w:rPr>
        <w:t>dôchodok)</w:t>
      </w:r>
      <w:r w:rsidR="0059645E" w:rsidRPr="00241464">
        <w:rPr>
          <w:rFonts w:ascii="Arial Narrow" w:hAnsi="Arial Narrow"/>
          <w:sz w:val="22"/>
          <w:szCs w:val="20"/>
          <w:lang w:eastAsia="en-US"/>
        </w:rPr>
        <w:t>,</w:t>
      </w:r>
      <w:r w:rsidRPr="00241464">
        <w:rPr>
          <w:rFonts w:ascii="Arial Narrow" w:hAnsi="Arial Narrow"/>
          <w:sz w:val="22"/>
          <w:szCs w:val="20"/>
          <w:lang w:eastAsia="en-US"/>
        </w:rPr>
        <w:t xml:space="preserve"> </w:t>
      </w:r>
    </w:p>
    <w:p w:rsidR="00C20220" w:rsidRPr="00241464" w:rsidRDefault="00C20220" w:rsidP="00B36E70">
      <w:pPr>
        <w:tabs>
          <w:tab w:val="left" w:pos="284"/>
        </w:tabs>
        <w:ind w:left="284" w:right="141"/>
        <w:jc w:val="both"/>
        <w:rPr>
          <w:rFonts w:ascii="Arial Narrow" w:hAnsi="Arial Narrow"/>
          <w:sz w:val="22"/>
          <w:szCs w:val="20"/>
          <w:lang w:eastAsia="en-US"/>
        </w:rPr>
      </w:pPr>
      <w:r w:rsidRPr="00241464">
        <w:rPr>
          <w:rFonts w:ascii="Arial Narrow" w:hAnsi="Arial Narrow"/>
          <w:sz w:val="22"/>
          <w:szCs w:val="20"/>
          <w:lang w:eastAsia="en-US"/>
        </w:rPr>
        <w:t>- po</w:t>
      </w:r>
      <w:r w:rsidR="0059645E" w:rsidRPr="00241464">
        <w:rPr>
          <w:rFonts w:ascii="Arial Narrow" w:hAnsi="Arial Narrow"/>
          <w:sz w:val="22"/>
          <w:szCs w:val="20"/>
          <w:lang w:eastAsia="en-US"/>
        </w:rPr>
        <w:t>zostalí (pozostalostný dôchodok: vdovský, vdovecký a sirotský),</w:t>
      </w:r>
    </w:p>
    <w:p w:rsidR="0059645E" w:rsidRPr="00241464" w:rsidRDefault="00C20220" w:rsidP="00B36E70">
      <w:pPr>
        <w:tabs>
          <w:tab w:val="left" w:pos="284"/>
        </w:tabs>
        <w:ind w:left="284" w:right="141"/>
        <w:jc w:val="both"/>
        <w:rPr>
          <w:rFonts w:ascii="Arial Narrow" w:hAnsi="Arial Narrow"/>
          <w:sz w:val="22"/>
          <w:szCs w:val="20"/>
          <w:lang w:eastAsia="en-US"/>
        </w:rPr>
      </w:pPr>
      <w:r w:rsidRPr="00241464">
        <w:rPr>
          <w:rFonts w:ascii="Arial Narrow" w:hAnsi="Arial Narrow"/>
          <w:sz w:val="22"/>
          <w:szCs w:val="20"/>
          <w:lang w:eastAsia="en-US"/>
        </w:rPr>
        <w:t>- nezamestnanosť (predčasný dôchodok z dôvodu situácie na trhu práce).</w:t>
      </w:r>
    </w:p>
    <w:p w:rsidR="00C20220" w:rsidRPr="00241464" w:rsidRDefault="00C20220" w:rsidP="0059645E">
      <w:pPr>
        <w:tabs>
          <w:tab w:val="left" w:pos="284"/>
        </w:tabs>
        <w:ind w:right="141"/>
        <w:jc w:val="both"/>
        <w:rPr>
          <w:rFonts w:ascii="Arial Narrow" w:hAnsi="Arial Narrow"/>
          <w:sz w:val="12"/>
          <w:szCs w:val="10"/>
          <w:lang w:eastAsia="en-US"/>
        </w:rPr>
      </w:pPr>
      <w:r w:rsidRPr="00241464">
        <w:rPr>
          <w:rFonts w:ascii="Arial Narrow" w:hAnsi="Arial Narrow"/>
          <w:sz w:val="12"/>
          <w:szCs w:val="10"/>
          <w:lang w:eastAsia="en-US"/>
        </w:rPr>
        <w:t xml:space="preserve"> </w:t>
      </w:r>
    </w:p>
    <w:p w:rsidR="00C20220" w:rsidRPr="00241464" w:rsidRDefault="00C20220" w:rsidP="0059645E">
      <w:pPr>
        <w:tabs>
          <w:tab w:val="left" w:pos="284"/>
        </w:tabs>
        <w:ind w:right="141"/>
        <w:jc w:val="both"/>
        <w:rPr>
          <w:rFonts w:ascii="Arial Narrow" w:hAnsi="Arial Narrow"/>
          <w:sz w:val="22"/>
          <w:szCs w:val="20"/>
          <w:lang w:eastAsia="en-US"/>
        </w:rPr>
      </w:pPr>
      <w:r w:rsidRPr="00241464">
        <w:rPr>
          <w:rFonts w:ascii="Arial Narrow" w:hAnsi="Arial Narrow"/>
          <w:sz w:val="22"/>
          <w:szCs w:val="20"/>
          <w:lang w:eastAsia="en-US"/>
        </w:rPr>
        <w:t xml:space="preserve">Každá zo 7 dôchodkových kategórií sa ďalej rozdeľuje do dvoch </w:t>
      </w:r>
      <w:proofErr w:type="spellStart"/>
      <w:r w:rsidRPr="00241464">
        <w:rPr>
          <w:rFonts w:ascii="Arial Narrow" w:hAnsi="Arial Narrow"/>
          <w:sz w:val="22"/>
          <w:szCs w:val="20"/>
          <w:lang w:eastAsia="en-US"/>
        </w:rPr>
        <w:t>podkategórií</w:t>
      </w:r>
      <w:proofErr w:type="spellEnd"/>
      <w:r w:rsidRPr="00241464">
        <w:rPr>
          <w:rFonts w:ascii="Arial Narrow" w:hAnsi="Arial Narrow"/>
          <w:sz w:val="22"/>
          <w:szCs w:val="20"/>
          <w:lang w:eastAsia="en-US"/>
        </w:rPr>
        <w:t>, t. j. netestované a testované dôchodky.</w:t>
      </w:r>
    </w:p>
    <w:p w:rsidR="00C20220" w:rsidRPr="00241464" w:rsidRDefault="00661F28" w:rsidP="0059645E">
      <w:pPr>
        <w:tabs>
          <w:tab w:val="left" w:pos="284"/>
        </w:tabs>
        <w:ind w:right="141"/>
        <w:jc w:val="both"/>
        <w:rPr>
          <w:rFonts w:ascii="Arial Narrow" w:hAnsi="Arial Narrow"/>
          <w:bCs/>
          <w:iCs/>
          <w:sz w:val="22"/>
          <w:szCs w:val="20"/>
        </w:rPr>
      </w:pPr>
      <w:r w:rsidRPr="00241464">
        <w:rPr>
          <w:rFonts w:ascii="Arial Narrow" w:hAnsi="Arial Narrow"/>
          <w:bCs/>
          <w:iCs/>
          <w:sz w:val="22"/>
          <w:szCs w:val="20"/>
        </w:rPr>
        <w:t xml:space="preserve">Dôchodky a dôchodkové dávky sa </w:t>
      </w:r>
      <w:r w:rsidR="0059645E" w:rsidRPr="00241464">
        <w:rPr>
          <w:rFonts w:ascii="Arial Narrow" w:hAnsi="Arial Narrow"/>
          <w:bCs/>
          <w:iCs/>
          <w:sz w:val="22"/>
          <w:szCs w:val="20"/>
        </w:rPr>
        <w:t xml:space="preserve"> </w:t>
      </w:r>
      <w:r w:rsidRPr="00241464">
        <w:rPr>
          <w:rFonts w:ascii="Arial Narrow" w:hAnsi="Arial Narrow"/>
          <w:bCs/>
          <w:iCs/>
          <w:sz w:val="22"/>
          <w:szCs w:val="20"/>
        </w:rPr>
        <w:t>vyplácajú najmä v účeloch staroba, pozostalí, zdravotné postihnutie a čiastočne aj v účele nezamestnanosť.</w:t>
      </w:r>
    </w:p>
    <w:p w:rsidR="00661F28" w:rsidRPr="00241464" w:rsidRDefault="00661F28" w:rsidP="0059645E">
      <w:pPr>
        <w:tabs>
          <w:tab w:val="left" w:pos="284"/>
        </w:tabs>
        <w:ind w:right="141"/>
        <w:jc w:val="both"/>
        <w:rPr>
          <w:rFonts w:ascii="Arial Narrow" w:hAnsi="Arial Narrow"/>
          <w:sz w:val="22"/>
          <w:szCs w:val="20"/>
          <w:lang w:eastAsia="en-US"/>
        </w:rPr>
      </w:pPr>
    </w:p>
    <w:p w:rsidR="00C20220" w:rsidRPr="00241464" w:rsidRDefault="00C20220" w:rsidP="0059645E">
      <w:pPr>
        <w:tabs>
          <w:tab w:val="left" w:pos="284"/>
        </w:tabs>
        <w:ind w:right="141"/>
        <w:jc w:val="both"/>
        <w:rPr>
          <w:rFonts w:ascii="Arial Narrow" w:hAnsi="Arial Narrow"/>
          <w:sz w:val="22"/>
          <w:szCs w:val="20"/>
          <w:lang w:eastAsia="en-US"/>
        </w:rPr>
      </w:pPr>
      <w:r w:rsidRPr="00241464">
        <w:rPr>
          <w:rFonts w:ascii="Arial Narrow" w:hAnsi="Arial Narrow"/>
          <w:b/>
          <w:sz w:val="22"/>
          <w:szCs w:val="20"/>
          <w:lang w:eastAsia="en-US"/>
        </w:rPr>
        <w:t>Dôchodkové sociálne dávky</w:t>
      </w:r>
      <w:r w:rsidRPr="00241464">
        <w:rPr>
          <w:rFonts w:ascii="Arial Narrow" w:hAnsi="Arial Narrow"/>
          <w:sz w:val="22"/>
          <w:szCs w:val="20"/>
          <w:lang w:eastAsia="en-US"/>
        </w:rPr>
        <w:t xml:space="preserve"> sú iné sociálne dávky ako dôchodky vyplácané poberateľom dôchodkov, </w:t>
      </w:r>
      <w:r w:rsidR="0059645E" w:rsidRPr="00241464">
        <w:rPr>
          <w:rFonts w:ascii="Arial Narrow" w:hAnsi="Arial Narrow"/>
          <w:sz w:val="22"/>
          <w:szCs w:val="20"/>
          <w:lang w:eastAsia="en-US"/>
        </w:rPr>
        <w:t>(</w:t>
      </w:r>
      <w:r w:rsidRPr="00241464">
        <w:rPr>
          <w:rFonts w:ascii="Arial Narrow" w:hAnsi="Arial Narrow"/>
          <w:sz w:val="22"/>
          <w:szCs w:val="20"/>
          <w:lang w:eastAsia="en-US"/>
        </w:rPr>
        <w:t>napr.</w:t>
      </w:r>
      <w:r w:rsidR="0059645E" w:rsidRPr="00241464">
        <w:rPr>
          <w:rFonts w:ascii="Arial Narrow" w:hAnsi="Arial Narrow"/>
          <w:sz w:val="22"/>
          <w:szCs w:val="20"/>
          <w:lang w:eastAsia="en-US"/>
        </w:rPr>
        <w:t xml:space="preserve"> </w:t>
      </w:r>
      <w:r w:rsidRPr="00241464">
        <w:rPr>
          <w:rFonts w:ascii="Arial Narrow" w:hAnsi="Arial Narrow"/>
          <w:sz w:val="22"/>
          <w:szCs w:val="20"/>
          <w:lang w:eastAsia="en-US"/>
        </w:rPr>
        <w:t>jednorazové peňažné alebo vecné dávky, napr. vianočný príspevok k dôchodkom).</w:t>
      </w:r>
    </w:p>
    <w:p w:rsidR="00241464" w:rsidRPr="00AE3EB7" w:rsidRDefault="00241464" w:rsidP="00B07FFA">
      <w:pPr>
        <w:rPr>
          <w:rFonts w:ascii="Arial Narrow" w:hAnsi="Arial Narrow"/>
          <w:iCs/>
          <w:color w:val="000000" w:themeColor="text1"/>
          <w:sz w:val="10"/>
          <w:szCs w:val="10"/>
        </w:rPr>
      </w:pPr>
    </w:p>
    <w:p w:rsidR="00C20220" w:rsidRDefault="00C20220" w:rsidP="00C20220">
      <w:pPr>
        <w:pStyle w:val="Nadpis7"/>
        <w:rPr>
          <w:rFonts w:ascii="Arial Narrow" w:hAnsi="Arial Narrow"/>
          <w:b/>
          <w:i w:val="0"/>
          <w:color w:val="000000" w:themeColor="text1"/>
          <w:sz w:val="20"/>
          <w:szCs w:val="20"/>
        </w:rPr>
      </w:pPr>
      <w:bookmarkStart w:id="3" w:name="_Toc356482754"/>
      <w:r w:rsidRPr="0059645E">
        <w:rPr>
          <w:rFonts w:ascii="Arial Narrow" w:hAnsi="Arial Narrow"/>
          <w:b/>
          <w:i w:val="0"/>
          <w:color w:val="000000" w:themeColor="text1"/>
          <w:sz w:val="20"/>
          <w:szCs w:val="20"/>
        </w:rPr>
        <w:t xml:space="preserve">Graf </w:t>
      </w:r>
      <w:r w:rsidR="006D61F7" w:rsidRPr="0059645E">
        <w:rPr>
          <w:rFonts w:ascii="Arial Narrow" w:hAnsi="Arial Narrow"/>
          <w:b/>
          <w:i w:val="0"/>
          <w:color w:val="000000" w:themeColor="text1"/>
          <w:sz w:val="20"/>
          <w:szCs w:val="20"/>
        </w:rPr>
        <w:t>2.1</w:t>
      </w:r>
      <w:r w:rsidRPr="0059645E">
        <w:rPr>
          <w:rFonts w:ascii="Arial Narrow" w:hAnsi="Arial Narrow"/>
          <w:b/>
          <w:i w:val="0"/>
          <w:color w:val="000000" w:themeColor="text1"/>
          <w:sz w:val="20"/>
          <w:szCs w:val="20"/>
        </w:rPr>
        <w:t xml:space="preserve"> </w:t>
      </w:r>
      <w:r w:rsidR="00A54A25">
        <w:rPr>
          <w:rFonts w:ascii="Arial Narrow" w:hAnsi="Arial Narrow"/>
          <w:b/>
          <w:i w:val="0"/>
          <w:color w:val="000000" w:themeColor="text1"/>
          <w:sz w:val="20"/>
          <w:szCs w:val="20"/>
        </w:rPr>
        <w:t xml:space="preserve"> </w:t>
      </w:r>
      <w:r w:rsidRPr="0059645E">
        <w:rPr>
          <w:rFonts w:ascii="Arial Narrow" w:hAnsi="Arial Narrow"/>
          <w:b/>
          <w:i w:val="0"/>
          <w:color w:val="000000" w:themeColor="text1"/>
          <w:sz w:val="20"/>
          <w:szCs w:val="20"/>
        </w:rPr>
        <w:t>Výdavky na dôchodky</w:t>
      </w:r>
      <w:r w:rsidR="007D1146" w:rsidRPr="0059645E">
        <w:rPr>
          <w:rFonts w:ascii="Arial Narrow" w:hAnsi="Arial Narrow"/>
          <w:b/>
          <w:i w:val="0"/>
          <w:color w:val="000000" w:themeColor="text1"/>
          <w:sz w:val="20"/>
          <w:szCs w:val="20"/>
        </w:rPr>
        <w:t xml:space="preserve"> v SR</w:t>
      </w:r>
      <w:r w:rsidRPr="0059645E">
        <w:rPr>
          <w:rFonts w:ascii="Arial Narrow" w:hAnsi="Arial Narrow"/>
          <w:b/>
          <w:i w:val="0"/>
          <w:color w:val="000000" w:themeColor="text1"/>
          <w:sz w:val="20"/>
          <w:szCs w:val="20"/>
        </w:rPr>
        <w:t>, 199</w:t>
      </w:r>
      <w:r w:rsidR="00437D3C">
        <w:rPr>
          <w:rFonts w:ascii="Arial Narrow" w:hAnsi="Arial Narrow"/>
          <w:b/>
          <w:i w:val="0"/>
          <w:color w:val="000000" w:themeColor="text1"/>
          <w:sz w:val="20"/>
          <w:szCs w:val="20"/>
        </w:rPr>
        <w:t>8</w:t>
      </w:r>
      <w:r w:rsidRPr="0059645E">
        <w:rPr>
          <w:rFonts w:ascii="Arial Narrow" w:hAnsi="Arial Narrow"/>
          <w:b/>
          <w:i w:val="0"/>
          <w:color w:val="000000" w:themeColor="text1"/>
          <w:sz w:val="20"/>
          <w:szCs w:val="20"/>
        </w:rPr>
        <w:t xml:space="preserve"> </w:t>
      </w:r>
      <w:r w:rsidR="00241464">
        <w:rPr>
          <w:rFonts w:ascii="Arial Narrow" w:hAnsi="Arial Narrow"/>
          <w:b/>
          <w:i w:val="0"/>
          <w:color w:val="000000" w:themeColor="text1"/>
          <w:sz w:val="20"/>
          <w:szCs w:val="20"/>
        </w:rPr>
        <w:t>–</w:t>
      </w:r>
      <w:r w:rsidRPr="0059645E">
        <w:rPr>
          <w:rFonts w:ascii="Arial Narrow" w:hAnsi="Arial Narrow"/>
          <w:b/>
          <w:i w:val="0"/>
          <w:color w:val="000000" w:themeColor="text1"/>
          <w:sz w:val="20"/>
          <w:szCs w:val="20"/>
        </w:rPr>
        <w:t xml:space="preserve"> 201</w:t>
      </w:r>
      <w:bookmarkEnd w:id="3"/>
      <w:r w:rsidR="00437D3C">
        <w:rPr>
          <w:rFonts w:ascii="Arial Narrow" w:hAnsi="Arial Narrow"/>
          <w:b/>
          <w:i w:val="0"/>
          <w:color w:val="000000" w:themeColor="text1"/>
          <w:sz w:val="20"/>
          <w:szCs w:val="20"/>
        </w:rPr>
        <w:t>9</w:t>
      </w:r>
    </w:p>
    <w:p w:rsidR="00241464" w:rsidRPr="00241464" w:rsidRDefault="00241464" w:rsidP="00241464">
      <w:pPr>
        <w:rPr>
          <w:sz w:val="10"/>
          <w:szCs w:val="10"/>
        </w:rPr>
      </w:pPr>
    </w:p>
    <w:p w:rsidR="00C20220" w:rsidRPr="00AE6EDB" w:rsidRDefault="00E436ED" w:rsidP="00C20220">
      <w:r>
        <w:rPr>
          <w:noProof/>
          <w:lang w:eastAsia="sk-SK"/>
        </w:rPr>
        <w:drawing>
          <wp:inline distT="0" distB="0" distL="0" distR="0" wp14:anchorId="060FA78D" wp14:editId="4D68A144">
            <wp:extent cx="5589525" cy="1971675"/>
            <wp:effectExtent l="0" t="0" r="11430" b="9525"/>
            <wp:docPr id="37" name="Graf 37">
              <a:extLst xmlns:a="http://schemas.openxmlformats.org/drawingml/2006/main">
                <a:ext uri="{FF2B5EF4-FFF2-40B4-BE49-F238E27FC236}">
                  <a16:creationId xmlns:a16="http://schemas.microsoft.com/office/drawing/2014/main" id="{00000000-0008-0000-0A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241464" w:rsidRPr="00241464" w:rsidRDefault="00241464" w:rsidP="00241464">
      <w:pPr>
        <w:pStyle w:val="Nadpis6"/>
        <w:jc w:val="both"/>
        <w:rPr>
          <w:rFonts w:ascii="Arial Narrow" w:hAnsi="Arial Narrow"/>
          <w:b w:val="0"/>
          <w:i/>
          <w:sz w:val="10"/>
          <w:szCs w:val="10"/>
        </w:rPr>
      </w:pPr>
    </w:p>
    <w:p w:rsidR="00215255" w:rsidRPr="00B07FFA" w:rsidRDefault="00215255" w:rsidP="00241464">
      <w:pPr>
        <w:pStyle w:val="Nadpis6"/>
        <w:jc w:val="both"/>
        <w:rPr>
          <w:rFonts w:ascii="Arial Narrow" w:hAnsi="Arial Narrow"/>
          <w:b w:val="0"/>
          <w:i/>
          <w:sz w:val="16"/>
          <w:szCs w:val="16"/>
        </w:rPr>
      </w:pPr>
      <w:r w:rsidRPr="00B07FFA">
        <w:rPr>
          <w:rFonts w:ascii="Arial Narrow" w:hAnsi="Arial Narrow"/>
          <w:b w:val="0"/>
          <w:i/>
          <w:sz w:val="16"/>
          <w:szCs w:val="16"/>
        </w:rPr>
        <w:t xml:space="preserve">Zdroj: ŠÚ SR </w:t>
      </w:r>
      <w:r w:rsidR="003951B8" w:rsidRPr="00B07FFA">
        <w:rPr>
          <w:rFonts w:ascii="Arial Narrow" w:hAnsi="Arial Narrow"/>
          <w:b w:val="0"/>
          <w:i/>
          <w:sz w:val="16"/>
          <w:szCs w:val="16"/>
        </w:rPr>
        <w:t>-</w:t>
      </w:r>
      <w:r w:rsidRPr="00B07FFA">
        <w:rPr>
          <w:rFonts w:ascii="Arial Narrow" w:hAnsi="Arial Narrow"/>
          <w:b w:val="0"/>
          <w:i/>
          <w:sz w:val="16"/>
          <w:szCs w:val="16"/>
        </w:rPr>
        <w:t xml:space="preserve"> ESSPROS</w:t>
      </w:r>
    </w:p>
    <w:p w:rsidR="00B07FFA" w:rsidRPr="00AE3EB7" w:rsidRDefault="00B07FFA" w:rsidP="00B07FFA">
      <w:pPr>
        <w:ind w:right="141"/>
        <w:jc w:val="both"/>
        <w:rPr>
          <w:rFonts w:ascii="Arial Narrow" w:hAnsi="Arial Narrow"/>
          <w:iCs/>
          <w:color w:val="000000" w:themeColor="text1"/>
          <w:sz w:val="10"/>
          <w:szCs w:val="10"/>
        </w:rPr>
      </w:pPr>
    </w:p>
    <w:p w:rsidR="00B07FFA" w:rsidRPr="00241464" w:rsidRDefault="00B07FFA" w:rsidP="00B07FFA">
      <w:pPr>
        <w:ind w:right="141" w:firstLine="708"/>
        <w:jc w:val="both"/>
        <w:rPr>
          <w:rFonts w:ascii="Arial Narrow" w:hAnsi="Arial Narrow"/>
          <w:iCs/>
          <w:color w:val="000000" w:themeColor="text1"/>
          <w:sz w:val="22"/>
          <w:szCs w:val="20"/>
        </w:rPr>
      </w:pPr>
      <w:r w:rsidRPr="00241464">
        <w:rPr>
          <w:rFonts w:ascii="Arial Narrow" w:hAnsi="Arial Narrow"/>
          <w:iCs/>
          <w:color w:val="000000" w:themeColor="text1"/>
          <w:sz w:val="22"/>
          <w:szCs w:val="20"/>
        </w:rPr>
        <w:t>Celkové hrubé výdavky na dôchodky v roku 201</w:t>
      </w:r>
      <w:r w:rsidR="00CD3B12" w:rsidRPr="00241464">
        <w:rPr>
          <w:rFonts w:ascii="Arial Narrow" w:hAnsi="Arial Narrow"/>
          <w:iCs/>
          <w:color w:val="000000" w:themeColor="text1"/>
          <w:sz w:val="22"/>
          <w:szCs w:val="20"/>
        </w:rPr>
        <w:t>9</w:t>
      </w:r>
      <w:r w:rsidRPr="00241464">
        <w:rPr>
          <w:rFonts w:ascii="Arial Narrow" w:hAnsi="Arial Narrow"/>
          <w:iCs/>
          <w:color w:val="000000" w:themeColor="text1"/>
          <w:sz w:val="22"/>
          <w:szCs w:val="20"/>
        </w:rPr>
        <w:t xml:space="preserve"> dosiahli 7 8</w:t>
      </w:r>
      <w:r w:rsidR="00CD3B12" w:rsidRPr="00241464">
        <w:rPr>
          <w:rFonts w:ascii="Arial Narrow" w:hAnsi="Arial Narrow"/>
          <w:iCs/>
          <w:color w:val="000000" w:themeColor="text1"/>
          <w:sz w:val="22"/>
          <w:szCs w:val="20"/>
        </w:rPr>
        <w:t>10</w:t>
      </w:r>
      <w:r w:rsidRPr="00241464">
        <w:rPr>
          <w:rFonts w:ascii="Arial Narrow" w:hAnsi="Arial Narrow"/>
          <w:iCs/>
          <w:color w:val="000000" w:themeColor="text1"/>
          <w:sz w:val="22"/>
          <w:szCs w:val="20"/>
        </w:rPr>
        <w:t>,</w:t>
      </w:r>
      <w:r w:rsidR="00CD3B12" w:rsidRPr="00241464">
        <w:rPr>
          <w:rFonts w:ascii="Arial Narrow" w:hAnsi="Arial Narrow"/>
          <w:iCs/>
          <w:color w:val="000000" w:themeColor="text1"/>
          <w:sz w:val="22"/>
          <w:szCs w:val="20"/>
        </w:rPr>
        <w:t>3</w:t>
      </w:r>
      <w:r w:rsidRPr="00241464">
        <w:rPr>
          <w:rFonts w:ascii="Arial Narrow" w:hAnsi="Arial Narrow"/>
          <w:iCs/>
          <w:color w:val="000000" w:themeColor="text1"/>
          <w:sz w:val="22"/>
          <w:szCs w:val="20"/>
        </w:rPr>
        <w:t xml:space="preserve"> mil. eur, resp. 8,</w:t>
      </w:r>
      <w:r w:rsidR="00CD3B12" w:rsidRPr="00241464">
        <w:rPr>
          <w:rFonts w:ascii="Arial Narrow" w:hAnsi="Arial Narrow"/>
          <w:iCs/>
          <w:color w:val="000000" w:themeColor="text1"/>
          <w:sz w:val="22"/>
          <w:szCs w:val="20"/>
        </w:rPr>
        <w:t>3</w:t>
      </w:r>
      <w:r w:rsidRPr="00241464">
        <w:rPr>
          <w:rFonts w:ascii="Arial Narrow" w:hAnsi="Arial Narrow"/>
          <w:iCs/>
          <w:color w:val="000000" w:themeColor="text1"/>
          <w:sz w:val="22"/>
          <w:szCs w:val="20"/>
        </w:rPr>
        <w:t xml:space="preserve"> % HDP. Na jedného obyvateľa hrubé výdavky na </w:t>
      </w:r>
      <w:r w:rsidR="00D2571E" w:rsidRPr="00241464">
        <w:rPr>
          <w:rFonts w:ascii="Arial Narrow" w:hAnsi="Arial Narrow"/>
          <w:iCs/>
          <w:color w:val="000000" w:themeColor="text1"/>
          <w:sz w:val="22"/>
          <w:szCs w:val="20"/>
        </w:rPr>
        <w:t xml:space="preserve">starobné </w:t>
      </w:r>
      <w:r w:rsidRPr="00241464">
        <w:rPr>
          <w:rFonts w:ascii="Arial Narrow" w:hAnsi="Arial Narrow"/>
          <w:iCs/>
          <w:color w:val="000000" w:themeColor="text1"/>
          <w:sz w:val="22"/>
          <w:szCs w:val="20"/>
        </w:rPr>
        <w:t>dôchodky v s. c. roku 2010 v roku 201</w:t>
      </w:r>
      <w:r w:rsidR="00CD3B12" w:rsidRPr="00241464">
        <w:rPr>
          <w:rFonts w:ascii="Arial Narrow" w:hAnsi="Arial Narrow"/>
          <w:iCs/>
          <w:color w:val="000000" w:themeColor="text1"/>
          <w:sz w:val="22"/>
          <w:szCs w:val="20"/>
        </w:rPr>
        <w:t>9</w:t>
      </w:r>
      <w:r w:rsidRPr="00241464">
        <w:rPr>
          <w:rFonts w:ascii="Arial Narrow" w:hAnsi="Arial Narrow"/>
          <w:iCs/>
          <w:color w:val="000000" w:themeColor="text1"/>
          <w:sz w:val="22"/>
          <w:szCs w:val="20"/>
        </w:rPr>
        <w:t xml:space="preserve"> predstavovali </w:t>
      </w:r>
      <w:r w:rsidR="00CD3B12" w:rsidRPr="00241464">
        <w:rPr>
          <w:rFonts w:ascii="Arial Narrow" w:hAnsi="Arial Narrow"/>
          <w:iCs/>
          <w:color w:val="000000" w:themeColor="text1"/>
          <w:sz w:val="22"/>
          <w:szCs w:val="20"/>
        </w:rPr>
        <w:t>935</w:t>
      </w:r>
      <w:r w:rsidRPr="00241464">
        <w:rPr>
          <w:rFonts w:ascii="Arial Narrow" w:hAnsi="Arial Narrow"/>
          <w:iCs/>
          <w:color w:val="000000" w:themeColor="text1"/>
          <w:sz w:val="22"/>
          <w:szCs w:val="20"/>
        </w:rPr>
        <w:t>,</w:t>
      </w:r>
      <w:r w:rsidR="00CD3B12" w:rsidRPr="00241464">
        <w:rPr>
          <w:rFonts w:ascii="Arial Narrow" w:hAnsi="Arial Narrow"/>
          <w:iCs/>
          <w:color w:val="000000" w:themeColor="text1"/>
          <w:sz w:val="22"/>
          <w:szCs w:val="20"/>
        </w:rPr>
        <w:t>7</w:t>
      </w:r>
      <w:r w:rsidRPr="00241464">
        <w:rPr>
          <w:rFonts w:ascii="Arial Narrow" w:hAnsi="Arial Narrow"/>
          <w:iCs/>
          <w:color w:val="000000" w:themeColor="text1"/>
          <w:sz w:val="22"/>
          <w:szCs w:val="20"/>
        </w:rPr>
        <w:t> eura. Najväčšiu časť výdavkov na dôchodky tvori</w:t>
      </w:r>
      <w:r w:rsidR="00C079AA" w:rsidRPr="00241464">
        <w:rPr>
          <w:rFonts w:ascii="Arial Narrow" w:hAnsi="Arial Narrow"/>
          <w:iCs/>
          <w:color w:val="000000" w:themeColor="text1"/>
          <w:sz w:val="22"/>
          <w:szCs w:val="20"/>
        </w:rPr>
        <w:t>li</w:t>
      </w:r>
      <w:r w:rsidRPr="00241464">
        <w:rPr>
          <w:rFonts w:ascii="Arial Narrow" w:hAnsi="Arial Narrow"/>
          <w:iCs/>
          <w:color w:val="000000" w:themeColor="text1"/>
          <w:sz w:val="22"/>
          <w:szCs w:val="20"/>
        </w:rPr>
        <w:t xml:space="preserve"> výdavky na starobné dôchodky (minimálne </w:t>
      </w:r>
      <w:r w:rsidR="00F24928" w:rsidRPr="00241464">
        <w:rPr>
          <w:rFonts w:ascii="Arial Narrow" w:hAnsi="Arial Narrow"/>
          <w:iCs/>
          <w:color w:val="000000" w:themeColor="text1"/>
          <w:sz w:val="22"/>
          <w:szCs w:val="20"/>
        </w:rPr>
        <w:t>69,2</w:t>
      </w:r>
      <w:r w:rsidRPr="00241464">
        <w:rPr>
          <w:rFonts w:ascii="Arial Narrow" w:hAnsi="Arial Narrow"/>
          <w:iCs/>
          <w:color w:val="000000" w:themeColor="text1"/>
          <w:sz w:val="22"/>
          <w:szCs w:val="20"/>
        </w:rPr>
        <w:t> % v roku 2009, maximálne 75,8 % v roku 2003; v roku 201</w:t>
      </w:r>
      <w:r w:rsidR="00430573" w:rsidRPr="00241464">
        <w:rPr>
          <w:rFonts w:ascii="Arial Narrow" w:hAnsi="Arial Narrow"/>
          <w:iCs/>
          <w:color w:val="000000" w:themeColor="text1"/>
          <w:sz w:val="22"/>
          <w:szCs w:val="20"/>
        </w:rPr>
        <w:t>9</w:t>
      </w:r>
      <w:r w:rsidRPr="00241464">
        <w:rPr>
          <w:rFonts w:ascii="Arial Narrow" w:hAnsi="Arial Narrow"/>
          <w:iCs/>
          <w:color w:val="000000" w:themeColor="text1"/>
          <w:sz w:val="22"/>
          <w:szCs w:val="20"/>
        </w:rPr>
        <w:t xml:space="preserve"> starobné dôchodky predstavovali 7</w:t>
      </w:r>
      <w:r w:rsidR="00430573" w:rsidRPr="00241464">
        <w:rPr>
          <w:rFonts w:ascii="Arial Narrow" w:hAnsi="Arial Narrow"/>
          <w:iCs/>
          <w:color w:val="000000" w:themeColor="text1"/>
          <w:sz w:val="22"/>
          <w:szCs w:val="20"/>
        </w:rPr>
        <w:t>5</w:t>
      </w:r>
      <w:r w:rsidRPr="00241464">
        <w:rPr>
          <w:rFonts w:ascii="Arial Narrow" w:hAnsi="Arial Narrow"/>
          <w:iCs/>
          <w:color w:val="000000" w:themeColor="text1"/>
          <w:sz w:val="22"/>
          <w:szCs w:val="20"/>
        </w:rPr>
        <w:t>,</w:t>
      </w:r>
      <w:r w:rsidR="00430573" w:rsidRPr="00241464">
        <w:rPr>
          <w:rFonts w:ascii="Arial Narrow" w:hAnsi="Arial Narrow"/>
          <w:iCs/>
          <w:color w:val="000000" w:themeColor="text1"/>
          <w:sz w:val="22"/>
          <w:szCs w:val="20"/>
        </w:rPr>
        <w:t>7</w:t>
      </w:r>
      <w:r w:rsidRPr="00241464">
        <w:rPr>
          <w:rFonts w:ascii="Arial Narrow" w:hAnsi="Arial Narrow"/>
          <w:iCs/>
          <w:color w:val="000000" w:themeColor="text1"/>
          <w:sz w:val="22"/>
          <w:szCs w:val="20"/>
        </w:rPr>
        <w:t> % zo všetkých výdavkov na dôchodky), invalidné dôchodky (minimálne 11,</w:t>
      </w:r>
      <w:r w:rsidR="006503DC">
        <w:rPr>
          <w:rFonts w:ascii="Arial Narrow" w:hAnsi="Arial Narrow"/>
          <w:iCs/>
          <w:color w:val="000000" w:themeColor="text1"/>
          <w:sz w:val="22"/>
          <w:szCs w:val="20"/>
        </w:rPr>
        <w:t>1 % v roku 2019</w:t>
      </w:r>
      <w:r w:rsidRPr="00241464">
        <w:rPr>
          <w:rFonts w:ascii="Arial Narrow" w:hAnsi="Arial Narrow"/>
          <w:iCs/>
          <w:color w:val="000000" w:themeColor="text1"/>
          <w:sz w:val="22"/>
          <w:szCs w:val="20"/>
        </w:rPr>
        <w:t>, maximálne 12,</w:t>
      </w:r>
      <w:r w:rsidR="00363889" w:rsidRPr="00241464">
        <w:rPr>
          <w:rFonts w:ascii="Arial Narrow" w:hAnsi="Arial Narrow"/>
          <w:iCs/>
          <w:color w:val="000000" w:themeColor="text1"/>
          <w:sz w:val="22"/>
          <w:szCs w:val="20"/>
        </w:rPr>
        <w:t>5</w:t>
      </w:r>
      <w:r w:rsidRPr="00241464">
        <w:rPr>
          <w:rFonts w:ascii="Arial Narrow" w:hAnsi="Arial Narrow"/>
          <w:iCs/>
          <w:color w:val="000000" w:themeColor="text1"/>
          <w:sz w:val="22"/>
          <w:szCs w:val="20"/>
        </w:rPr>
        <w:t xml:space="preserve"> % v roku </w:t>
      </w:r>
      <w:r w:rsidR="00363889" w:rsidRPr="00241464">
        <w:rPr>
          <w:rFonts w:ascii="Arial Narrow" w:hAnsi="Arial Narrow"/>
          <w:iCs/>
          <w:color w:val="000000" w:themeColor="text1"/>
          <w:sz w:val="22"/>
          <w:szCs w:val="20"/>
        </w:rPr>
        <w:t>2012</w:t>
      </w:r>
      <w:r w:rsidR="006503DC">
        <w:rPr>
          <w:rFonts w:ascii="Arial Narrow" w:hAnsi="Arial Narrow"/>
          <w:iCs/>
          <w:color w:val="000000" w:themeColor="text1"/>
          <w:sz w:val="22"/>
          <w:szCs w:val="20"/>
        </w:rPr>
        <w:t>)</w:t>
      </w:r>
      <w:r w:rsidRPr="00241464">
        <w:rPr>
          <w:rFonts w:ascii="Arial Narrow" w:hAnsi="Arial Narrow"/>
          <w:iCs/>
          <w:color w:val="000000" w:themeColor="text1"/>
          <w:sz w:val="22"/>
          <w:szCs w:val="20"/>
        </w:rPr>
        <w:t xml:space="preserve">, pozostalostné dôchodky (minimálne </w:t>
      </w:r>
      <w:r w:rsidR="00430573" w:rsidRPr="00241464">
        <w:rPr>
          <w:rFonts w:ascii="Arial Narrow" w:hAnsi="Arial Narrow"/>
          <w:iCs/>
          <w:color w:val="000000" w:themeColor="text1"/>
          <w:sz w:val="22"/>
          <w:szCs w:val="20"/>
        </w:rPr>
        <w:t>9</w:t>
      </w:r>
      <w:r w:rsidRPr="00241464">
        <w:rPr>
          <w:rFonts w:ascii="Arial Narrow" w:hAnsi="Arial Narrow"/>
          <w:iCs/>
          <w:color w:val="000000" w:themeColor="text1"/>
          <w:sz w:val="22"/>
          <w:szCs w:val="20"/>
        </w:rPr>
        <w:t>,</w:t>
      </w:r>
      <w:r w:rsidR="00430573" w:rsidRPr="00241464">
        <w:rPr>
          <w:rFonts w:ascii="Arial Narrow" w:hAnsi="Arial Narrow"/>
          <w:iCs/>
          <w:color w:val="000000" w:themeColor="text1"/>
          <w:sz w:val="22"/>
          <w:szCs w:val="20"/>
        </w:rPr>
        <w:t>6</w:t>
      </w:r>
      <w:r w:rsidRPr="00241464">
        <w:rPr>
          <w:rFonts w:ascii="Arial Narrow" w:hAnsi="Arial Narrow"/>
          <w:iCs/>
          <w:color w:val="000000" w:themeColor="text1"/>
          <w:sz w:val="22"/>
          <w:szCs w:val="20"/>
        </w:rPr>
        <w:t xml:space="preserve"> % </w:t>
      </w:r>
      <w:r w:rsidRPr="00241464">
        <w:rPr>
          <w:rFonts w:ascii="Arial Narrow" w:hAnsi="Arial Narrow"/>
          <w:iCs/>
          <w:color w:val="000000" w:themeColor="text1"/>
          <w:sz w:val="22"/>
          <w:szCs w:val="20"/>
        </w:rPr>
        <w:lastRenderedPageBreak/>
        <w:t>v roku 201</w:t>
      </w:r>
      <w:r w:rsidR="00430573" w:rsidRPr="00241464">
        <w:rPr>
          <w:rFonts w:ascii="Arial Narrow" w:hAnsi="Arial Narrow"/>
          <w:iCs/>
          <w:color w:val="000000" w:themeColor="text1"/>
          <w:sz w:val="22"/>
          <w:szCs w:val="20"/>
        </w:rPr>
        <w:t>9</w:t>
      </w:r>
      <w:r w:rsidRPr="00241464">
        <w:rPr>
          <w:rFonts w:ascii="Arial Narrow" w:hAnsi="Arial Narrow"/>
          <w:iCs/>
          <w:color w:val="000000" w:themeColor="text1"/>
          <w:sz w:val="22"/>
          <w:szCs w:val="20"/>
        </w:rPr>
        <w:t xml:space="preserve">, maximálne </w:t>
      </w:r>
      <w:r w:rsidR="00363889" w:rsidRPr="00241464">
        <w:rPr>
          <w:rFonts w:ascii="Arial Narrow" w:hAnsi="Arial Narrow"/>
          <w:iCs/>
          <w:color w:val="000000" w:themeColor="text1"/>
          <w:sz w:val="22"/>
          <w:szCs w:val="20"/>
        </w:rPr>
        <w:t>13,</w:t>
      </w:r>
      <w:r w:rsidR="00430573" w:rsidRPr="00241464">
        <w:rPr>
          <w:rFonts w:ascii="Arial Narrow" w:hAnsi="Arial Narrow"/>
          <w:iCs/>
          <w:color w:val="000000" w:themeColor="text1"/>
          <w:sz w:val="22"/>
          <w:szCs w:val="20"/>
        </w:rPr>
        <w:t>4</w:t>
      </w:r>
      <w:r w:rsidRPr="00241464">
        <w:rPr>
          <w:rFonts w:ascii="Arial Narrow" w:hAnsi="Arial Narrow"/>
          <w:iCs/>
          <w:color w:val="000000" w:themeColor="text1"/>
          <w:sz w:val="22"/>
          <w:szCs w:val="20"/>
        </w:rPr>
        <w:t> % v roku 199</w:t>
      </w:r>
      <w:r w:rsidR="00430573" w:rsidRPr="00241464">
        <w:rPr>
          <w:rFonts w:ascii="Arial Narrow" w:hAnsi="Arial Narrow"/>
          <w:iCs/>
          <w:color w:val="000000" w:themeColor="text1"/>
          <w:sz w:val="22"/>
          <w:szCs w:val="20"/>
        </w:rPr>
        <w:t>8</w:t>
      </w:r>
      <w:r w:rsidRPr="00241464">
        <w:rPr>
          <w:rFonts w:ascii="Arial Narrow" w:hAnsi="Arial Narrow"/>
          <w:iCs/>
          <w:color w:val="000000" w:themeColor="text1"/>
          <w:sz w:val="22"/>
          <w:szCs w:val="20"/>
        </w:rPr>
        <w:t xml:space="preserve">) a predčasné dôchodky </w:t>
      </w:r>
      <w:r w:rsidR="00430573" w:rsidRPr="00241464">
        <w:rPr>
          <w:rFonts w:ascii="Arial Narrow" w:hAnsi="Arial Narrow"/>
          <w:iCs/>
          <w:color w:val="000000" w:themeColor="text1"/>
          <w:sz w:val="22"/>
          <w:szCs w:val="20"/>
        </w:rPr>
        <w:t>(</w:t>
      </w:r>
      <w:r w:rsidR="006503DC">
        <w:rPr>
          <w:rFonts w:ascii="Arial Narrow" w:hAnsi="Arial Narrow"/>
          <w:iCs/>
          <w:color w:val="000000" w:themeColor="text1"/>
          <w:sz w:val="22"/>
          <w:szCs w:val="20"/>
        </w:rPr>
        <w:t xml:space="preserve">minimálne 0,1 % v rokoch 2002 a 2003, maximálne 4,6 % v roku 2008) </w:t>
      </w:r>
      <w:r w:rsidRPr="00241464">
        <w:rPr>
          <w:rFonts w:ascii="Arial Narrow" w:hAnsi="Arial Narrow"/>
          <w:iCs/>
          <w:color w:val="000000" w:themeColor="text1"/>
          <w:sz w:val="22"/>
          <w:szCs w:val="20"/>
        </w:rPr>
        <w:t>v roku 201</w:t>
      </w:r>
      <w:r w:rsidR="00430573" w:rsidRPr="00241464">
        <w:rPr>
          <w:rFonts w:ascii="Arial Narrow" w:hAnsi="Arial Narrow"/>
          <w:iCs/>
          <w:color w:val="000000" w:themeColor="text1"/>
          <w:sz w:val="22"/>
          <w:szCs w:val="20"/>
        </w:rPr>
        <w:t>9</w:t>
      </w:r>
      <w:r w:rsidR="006503DC">
        <w:rPr>
          <w:rFonts w:ascii="Arial Narrow" w:hAnsi="Arial Narrow"/>
          <w:iCs/>
          <w:color w:val="000000" w:themeColor="text1"/>
          <w:sz w:val="22"/>
          <w:szCs w:val="20"/>
        </w:rPr>
        <w:t xml:space="preserve"> tvorili </w:t>
      </w:r>
      <w:r w:rsidRPr="00241464">
        <w:rPr>
          <w:rFonts w:ascii="Arial Narrow" w:hAnsi="Arial Narrow"/>
          <w:iCs/>
          <w:color w:val="000000" w:themeColor="text1"/>
          <w:sz w:val="22"/>
          <w:szCs w:val="20"/>
        </w:rPr>
        <w:t>1,</w:t>
      </w:r>
      <w:r w:rsidR="00430573" w:rsidRPr="00241464">
        <w:rPr>
          <w:rFonts w:ascii="Arial Narrow" w:hAnsi="Arial Narrow"/>
          <w:iCs/>
          <w:color w:val="000000" w:themeColor="text1"/>
          <w:sz w:val="22"/>
          <w:szCs w:val="20"/>
        </w:rPr>
        <w:t>1</w:t>
      </w:r>
      <w:r w:rsidR="006503DC">
        <w:rPr>
          <w:rFonts w:ascii="Arial Narrow" w:hAnsi="Arial Narrow"/>
          <w:iCs/>
          <w:color w:val="000000" w:themeColor="text1"/>
          <w:sz w:val="22"/>
          <w:szCs w:val="20"/>
        </w:rPr>
        <w:t xml:space="preserve"> % podiel</w:t>
      </w:r>
      <w:r w:rsidRPr="00241464">
        <w:rPr>
          <w:rFonts w:ascii="Arial Narrow" w:hAnsi="Arial Narrow"/>
          <w:iCs/>
          <w:color w:val="000000" w:themeColor="text1"/>
          <w:sz w:val="22"/>
          <w:szCs w:val="20"/>
        </w:rPr>
        <w:t>.</w:t>
      </w:r>
    </w:p>
    <w:p w:rsidR="00E920BE" w:rsidRPr="00AE3EB7" w:rsidRDefault="00E920BE" w:rsidP="009F70CF">
      <w:pPr>
        <w:rPr>
          <w:rFonts w:ascii="Arial Narrow" w:hAnsi="Arial Narrow"/>
          <w:b/>
          <w:sz w:val="10"/>
          <w:szCs w:val="10"/>
        </w:rPr>
      </w:pPr>
    </w:p>
    <w:p w:rsidR="00E920BE" w:rsidRDefault="006374D7" w:rsidP="009F70CF">
      <w:pPr>
        <w:rPr>
          <w:rFonts w:ascii="Arial Narrow" w:hAnsi="Arial Narrow"/>
          <w:b/>
          <w:sz w:val="20"/>
          <w:szCs w:val="20"/>
        </w:rPr>
      </w:pPr>
      <w:r>
        <w:rPr>
          <w:rFonts w:ascii="Arial Narrow" w:hAnsi="Arial Narrow"/>
          <w:b/>
          <w:sz w:val="20"/>
          <w:szCs w:val="20"/>
        </w:rPr>
        <w:t xml:space="preserve">Graf 2.2 </w:t>
      </w:r>
      <w:r w:rsidR="003951B8">
        <w:rPr>
          <w:rFonts w:ascii="Arial Narrow" w:hAnsi="Arial Narrow"/>
          <w:b/>
          <w:sz w:val="20"/>
          <w:szCs w:val="20"/>
        </w:rPr>
        <w:t xml:space="preserve"> </w:t>
      </w:r>
      <w:r w:rsidR="00F24928">
        <w:rPr>
          <w:rFonts w:ascii="Arial Narrow" w:hAnsi="Arial Narrow"/>
          <w:b/>
          <w:sz w:val="20"/>
          <w:szCs w:val="20"/>
        </w:rPr>
        <w:t>Vý</w:t>
      </w:r>
      <w:r>
        <w:rPr>
          <w:rFonts w:ascii="Arial Narrow" w:hAnsi="Arial Narrow"/>
          <w:b/>
          <w:sz w:val="20"/>
          <w:szCs w:val="20"/>
        </w:rPr>
        <w:t>davk</w:t>
      </w:r>
      <w:r w:rsidR="00F24928">
        <w:rPr>
          <w:rFonts w:ascii="Arial Narrow" w:hAnsi="Arial Narrow"/>
          <w:b/>
          <w:sz w:val="20"/>
          <w:szCs w:val="20"/>
        </w:rPr>
        <w:t>y</w:t>
      </w:r>
      <w:r>
        <w:rPr>
          <w:rFonts w:ascii="Arial Narrow" w:hAnsi="Arial Narrow"/>
          <w:b/>
          <w:sz w:val="20"/>
          <w:szCs w:val="20"/>
        </w:rPr>
        <w:t xml:space="preserve"> na dôchodky</w:t>
      </w:r>
      <w:r w:rsidR="000B0D1F">
        <w:rPr>
          <w:rFonts w:ascii="Arial Narrow" w:hAnsi="Arial Narrow"/>
          <w:b/>
          <w:sz w:val="20"/>
          <w:szCs w:val="20"/>
        </w:rPr>
        <w:t xml:space="preserve"> v SR</w:t>
      </w:r>
      <w:r>
        <w:rPr>
          <w:rFonts w:ascii="Arial Narrow" w:hAnsi="Arial Narrow"/>
          <w:b/>
          <w:sz w:val="20"/>
          <w:szCs w:val="20"/>
        </w:rPr>
        <w:t xml:space="preserve"> podľa kategórií, </w:t>
      </w:r>
      <w:r w:rsidR="00F24928">
        <w:rPr>
          <w:rFonts w:ascii="Arial Narrow" w:hAnsi="Arial Narrow"/>
          <w:b/>
          <w:sz w:val="20"/>
          <w:szCs w:val="20"/>
        </w:rPr>
        <w:t>199</w:t>
      </w:r>
      <w:r w:rsidR="009B7F5F">
        <w:rPr>
          <w:rFonts w:ascii="Arial Narrow" w:hAnsi="Arial Narrow"/>
          <w:b/>
          <w:sz w:val="20"/>
          <w:szCs w:val="20"/>
        </w:rPr>
        <w:t>8</w:t>
      </w:r>
      <w:r w:rsidR="00695A63" w:rsidRPr="00695A63">
        <w:rPr>
          <w:rFonts w:ascii="Arial Narrow" w:hAnsi="Arial Narrow"/>
          <w:b/>
          <w:sz w:val="20"/>
          <w:szCs w:val="20"/>
        </w:rPr>
        <w:t xml:space="preserve"> </w:t>
      </w:r>
      <w:r w:rsidR="00F24928">
        <w:rPr>
          <w:rFonts w:ascii="Arial Narrow" w:hAnsi="Arial Narrow"/>
          <w:b/>
          <w:sz w:val="20"/>
          <w:szCs w:val="20"/>
        </w:rPr>
        <w:t>–</w:t>
      </w:r>
      <w:r w:rsidR="00695A63" w:rsidRPr="00695A63">
        <w:rPr>
          <w:rFonts w:ascii="Arial Narrow" w:hAnsi="Arial Narrow"/>
          <w:b/>
          <w:sz w:val="20"/>
          <w:szCs w:val="20"/>
        </w:rPr>
        <w:t xml:space="preserve"> </w:t>
      </w:r>
      <w:r>
        <w:rPr>
          <w:rFonts w:ascii="Arial Narrow" w:hAnsi="Arial Narrow"/>
          <w:b/>
          <w:sz w:val="20"/>
          <w:szCs w:val="20"/>
        </w:rPr>
        <w:t>201</w:t>
      </w:r>
      <w:r w:rsidR="009B7F5F">
        <w:rPr>
          <w:rFonts w:ascii="Arial Narrow" w:hAnsi="Arial Narrow"/>
          <w:b/>
          <w:sz w:val="20"/>
          <w:szCs w:val="20"/>
        </w:rPr>
        <w:t>9</w:t>
      </w:r>
    </w:p>
    <w:p w:rsidR="00241464" w:rsidRPr="00241464" w:rsidRDefault="00241464" w:rsidP="009F70CF">
      <w:pPr>
        <w:rPr>
          <w:rFonts w:ascii="Arial Narrow" w:hAnsi="Arial Narrow"/>
          <w:b/>
          <w:sz w:val="10"/>
          <w:szCs w:val="10"/>
        </w:rPr>
      </w:pPr>
    </w:p>
    <w:p w:rsidR="00241464" w:rsidRPr="00AE3EB7" w:rsidRDefault="00E436ED" w:rsidP="00AE3EB7">
      <w:pPr>
        <w:rPr>
          <w:rFonts w:ascii="Arial Narrow" w:hAnsi="Arial Narrow"/>
          <w:b/>
          <w:sz w:val="20"/>
          <w:szCs w:val="20"/>
        </w:rPr>
      </w:pPr>
      <w:r>
        <w:rPr>
          <w:noProof/>
          <w:lang w:eastAsia="sk-SK"/>
        </w:rPr>
        <w:drawing>
          <wp:inline distT="0" distB="0" distL="0" distR="0" wp14:anchorId="72354B45" wp14:editId="495A3F97">
            <wp:extent cx="4583113" cy="2127249"/>
            <wp:effectExtent l="0" t="0" r="8255" b="6985"/>
            <wp:docPr id="38" name="Graf 38">
              <a:extLst xmlns:a="http://schemas.openxmlformats.org/drawingml/2006/main">
                <a:ext uri="{FF2B5EF4-FFF2-40B4-BE49-F238E27FC236}">
                  <a16:creationId xmlns:a16="http://schemas.microsoft.com/office/drawing/2014/main" id="{00000000-0008-0000-0A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AE3EB7" w:rsidRPr="00AE3EB7" w:rsidRDefault="00AE3EB7" w:rsidP="00241464">
      <w:pPr>
        <w:pStyle w:val="Nadpis6"/>
        <w:jc w:val="both"/>
        <w:rPr>
          <w:rFonts w:ascii="Arial Narrow" w:hAnsi="Arial Narrow"/>
          <w:b w:val="0"/>
          <w:i/>
          <w:sz w:val="10"/>
          <w:szCs w:val="10"/>
        </w:rPr>
      </w:pPr>
    </w:p>
    <w:p w:rsidR="007A1F7A" w:rsidRPr="00B07FFA" w:rsidRDefault="007A1F7A" w:rsidP="00241464">
      <w:pPr>
        <w:pStyle w:val="Nadpis6"/>
        <w:jc w:val="both"/>
        <w:rPr>
          <w:rFonts w:ascii="Arial Narrow" w:hAnsi="Arial Narrow"/>
          <w:b w:val="0"/>
          <w:i/>
          <w:sz w:val="16"/>
          <w:szCs w:val="16"/>
        </w:rPr>
      </w:pPr>
      <w:r w:rsidRPr="00B07FFA">
        <w:rPr>
          <w:rFonts w:ascii="Arial Narrow" w:hAnsi="Arial Narrow"/>
          <w:b w:val="0"/>
          <w:i/>
          <w:sz w:val="16"/>
          <w:szCs w:val="16"/>
        </w:rPr>
        <w:t xml:space="preserve">Zdroj: ŠÚ SR </w:t>
      </w:r>
      <w:r w:rsidR="00B07FFA" w:rsidRPr="00B07FFA">
        <w:rPr>
          <w:rFonts w:ascii="Arial Narrow" w:hAnsi="Arial Narrow"/>
          <w:b w:val="0"/>
          <w:i/>
          <w:sz w:val="16"/>
          <w:szCs w:val="16"/>
        </w:rPr>
        <w:t>-</w:t>
      </w:r>
      <w:r w:rsidRPr="00B07FFA">
        <w:rPr>
          <w:rFonts w:ascii="Arial Narrow" w:hAnsi="Arial Narrow"/>
          <w:b w:val="0"/>
          <w:i/>
          <w:sz w:val="16"/>
          <w:szCs w:val="16"/>
        </w:rPr>
        <w:t xml:space="preserve"> ESSPROS</w:t>
      </w:r>
    </w:p>
    <w:p w:rsidR="00241464" w:rsidRDefault="00241464" w:rsidP="00241464">
      <w:pPr>
        <w:rPr>
          <w:rFonts w:ascii="Arial Narrow" w:hAnsi="Arial Narrow"/>
          <w:b/>
          <w:sz w:val="20"/>
          <w:szCs w:val="20"/>
        </w:rPr>
      </w:pPr>
    </w:p>
    <w:p w:rsidR="00FE6C1E" w:rsidRPr="00241464" w:rsidRDefault="006374D7" w:rsidP="00241464">
      <w:pPr>
        <w:rPr>
          <w:rFonts w:ascii="Arial Narrow" w:hAnsi="Arial Narrow"/>
          <w:b/>
          <w:sz w:val="20"/>
          <w:szCs w:val="20"/>
        </w:rPr>
      </w:pPr>
      <w:r w:rsidRPr="00241464">
        <w:rPr>
          <w:rFonts w:ascii="Arial Narrow" w:hAnsi="Arial Narrow"/>
          <w:b/>
          <w:szCs w:val="22"/>
        </w:rPr>
        <w:t>3.</w:t>
      </w:r>
      <w:r w:rsidRPr="00241464">
        <w:rPr>
          <w:rFonts w:ascii="Arial Narrow" w:hAnsi="Arial Narrow"/>
          <w:szCs w:val="22"/>
        </w:rPr>
        <w:t xml:space="preserve"> </w:t>
      </w:r>
      <w:r w:rsidR="00FE6C1E" w:rsidRPr="00241464">
        <w:rPr>
          <w:rFonts w:ascii="Arial Narrow" w:hAnsi="Arial Narrow"/>
          <w:szCs w:val="22"/>
        </w:rPr>
        <w:t xml:space="preserve"> </w:t>
      </w:r>
      <w:r w:rsidR="00202673" w:rsidRPr="00241464">
        <w:rPr>
          <w:rFonts w:ascii="Arial Narrow" w:hAnsi="Arial Narrow"/>
          <w:b/>
          <w:szCs w:val="22"/>
        </w:rPr>
        <w:t>Počet poberateľov dôchodkov s elimináciou duplicity</w:t>
      </w:r>
      <w:r w:rsidR="003B1644" w:rsidRPr="00241464">
        <w:rPr>
          <w:rFonts w:ascii="Arial Narrow" w:hAnsi="Arial Narrow"/>
          <w:b/>
          <w:szCs w:val="22"/>
        </w:rPr>
        <w:t xml:space="preserve"> v SR</w:t>
      </w:r>
    </w:p>
    <w:p w:rsidR="00DD78E5" w:rsidRPr="00AE3EB7" w:rsidRDefault="00DD78E5" w:rsidP="00FE6C1E">
      <w:pPr>
        <w:jc w:val="both"/>
        <w:rPr>
          <w:rFonts w:ascii="Arial Narrow" w:hAnsi="Arial Narrow"/>
          <w:sz w:val="10"/>
          <w:szCs w:val="10"/>
        </w:rPr>
      </w:pPr>
    </w:p>
    <w:p w:rsidR="00DD78E5" w:rsidRPr="00241464" w:rsidRDefault="00DD78E5" w:rsidP="00282BD8">
      <w:pPr>
        <w:ind w:right="141"/>
        <w:jc w:val="both"/>
        <w:rPr>
          <w:rFonts w:ascii="Arial Narrow" w:hAnsi="Arial Narrow" w:cs="Arial"/>
          <w:noProof/>
          <w:sz w:val="22"/>
          <w:szCs w:val="20"/>
        </w:rPr>
      </w:pPr>
      <w:r w:rsidRPr="00241464">
        <w:rPr>
          <w:rFonts w:ascii="Arial Narrow" w:hAnsi="Arial Narrow" w:cs="Arial"/>
          <w:noProof/>
          <w:sz w:val="22"/>
          <w:szCs w:val="20"/>
        </w:rPr>
        <w:t>V</w:t>
      </w:r>
      <w:r w:rsidR="00D52674" w:rsidRPr="00241464">
        <w:rPr>
          <w:rFonts w:ascii="Arial Narrow" w:hAnsi="Arial Narrow" w:cs="Arial"/>
          <w:noProof/>
          <w:sz w:val="22"/>
          <w:szCs w:val="20"/>
        </w:rPr>
        <w:t> </w:t>
      </w:r>
      <w:r w:rsidRPr="00241464">
        <w:rPr>
          <w:rFonts w:ascii="Arial Narrow" w:hAnsi="Arial Narrow" w:cs="Arial"/>
          <w:noProof/>
          <w:sz w:val="22"/>
          <w:szCs w:val="20"/>
        </w:rPr>
        <w:t>súlade</w:t>
      </w:r>
      <w:r w:rsidR="00D52674" w:rsidRPr="00241464">
        <w:rPr>
          <w:rFonts w:ascii="Arial Narrow" w:hAnsi="Arial Narrow" w:cs="Arial"/>
          <w:noProof/>
          <w:sz w:val="22"/>
          <w:szCs w:val="20"/>
        </w:rPr>
        <w:t> </w:t>
      </w:r>
      <w:r w:rsidRPr="00241464">
        <w:rPr>
          <w:rFonts w:ascii="Arial Narrow" w:hAnsi="Arial Narrow" w:cs="Arial"/>
          <w:noProof/>
          <w:sz w:val="22"/>
          <w:szCs w:val="20"/>
        </w:rPr>
        <w:t>s legislatívou Európskeho parlamentu</w:t>
      </w:r>
      <w:r w:rsidR="00D52674" w:rsidRPr="00241464">
        <w:rPr>
          <w:rFonts w:ascii="Arial Narrow" w:hAnsi="Arial Narrow" w:cs="Arial"/>
          <w:noProof/>
          <w:sz w:val="22"/>
          <w:szCs w:val="20"/>
        </w:rPr>
        <w:t> </w:t>
      </w:r>
      <w:r w:rsidRPr="00241464">
        <w:rPr>
          <w:rFonts w:ascii="Arial Narrow" w:hAnsi="Arial Narrow" w:cs="Arial"/>
          <w:noProof/>
          <w:sz w:val="22"/>
          <w:szCs w:val="20"/>
        </w:rPr>
        <w:t>a Rady č.</w:t>
      </w:r>
      <w:r w:rsidR="00D52674" w:rsidRPr="00241464">
        <w:rPr>
          <w:rFonts w:ascii="Arial Narrow" w:hAnsi="Arial Narrow" w:cs="Arial"/>
          <w:noProof/>
          <w:sz w:val="22"/>
          <w:szCs w:val="20"/>
        </w:rPr>
        <w:t> </w:t>
      </w:r>
      <w:r w:rsidRPr="00241464">
        <w:rPr>
          <w:rFonts w:ascii="Arial Narrow" w:hAnsi="Arial Narrow" w:cs="Arial"/>
          <w:noProof/>
          <w:sz w:val="22"/>
          <w:szCs w:val="20"/>
        </w:rPr>
        <w:t>458/2007 poberatelia dôchodkov sú definovaní ako poberatelia jednej alebo viacerých peňažných pravidelných dávok programov sociálnej ochrany vo väzbe na sedem dôchodkových kategórií (invalidný dôchodok, predčasný dôchodok z dôvodu zníženej pracovnej schopnosti, starobný dôchodok, predčasný starobný dôchodok, čiastočný dôchodok, pozostalostný dôchodok a predčasný dôchodok z dôvodov situácie na trhu práce).</w:t>
      </w:r>
    </w:p>
    <w:p w:rsidR="00282BD8" w:rsidRPr="00241464" w:rsidRDefault="00282BD8" w:rsidP="00282BD8">
      <w:pPr>
        <w:ind w:right="141"/>
        <w:jc w:val="both"/>
        <w:rPr>
          <w:rFonts w:ascii="Arial Narrow" w:hAnsi="Arial Narrow" w:cs="Arial"/>
          <w:noProof/>
          <w:sz w:val="22"/>
          <w:szCs w:val="20"/>
        </w:rPr>
      </w:pPr>
    </w:p>
    <w:p w:rsidR="00DD78E5" w:rsidRPr="00241464" w:rsidRDefault="00DD78E5" w:rsidP="002C7818">
      <w:pPr>
        <w:ind w:right="141"/>
        <w:jc w:val="both"/>
        <w:rPr>
          <w:rFonts w:ascii="Arial Narrow" w:hAnsi="Arial Narrow" w:cs="Arial"/>
          <w:noProof/>
          <w:sz w:val="22"/>
          <w:szCs w:val="20"/>
        </w:rPr>
      </w:pPr>
      <w:r w:rsidRPr="00241464">
        <w:rPr>
          <w:rFonts w:ascii="Arial Narrow" w:hAnsi="Arial Narrow" w:cs="Arial"/>
          <w:noProof/>
          <w:sz w:val="22"/>
          <w:szCs w:val="20"/>
        </w:rPr>
        <w:t>Členské štáty EÚ sú povinné poskytovať údaje o poberateľoch dôchodkov od roku 2008 (údaje za rok 2006). Cieľom modulu o poberateľoch dôchodkov je poskytnúť celkový počet príjemcov (bez dvojitého započítania):</w:t>
      </w:r>
    </w:p>
    <w:p w:rsidR="00DD78E5" w:rsidRPr="00241464" w:rsidRDefault="00DD78E5" w:rsidP="002C7818">
      <w:pPr>
        <w:ind w:left="708"/>
        <w:jc w:val="both"/>
        <w:rPr>
          <w:rFonts w:ascii="Arial Narrow" w:hAnsi="Arial Narrow" w:cs="Arial"/>
          <w:noProof/>
          <w:sz w:val="22"/>
          <w:szCs w:val="20"/>
        </w:rPr>
      </w:pPr>
      <w:r w:rsidRPr="00241464">
        <w:rPr>
          <w:rFonts w:ascii="Arial Narrow" w:hAnsi="Arial Narrow" w:cs="Arial"/>
          <w:noProof/>
          <w:sz w:val="22"/>
          <w:szCs w:val="20"/>
        </w:rPr>
        <w:t xml:space="preserve"> • pre každé zo 7 kategórií dôchodkov</w:t>
      </w:r>
    </w:p>
    <w:p w:rsidR="00DD78E5" w:rsidRPr="00241464" w:rsidRDefault="00DD78E5" w:rsidP="002C7818">
      <w:pPr>
        <w:ind w:left="708"/>
        <w:jc w:val="both"/>
        <w:rPr>
          <w:rFonts w:ascii="Arial Narrow" w:hAnsi="Arial Narrow" w:cs="Arial"/>
          <w:noProof/>
          <w:sz w:val="22"/>
          <w:szCs w:val="20"/>
        </w:rPr>
      </w:pPr>
      <w:r w:rsidRPr="00241464">
        <w:rPr>
          <w:rFonts w:ascii="Arial Narrow" w:hAnsi="Arial Narrow" w:cs="Arial"/>
          <w:noProof/>
          <w:sz w:val="22"/>
          <w:szCs w:val="20"/>
        </w:rPr>
        <w:t xml:space="preserve"> • pre každý zo štyroch účelov obsahujúcich tieto kategórie (invalidita, staroba, pozostalosť a nezamestnanosť)</w:t>
      </w:r>
    </w:p>
    <w:p w:rsidR="00DD78E5" w:rsidRPr="00241464" w:rsidRDefault="00513758" w:rsidP="002C7818">
      <w:pPr>
        <w:ind w:left="708"/>
        <w:jc w:val="both"/>
        <w:rPr>
          <w:rFonts w:ascii="Arial Narrow" w:hAnsi="Arial Narrow" w:cs="Arial"/>
          <w:noProof/>
          <w:sz w:val="22"/>
          <w:szCs w:val="20"/>
        </w:rPr>
      </w:pPr>
      <w:r w:rsidRPr="00241464">
        <w:rPr>
          <w:rFonts w:ascii="Arial Narrow" w:hAnsi="Arial Narrow" w:cs="Arial"/>
          <w:noProof/>
          <w:sz w:val="22"/>
          <w:szCs w:val="20"/>
        </w:rPr>
        <w:t xml:space="preserve"> • pre účely </w:t>
      </w:r>
      <w:r w:rsidR="00DD78E5" w:rsidRPr="00241464">
        <w:rPr>
          <w:rFonts w:ascii="Arial Narrow" w:hAnsi="Arial Narrow" w:cs="Arial"/>
          <w:noProof/>
          <w:sz w:val="22"/>
          <w:szCs w:val="20"/>
        </w:rPr>
        <w:t>staroba</w:t>
      </w:r>
      <w:r w:rsidRPr="00241464">
        <w:rPr>
          <w:rFonts w:ascii="Arial Narrow" w:hAnsi="Arial Narrow" w:cs="Arial"/>
          <w:noProof/>
          <w:sz w:val="22"/>
          <w:szCs w:val="20"/>
        </w:rPr>
        <w:t xml:space="preserve"> a </w:t>
      </w:r>
      <w:r w:rsidR="00DD78E5" w:rsidRPr="00241464">
        <w:rPr>
          <w:rFonts w:ascii="Arial Narrow" w:hAnsi="Arial Narrow" w:cs="Arial"/>
          <w:noProof/>
          <w:sz w:val="22"/>
          <w:szCs w:val="20"/>
        </w:rPr>
        <w:t>pozostal</w:t>
      </w:r>
      <w:r w:rsidRPr="00241464">
        <w:rPr>
          <w:rFonts w:ascii="Arial Narrow" w:hAnsi="Arial Narrow" w:cs="Arial"/>
          <w:noProof/>
          <w:sz w:val="22"/>
          <w:szCs w:val="20"/>
        </w:rPr>
        <w:t>í</w:t>
      </w:r>
      <w:r w:rsidR="00DD78E5" w:rsidRPr="00241464">
        <w:rPr>
          <w:rFonts w:ascii="Arial Narrow" w:hAnsi="Arial Narrow" w:cs="Arial"/>
          <w:noProof/>
          <w:sz w:val="22"/>
          <w:szCs w:val="20"/>
        </w:rPr>
        <w:t xml:space="preserve"> </w:t>
      </w:r>
    </w:p>
    <w:p w:rsidR="00DD78E5" w:rsidRPr="00241464" w:rsidRDefault="00DD78E5" w:rsidP="002C7818">
      <w:pPr>
        <w:ind w:left="708"/>
        <w:jc w:val="both"/>
        <w:rPr>
          <w:rFonts w:ascii="Arial Narrow" w:hAnsi="Arial Narrow" w:cs="Arial"/>
          <w:noProof/>
          <w:sz w:val="22"/>
          <w:szCs w:val="20"/>
        </w:rPr>
      </w:pPr>
      <w:r w:rsidRPr="00241464">
        <w:rPr>
          <w:rFonts w:ascii="Arial Narrow" w:hAnsi="Arial Narrow" w:cs="Arial"/>
          <w:noProof/>
          <w:sz w:val="22"/>
          <w:szCs w:val="20"/>
        </w:rPr>
        <w:t xml:space="preserve"> • pre agregáciu štyroch účelov na úrovni spolu (bez dvojitého započítania poberateľov dôchodkov).</w:t>
      </w:r>
    </w:p>
    <w:p w:rsidR="00DD78E5" w:rsidRPr="00A2285F" w:rsidRDefault="00DD78E5" w:rsidP="00DD78E5">
      <w:pPr>
        <w:spacing w:after="60"/>
        <w:rPr>
          <w:rFonts w:ascii="Arial Narrow" w:hAnsi="Arial Narrow" w:cs="Arial"/>
          <w:sz w:val="20"/>
          <w:szCs w:val="20"/>
        </w:rPr>
      </w:pPr>
      <w:r w:rsidRPr="00A2285F">
        <w:rPr>
          <w:b/>
          <w:noProof/>
          <w:szCs w:val="20"/>
          <w:lang w:eastAsia="sk-SK"/>
        </w:rPr>
        <mc:AlternateContent>
          <mc:Choice Requires="wps">
            <w:drawing>
              <wp:anchor distT="0" distB="0" distL="114300" distR="114300" simplePos="0" relativeHeight="251764736" behindDoc="0" locked="0" layoutInCell="1" allowOverlap="1" wp14:anchorId="1048BF6D" wp14:editId="51E466AE">
                <wp:simplePos x="0" y="0"/>
                <wp:positionH relativeFrom="column">
                  <wp:posOffset>132715</wp:posOffset>
                </wp:positionH>
                <wp:positionV relativeFrom="paragraph">
                  <wp:posOffset>113030</wp:posOffset>
                </wp:positionV>
                <wp:extent cx="3905250" cy="1581150"/>
                <wp:effectExtent l="0" t="0" r="19050" b="19050"/>
                <wp:wrapNone/>
                <wp:docPr id="152"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0" cy="15811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04DD4" id="Rectangle 155" o:spid="_x0000_s1026" style="position:absolute;margin-left:10.45pt;margin-top:8.9pt;width:307.5pt;height:124.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XEOeQIAAAAFAAAOAAAAZHJzL2Uyb0RvYy54bWysVFFv2yAQfp+0/4B4T21Su02sOFUVJ9Ok&#10;bqvW7QcQwDEaBg9InK7af9+BkyxZX6ZpfsAcd9zdd/cds7t9q9BOWCeNLjG5SjESmhku9abEX7+s&#10;RhOMnKeaU2W0KPGzcPhu/vbNrO8KMTaNUVxYBE60K/quxI33XZEkjjWipe7KdEKDsja2pR5Eu0m4&#10;pT14b1UyTtObpDeWd9Yw4RycVoMSz6P/uhbMf6prJzxSJYbcfFxtXNdhTeYzWmws7RrJDmnQf8ii&#10;pVJD0JOrinqKtla+ctVKZo0ztb9ipk1MXUsmIgZAQ9I/0Dw1tBMRCxTHdacyuf/nln3cPVokOfQu&#10;H2OkaQtN+gxlo3qjBCJ5HkrUd64Ay6fu0QaQrnsw7JtD2iwasBP31pq+EZRDYiTYJxcXguDgKlr3&#10;HwwH/3TrTazWvrZtcAh1QPvYlOdTU8TeIwaH19M0H+fQOwY6kk8IASHEoMXxemedfydMi8KmxBbS&#10;j+7p7sH5wfRoEqJps5JKwTktlEZ9iacQIF5wRkkelBGl3awXyqIdDdyJ3yHuhVkrPTBYybbEk5MR&#10;LUI5lprHKJ5KNewhaaWDc0AHuR12A1Nepul0OVlOslE2vlmOsrSqRverRTa6WZHbvLquFouK/Ax5&#10;kqxoJOdCh1SPrCXZ37HiMD8D3068vYDkzpGv4vcaeXKZRmwIoDr+I7rIg9D6gUJrw5+BBtYMYwjP&#10;BmwaY39g1MMIlth931IrMFLvNVBpSrIszGwUsvx2DII916zPNVQzcFVij9GwXfhhzredlZsGIpHY&#10;Y23ugX61jMQI1ByyOpAWxiwiODwJYY7P5Wj1++Ga/wIAAP//AwBQSwMEFAAGAAgAAAAhAHfFGFHc&#10;AAAACQEAAA8AAABkcnMvZG93bnJldi54bWxMj8FOwzAQRO9I/IO1SNyoQ1FDCXGqgOi1EgWJ9ubG&#10;ix01Xkex24S/ZznR484bzc6Uq8l34oxDbAMpuJ9lIJCaYFqyCj4/1ndLEDFpMroLhAp+MMKqur4q&#10;dWHCSO943iYrOIRioRW4lPpCytg49DrOQo/E7DsMXic+ByvNoEcO952cZ1kuvW6JPzjd46vD5rg9&#10;eQVv/X5TL2yU9Vdyu2N4GdduY5W6vZnqZxAJp/Rvhr/6XB0q7nQIJzJRdArm2RM7WX/kBczzhwUL&#10;BwZ5vgRZlfJyQfULAAD//wMAUEsBAi0AFAAGAAgAAAAhALaDOJL+AAAA4QEAABMAAAAAAAAAAAAA&#10;AAAAAAAAAFtDb250ZW50X1R5cGVzXS54bWxQSwECLQAUAAYACAAAACEAOP0h/9YAAACUAQAACwAA&#10;AAAAAAAAAAAAAAAvAQAAX3JlbHMvLnJlbHNQSwECLQAUAAYACAAAACEAem1xDnkCAAAABQAADgAA&#10;AAAAAAAAAAAAAAAuAgAAZHJzL2Uyb0RvYy54bWxQSwECLQAUAAYACAAAACEAd8UYUdwAAAAJAQAA&#10;DwAAAAAAAAAAAAAAAADTBAAAZHJzL2Rvd25yZXYueG1sUEsFBgAAAAAEAAQA8wAAANwFAAAAAA==&#10;" filled="f"/>
            </w:pict>
          </mc:Fallback>
        </mc:AlternateContent>
      </w:r>
    </w:p>
    <w:p w:rsidR="00DD78E5" w:rsidRPr="00A2285F" w:rsidRDefault="00DD78E5" w:rsidP="00DD78E5">
      <w:pPr>
        <w:spacing w:after="120"/>
        <w:rPr>
          <w:rFonts w:ascii="Arial" w:hAnsi="Arial" w:cs="Arial"/>
          <w:b/>
          <w:noProof/>
          <w:sz w:val="16"/>
          <w:szCs w:val="16"/>
        </w:rPr>
      </w:pPr>
      <w:r w:rsidRPr="00A2285F">
        <w:rPr>
          <w:rFonts w:ascii="Arial Narrow" w:hAnsi="Arial Narrow" w:cs="Arial"/>
          <w:sz w:val="20"/>
          <w:szCs w:val="20"/>
        </w:rPr>
        <w:t xml:space="preserve">      </w:t>
      </w:r>
      <w:r w:rsidRPr="00A2285F">
        <w:rPr>
          <w:rFonts w:ascii="Arial Narrow" w:hAnsi="Arial Narrow" w:cs="Arial"/>
          <w:b/>
          <w:sz w:val="20"/>
          <w:szCs w:val="20"/>
        </w:rPr>
        <w:t>Poradie krokov pri eliminácii dvojitého započítania poberateľov dôchodkov</w:t>
      </w:r>
    </w:p>
    <w:p w:rsidR="00DD78E5" w:rsidRPr="00A2285F" w:rsidRDefault="00DD78E5" w:rsidP="0020351B">
      <w:pPr>
        <w:numPr>
          <w:ilvl w:val="0"/>
          <w:numId w:val="1"/>
        </w:numPr>
        <w:rPr>
          <w:rFonts w:ascii="Arial Narrow" w:hAnsi="Arial Narrow" w:cs="Arial"/>
          <w:sz w:val="20"/>
          <w:szCs w:val="20"/>
        </w:rPr>
      </w:pPr>
      <w:r w:rsidRPr="00A2285F">
        <w:rPr>
          <w:rFonts w:ascii="Arial Narrow" w:hAnsi="Arial Narrow" w:cs="Arial"/>
          <w:sz w:val="20"/>
          <w:szCs w:val="20"/>
        </w:rPr>
        <w:t>Na úrovni položky vo vnútri programu</w:t>
      </w:r>
    </w:p>
    <w:p w:rsidR="00DD78E5" w:rsidRPr="00A2285F" w:rsidRDefault="00DD78E5" w:rsidP="00DD78E5">
      <w:pPr>
        <w:rPr>
          <w:rFonts w:ascii="Arial Narrow" w:hAnsi="Arial Narrow" w:cs="Arial"/>
          <w:sz w:val="10"/>
          <w:szCs w:val="10"/>
        </w:rPr>
      </w:pPr>
    </w:p>
    <w:p w:rsidR="00DD78E5" w:rsidRPr="00A2285F" w:rsidRDefault="00DD78E5" w:rsidP="0020351B">
      <w:pPr>
        <w:numPr>
          <w:ilvl w:val="0"/>
          <w:numId w:val="1"/>
        </w:numPr>
        <w:rPr>
          <w:rFonts w:ascii="Arial Narrow" w:hAnsi="Arial Narrow" w:cs="Arial"/>
          <w:sz w:val="20"/>
          <w:szCs w:val="20"/>
        </w:rPr>
      </w:pPr>
      <w:r w:rsidRPr="00A2285F">
        <w:rPr>
          <w:rFonts w:ascii="Arial Narrow" w:hAnsi="Arial Narrow" w:cs="Arial"/>
          <w:sz w:val="20"/>
          <w:szCs w:val="20"/>
        </w:rPr>
        <w:t xml:space="preserve">Na úrovni individuálnej dôchodkovej kategórie medzi programami </w:t>
      </w:r>
    </w:p>
    <w:p w:rsidR="00DD78E5" w:rsidRPr="00A2285F" w:rsidRDefault="00DD78E5" w:rsidP="00DD78E5">
      <w:pPr>
        <w:rPr>
          <w:rFonts w:ascii="Arial Narrow" w:hAnsi="Arial Narrow" w:cs="Arial"/>
          <w:sz w:val="10"/>
          <w:szCs w:val="10"/>
        </w:rPr>
      </w:pPr>
    </w:p>
    <w:p w:rsidR="00DD78E5" w:rsidRPr="00A2285F" w:rsidRDefault="00DD78E5" w:rsidP="0020351B">
      <w:pPr>
        <w:numPr>
          <w:ilvl w:val="0"/>
          <w:numId w:val="1"/>
        </w:numPr>
        <w:rPr>
          <w:rFonts w:ascii="Arial Narrow" w:hAnsi="Arial Narrow" w:cs="Arial"/>
          <w:sz w:val="20"/>
          <w:szCs w:val="20"/>
        </w:rPr>
      </w:pPr>
      <w:r w:rsidRPr="00A2285F">
        <w:rPr>
          <w:rFonts w:ascii="Arial Narrow" w:hAnsi="Arial Narrow" w:cs="Arial"/>
          <w:sz w:val="20"/>
          <w:szCs w:val="20"/>
        </w:rPr>
        <w:t xml:space="preserve">Na úrovni položky medzi netestovanými a testovanými </w:t>
      </w:r>
      <w:proofErr w:type="spellStart"/>
      <w:r w:rsidRPr="00A2285F">
        <w:rPr>
          <w:rFonts w:ascii="Arial Narrow" w:hAnsi="Arial Narrow" w:cs="Arial"/>
          <w:sz w:val="20"/>
          <w:szCs w:val="20"/>
        </w:rPr>
        <w:t>subkategóriami</w:t>
      </w:r>
      <w:proofErr w:type="spellEnd"/>
      <w:r w:rsidRPr="00A2285F">
        <w:rPr>
          <w:rFonts w:ascii="Arial Narrow" w:hAnsi="Arial Narrow" w:cs="Arial"/>
          <w:sz w:val="20"/>
          <w:szCs w:val="20"/>
        </w:rPr>
        <w:t xml:space="preserve"> </w:t>
      </w:r>
    </w:p>
    <w:p w:rsidR="00DD78E5" w:rsidRPr="00A2285F" w:rsidRDefault="00DD78E5" w:rsidP="00DD78E5">
      <w:pPr>
        <w:jc w:val="center"/>
        <w:rPr>
          <w:rFonts w:ascii="Arial Narrow" w:hAnsi="Arial Narrow" w:cs="Arial"/>
          <w:b/>
          <w:noProof/>
          <w:sz w:val="10"/>
          <w:szCs w:val="10"/>
        </w:rPr>
      </w:pPr>
    </w:p>
    <w:p w:rsidR="00DD78E5" w:rsidRPr="00A2285F" w:rsidRDefault="00DD78E5" w:rsidP="0020351B">
      <w:pPr>
        <w:numPr>
          <w:ilvl w:val="0"/>
          <w:numId w:val="1"/>
        </w:numPr>
        <w:rPr>
          <w:rFonts w:ascii="Arial Narrow" w:hAnsi="Arial Narrow" w:cs="Arial"/>
          <w:sz w:val="20"/>
          <w:szCs w:val="20"/>
        </w:rPr>
      </w:pPr>
      <w:r w:rsidRPr="00A2285F">
        <w:rPr>
          <w:rFonts w:ascii="Arial Narrow" w:hAnsi="Arial Narrow" w:cs="Arial"/>
          <w:sz w:val="20"/>
          <w:szCs w:val="20"/>
        </w:rPr>
        <w:t xml:space="preserve">Na úrovni vo vnútri účelu </w:t>
      </w:r>
    </w:p>
    <w:p w:rsidR="00DD78E5" w:rsidRPr="00A2285F" w:rsidRDefault="00DD78E5" w:rsidP="00DD78E5">
      <w:pPr>
        <w:rPr>
          <w:rFonts w:ascii="Arial Narrow" w:hAnsi="Arial Narrow" w:cs="Arial"/>
          <w:sz w:val="10"/>
          <w:szCs w:val="10"/>
        </w:rPr>
      </w:pPr>
    </w:p>
    <w:p w:rsidR="00DD78E5" w:rsidRPr="00A2285F" w:rsidRDefault="00DD78E5" w:rsidP="0020351B">
      <w:pPr>
        <w:numPr>
          <w:ilvl w:val="0"/>
          <w:numId w:val="1"/>
        </w:numPr>
        <w:rPr>
          <w:rFonts w:ascii="Arial Narrow" w:hAnsi="Arial Narrow" w:cs="Arial"/>
          <w:sz w:val="20"/>
          <w:szCs w:val="20"/>
        </w:rPr>
      </w:pPr>
      <w:r w:rsidRPr="00A2285F">
        <w:rPr>
          <w:rFonts w:ascii="Arial Narrow" w:hAnsi="Arial Narrow" w:cs="Arial"/>
          <w:sz w:val="20"/>
          <w:szCs w:val="20"/>
        </w:rPr>
        <w:t>Na úrovni medzi účelmi (staroba a</w:t>
      </w:r>
      <w:r w:rsidR="00513758">
        <w:rPr>
          <w:rFonts w:ascii="Arial Narrow" w:hAnsi="Arial Narrow" w:cs="Arial"/>
          <w:sz w:val="20"/>
          <w:szCs w:val="20"/>
        </w:rPr>
        <w:t> </w:t>
      </w:r>
      <w:r w:rsidRPr="00A2285F">
        <w:rPr>
          <w:rFonts w:ascii="Arial Narrow" w:hAnsi="Arial Narrow" w:cs="Arial"/>
          <w:sz w:val="20"/>
          <w:szCs w:val="20"/>
        </w:rPr>
        <w:t>pozostal</w:t>
      </w:r>
      <w:r w:rsidR="00513758">
        <w:rPr>
          <w:rFonts w:ascii="Arial Narrow" w:hAnsi="Arial Narrow" w:cs="Arial"/>
          <w:sz w:val="20"/>
          <w:szCs w:val="20"/>
        </w:rPr>
        <w:t>í)</w:t>
      </w:r>
    </w:p>
    <w:p w:rsidR="00DD78E5" w:rsidRPr="00A2285F" w:rsidRDefault="00DD78E5" w:rsidP="00DD78E5">
      <w:pPr>
        <w:rPr>
          <w:rFonts w:ascii="Arial Narrow" w:hAnsi="Arial Narrow" w:cs="Arial"/>
          <w:sz w:val="10"/>
          <w:szCs w:val="10"/>
          <w:u w:val="single"/>
        </w:rPr>
      </w:pPr>
    </w:p>
    <w:p w:rsidR="00DD78E5" w:rsidRPr="00A2285F" w:rsidRDefault="00DD78E5" w:rsidP="0020351B">
      <w:pPr>
        <w:numPr>
          <w:ilvl w:val="0"/>
          <w:numId w:val="1"/>
        </w:numPr>
        <w:spacing w:after="120"/>
        <w:rPr>
          <w:rFonts w:ascii="Arial Narrow" w:hAnsi="Arial Narrow" w:cs="Arial"/>
          <w:sz w:val="20"/>
          <w:szCs w:val="20"/>
        </w:rPr>
      </w:pPr>
      <w:r w:rsidRPr="00A2285F">
        <w:rPr>
          <w:rFonts w:ascii="Arial Narrow" w:hAnsi="Arial Narrow" w:cs="Arial"/>
          <w:sz w:val="20"/>
          <w:szCs w:val="20"/>
        </w:rPr>
        <w:t>Na úrovni úhrnu poberateľov dôchodkov</w:t>
      </w:r>
    </w:p>
    <w:p w:rsidR="00DD78E5" w:rsidRPr="00A2285F" w:rsidRDefault="00DD78E5" w:rsidP="00DD78E5">
      <w:pPr>
        <w:rPr>
          <w:rFonts w:ascii="Arial Narrow" w:hAnsi="Arial Narrow"/>
          <w:sz w:val="20"/>
          <w:szCs w:val="20"/>
        </w:rPr>
      </w:pPr>
    </w:p>
    <w:p w:rsidR="00FE6C1E" w:rsidRDefault="00FE6C1E" w:rsidP="002C7818">
      <w:pPr>
        <w:ind w:right="141"/>
        <w:jc w:val="both"/>
        <w:rPr>
          <w:rFonts w:ascii="Arial Narrow" w:hAnsi="Arial Narrow"/>
          <w:sz w:val="22"/>
          <w:szCs w:val="20"/>
        </w:rPr>
      </w:pPr>
      <w:r w:rsidRPr="00241464">
        <w:rPr>
          <w:rFonts w:ascii="Arial Narrow" w:hAnsi="Arial Narrow"/>
          <w:sz w:val="22"/>
          <w:szCs w:val="20"/>
        </w:rPr>
        <w:t xml:space="preserve">Do kategórii poberateľov dôchodkov a do celkového úhrnu dôchodcov (bez dvojitého narátavania) sú zahrnuté údaje za programy sociálnej ochrany 5 (Štátna sociálna podpora), 13 (Sociálne poistenie </w:t>
      </w:r>
      <w:r w:rsidR="00D52674" w:rsidRPr="00241464">
        <w:rPr>
          <w:rFonts w:ascii="Arial Narrow" w:hAnsi="Arial Narrow"/>
          <w:sz w:val="22"/>
          <w:szCs w:val="20"/>
        </w:rPr>
        <w:t>-</w:t>
      </w:r>
      <w:r w:rsidRPr="00241464">
        <w:rPr>
          <w:rFonts w:ascii="Arial Narrow" w:hAnsi="Arial Narrow"/>
          <w:sz w:val="22"/>
          <w:szCs w:val="20"/>
        </w:rPr>
        <w:t xml:space="preserve"> silové zložky), 18 (Starobné poistenie) </w:t>
      </w:r>
      <w:r w:rsidR="00BD090B" w:rsidRPr="00241464">
        <w:rPr>
          <w:rFonts w:ascii="Arial Narrow" w:hAnsi="Arial Narrow"/>
          <w:sz w:val="22"/>
          <w:szCs w:val="20"/>
        </w:rPr>
        <w:br/>
      </w:r>
      <w:r w:rsidRPr="00241464">
        <w:rPr>
          <w:rFonts w:ascii="Arial Narrow" w:hAnsi="Arial Narrow"/>
          <w:sz w:val="22"/>
          <w:szCs w:val="20"/>
        </w:rPr>
        <w:t>a 19 (Invalidné poistenie). Dôchodkové dávky vyplácané jednorazovo nie sú považované za dôchodky. Poberatelia dôchodkov zo sporivých dôchodkových programov (20</w:t>
      </w:r>
      <w:r w:rsidR="00D52674" w:rsidRPr="00241464">
        <w:rPr>
          <w:rFonts w:ascii="Arial Narrow" w:hAnsi="Arial Narrow"/>
          <w:sz w:val="22"/>
          <w:szCs w:val="20"/>
        </w:rPr>
        <w:t> </w:t>
      </w:r>
      <w:r w:rsidRPr="00241464">
        <w:rPr>
          <w:rFonts w:ascii="Arial Narrow" w:hAnsi="Arial Narrow"/>
          <w:sz w:val="22"/>
          <w:szCs w:val="20"/>
        </w:rPr>
        <w:t>-</w:t>
      </w:r>
      <w:r w:rsidR="00D52674" w:rsidRPr="00241464">
        <w:rPr>
          <w:rFonts w:ascii="Arial Narrow" w:hAnsi="Arial Narrow"/>
          <w:sz w:val="22"/>
          <w:szCs w:val="20"/>
        </w:rPr>
        <w:t> </w:t>
      </w:r>
      <w:r w:rsidRPr="00241464">
        <w:rPr>
          <w:rFonts w:ascii="Arial Narrow" w:hAnsi="Arial Narrow"/>
          <w:sz w:val="22"/>
          <w:szCs w:val="20"/>
        </w:rPr>
        <w:t>Dôchodkové sporenie a</w:t>
      </w:r>
      <w:r w:rsidR="00D52674" w:rsidRPr="00241464">
        <w:rPr>
          <w:rFonts w:ascii="Arial Narrow" w:hAnsi="Arial Narrow"/>
          <w:sz w:val="22"/>
          <w:szCs w:val="20"/>
        </w:rPr>
        <w:t> </w:t>
      </w:r>
      <w:r w:rsidRPr="00241464">
        <w:rPr>
          <w:rFonts w:ascii="Arial Narrow" w:hAnsi="Arial Narrow"/>
          <w:sz w:val="22"/>
          <w:szCs w:val="20"/>
        </w:rPr>
        <w:t>11</w:t>
      </w:r>
      <w:r w:rsidR="00D52674" w:rsidRPr="00241464">
        <w:rPr>
          <w:rFonts w:ascii="Arial Narrow" w:hAnsi="Arial Narrow"/>
          <w:sz w:val="22"/>
          <w:szCs w:val="20"/>
        </w:rPr>
        <w:t> </w:t>
      </w:r>
      <w:r w:rsidRPr="00241464">
        <w:rPr>
          <w:rFonts w:ascii="Arial Narrow" w:hAnsi="Arial Narrow"/>
          <w:sz w:val="22"/>
          <w:szCs w:val="20"/>
        </w:rPr>
        <w:t>-</w:t>
      </w:r>
      <w:r w:rsidR="00D52674" w:rsidRPr="00241464">
        <w:rPr>
          <w:rFonts w:ascii="Arial Narrow" w:hAnsi="Arial Narrow"/>
          <w:sz w:val="22"/>
          <w:szCs w:val="20"/>
        </w:rPr>
        <w:t> </w:t>
      </w:r>
      <w:r w:rsidRPr="00241464">
        <w:rPr>
          <w:rFonts w:ascii="Arial Narrow" w:hAnsi="Arial Narrow"/>
          <w:sz w:val="22"/>
          <w:szCs w:val="20"/>
        </w:rPr>
        <w:t xml:space="preserve">Doplnkové dôchodkové sporenie) nie sú zahrnutí v sumárnych údajoch z dôvodu, že tieto dôchodky sú vyplácané na základe individuálnych zmlúv. </w:t>
      </w:r>
    </w:p>
    <w:p w:rsidR="00F9237D" w:rsidRDefault="00F9237D" w:rsidP="002C7818">
      <w:pPr>
        <w:ind w:right="141"/>
        <w:jc w:val="both"/>
        <w:rPr>
          <w:rFonts w:ascii="Arial Narrow" w:hAnsi="Arial Narrow"/>
          <w:sz w:val="22"/>
          <w:szCs w:val="20"/>
        </w:rPr>
      </w:pPr>
    </w:p>
    <w:p w:rsidR="00F9237D" w:rsidRDefault="00F9237D" w:rsidP="002C7818">
      <w:pPr>
        <w:ind w:right="141"/>
        <w:jc w:val="both"/>
        <w:rPr>
          <w:rFonts w:ascii="Arial Narrow" w:hAnsi="Arial Narrow"/>
          <w:sz w:val="22"/>
          <w:szCs w:val="20"/>
        </w:rPr>
      </w:pPr>
    </w:p>
    <w:p w:rsidR="00F9237D" w:rsidRDefault="00F9237D" w:rsidP="002C7818">
      <w:pPr>
        <w:ind w:right="141"/>
        <w:jc w:val="both"/>
        <w:rPr>
          <w:rFonts w:ascii="Arial Narrow" w:hAnsi="Arial Narrow"/>
          <w:sz w:val="22"/>
          <w:szCs w:val="20"/>
        </w:rPr>
      </w:pPr>
    </w:p>
    <w:p w:rsidR="00F9237D" w:rsidRDefault="00F9237D" w:rsidP="002C7818">
      <w:pPr>
        <w:ind w:right="141"/>
        <w:jc w:val="both"/>
        <w:rPr>
          <w:rFonts w:ascii="Arial Narrow" w:hAnsi="Arial Narrow"/>
          <w:sz w:val="22"/>
          <w:szCs w:val="20"/>
        </w:rPr>
      </w:pPr>
    </w:p>
    <w:p w:rsidR="00F9237D" w:rsidRPr="00241464" w:rsidRDefault="00F9237D" w:rsidP="002C7818">
      <w:pPr>
        <w:ind w:right="141"/>
        <w:jc w:val="both"/>
        <w:rPr>
          <w:rFonts w:ascii="Arial Narrow" w:hAnsi="Arial Narrow"/>
          <w:sz w:val="22"/>
          <w:szCs w:val="20"/>
        </w:rPr>
      </w:pPr>
    </w:p>
    <w:p w:rsidR="00394A05" w:rsidRPr="00BD090B" w:rsidRDefault="00394A05">
      <w:pPr>
        <w:rPr>
          <w:rFonts w:ascii="Arial Narrow" w:hAnsi="Arial Narrow"/>
          <w:sz w:val="20"/>
          <w:szCs w:val="20"/>
        </w:rPr>
      </w:pPr>
    </w:p>
    <w:p w:rsidR="00241464" w:rsidRDefault="00E920BE" w:rsidP="00633120">
      <w:pPr>
        <w:rPr>
          <w:rFonts w:ascii="Arial Narrow" w:hAnsi="Arial Narrow"/>
          <w:sz w:val="19"/>
          <w:szCs w:val="19"/>
        </w:rPr>
      </w:pPr>
      <w:r w:rsidRPr="00F24928">
        <w:rPr>
          <w:rFonts w:ascii="Arial Narrow" w:hAnsi="Arial Narrow"/>
          <w:b/>
          <w:sz w:val="19"/>
          <w:szCs w:val="19"/>
        </w:rPr>
        <w:t xml:space="preserve">Tab. </w:t>
      </w:r>
      <w:r w:rsidR="001871C0" w:rsidRPr="00F24928">
        <w:rPr>
          <w:rFonts w:ascii="Arial Narrow" w:hAnsi="Arial Narrow"/>
          <w:b/>
          <w:sz w:val="19"/>
          <w:szCs w:val="19"/>
        </w:rPr>
        <w:t>3.1</w:t>
      </w:r>
      <w:r w:rsidRPr="00F24928">
        <w:rPr>
          <w:rFonts w:ascii="Arial Narrow" w:hAnsi="Arial Narrow"/>
          <w:b/>
          <w:sz w:val="19"/>
          <w:szCs w:val="19"/>
        </w:rPr>
        <w:t xml:space="preserve"> </w:t>
      </w:r>
      <w:r w:rsidR="00240206" w:rsidRPr="00F24928">
        <w:rPr>
          <w:rFonts w:ascii="Arial Narrow" w:hAnsi="Arial Narrow"/>
          <w:b/>
          <w:sz w:val="19"/>
          <w:szCs w:val="19"/>
        </w:rPr>
        <w:t xml:space="preserve">Počet poberateľov dôchodkov </w:t>
      </w:r>
      <w:r w:rsidR="005E2F6B" w:rsidRPr="00F24928">
        <w:rPr>
          <w:rFonts w:ascii="Arial Narrow" w:hAnsi="Arial Narrow"/>
          <w:sz w:val="19"/>
          <w:szCs w:val="19"/>
        </w:rPr>
        <w:t>(</w:t>
      </w:r>
      <w:r w:rsidR="00240206" w:rsidRPr="00F24928">
        <w:rPr>
          <w:rFonts w:ascii="Arial Narrow" w:hAnsi="Arial Narrow"/>
          <w:sz w:val="19"/>
          <w:szCs w:val="19"/>
        </w:rPr>
        <w:t xml:space="preserve">bez </w:t>
      </w:r>
      <w:r w:rsidR="005E2F6B" w:rsidRPr="00F24928">
        <w:rPr>
          <w:rFonts w:ascii="Arial Narrow" w:hAnsi="Arial Narrow"/>
          <w:sz w:val="19"/>
          <w:szCs w:val="19"/>
        </w:rPr>
        <w:t>viacnásobného</w:t>
      </w:r>
      <w:r w:rsidR="00240206" w:rsidRPr="00F24928">
        <w:rPr>
          <w:rFonts w:ascii="Arial Narrow" w:hAnsi="Arial Narrow"/>
          <w:sz w:val="19"/>
          <w:szCs w:val="19"/>
        </w:rPr>
        <w:t xml:space="preserve"> na</w:t>
      </w:r>
      <w:r w:rsidR="005E2F6B" w:rsidRPr="00F24928">
        <w:rPr>
          <w:rFonts w:ascii="Arial Narrow" w:hAnsi="Arial Narrow"/>
          <w:sz w:val="19"/>
          <w:szCs w:val="19"/>
        </w:rPr>
        <w:t>rá</w:t>
      </w:r>
      <w:r w:rsidR="00240206" w:rsidRPr="00F24928">
        <w:rPr>
          <w:rFonts w:ascii="Arial Narrow" w:hAnsi="Arial Narrow"/>
          <w:sz w:val="19"/>
          <w:szCs w:val="19"/>
        </w:rPr>
        <w:t>tania</w:t>
      </w:r>
      <w:r w:rsidR="005E2F6B" w:rsidRPr="00F24928">
        <w:rPr>
          <w:rFonts w:ascii="Arial Narrow" w:hAnsi="Arial Narrow"/>
          <w:sz w:val="19"/>
          <w:szCs w:val="19"/>
        </w:rPr>
        <w:t>)</w:t>
      </w:r>
      <w:r w:rsidR="00240206" w:rsidRPr="00F24928">
        <w:rPr>
          <w:rFonts w:ascii="Arial Narrow" w:hAnsi="Arial Narrow"/>
          <w:b/>
          <w:sz w:val="19"/>
          <w:szCs w:val="19"/>
        </w:rPr>
        <w:t xml:space="preserve"> podľa kategórií dôchodkov v SR, </w:t>
      </w:r>
      <w:r w:rsidR="00240206" w:rsidRPr="00F24928">
        <w:rPr>
          <w:rFonts w:ascii="Arial Narrow" w:hAnsi="Arial Narrow"/>
          <w:sz w:val="19"/>
          <w:szCs w:val="19"/>
        </w:rPr>
        <w:t xml:space="preserve">k 31. 12. </w:t>
      </w:r>
      <w:r w:rsidR="00394A05" w:rsidRPr="00F24928">
        <w:rPr>
          <w:rFonts w:ascii="Arial Narrow" w:hAnsi="Arial Narrow"/>
          <w:sz w:val="19"/>
          <w:szCs w:val="19"/>
        </w:rPr>
        <w:t>201</w:t>
      </w:r>
      <w:r w:rsidR="0081318C">
        <w:rPr>
          <w:rFonts w:ascii="Arial Narrow" w:hAnsi="Arial Narrow"/>
          <w:sz w:val="19"/>
          <w:szCs w:val="19"/>
        </w:rPr>
        <w:t>7</w:t>
      </w:r>
      <w:r w:rsidR="00A4204F" w:rsidRPr="00F24928">
        <w:rPr>
          <w:rFonts w:ascii="Arial Narrow" w:hAnsi="Arial Narrow"/>
          <w:sz w:val="19"/>
          <w:szCs w:val="19"/>
        </w:rPr>
        <w:t xml:space="preserve"> </w:t>
      </w:r>
      <w:r w:rsidR="00241464">
        <w:rPr>
          <w:rFonts w:ascii="Arial Narrow" w:hAnsi="Arial Narrow"/>
          <w:sz w:val="19"/>
          <w:szCs w:val="19"/>
        </w:rPr>
        <w:t>–</w:t>
      </w:r>
      <w:r w:rsidR="00A4204F" w:rsidRPr="00F24928">
        <w:rPr>
          <w:rFonts w:ascii="Arial Narrow" w:hAnsi="Arial Narrow"/>
          <w:sz w:val="19"/>
          <w:szCs w:val="19"/>
        </w:rPr>
        <w:t xml:space="preserve"> </w:t>
      </w:r>
      <w:r w:rsidR="00240206" w:rsidRPr="00F24928">
        <w:rPr>
          <w:rFonts w:ascii="Arial Narrow" w:hAnsi="Arial Narrow"/>
          <w:sz w:val="19"/>
          <w:szCs w:val="19"/>
        </w:rPr>
        <w:t>201</w:t>
      </w:r>
      <w:r w:rsidR="0081318C">
        <w:rPr>
          <w:rFonts w:ascii="Arial Narrow" w:hAnsi="Arial Narrow"/>
          <w:sz w:val="19"/>
          <w:szCs w:val="19"/>
        </w:rPr>
        <w:t>9</w:t>
      </w:r>
    </w:p>
    <w:p w:rsidR="002C76AD" w:rsidRPr="00F24928" w:rsidRDefault="002C76AD" w:rsidP="002C76AD">
      <w:pPr>
        <w:rPr>
          <w:rFonts w:ascii="Arial Narrow" w:hAnsi="Arial Narrow"/>
          <w:sz w:val="19"/>
          <w:szCs w:val="19"/>
        </w:rPr>
      </w:pPr>
    </w:p>
    <w:tbl>
      <w:tblPr>
        <w:tblW w:w="9498" w:type="dxa"/>
        <w:tblInd w:w="70" w:type="dxa"/>
        <w:tblLayout w:type="fixed"/>
        <w:tblCellMar>
          <w:left w:w="70" w:type="dxa"/>
          <w:right w:w="70" w:type="dxa"/>
        </w:tblCellMar>
        <w:tblLook w:val="04A0" w:firstRow="1" w:lastRow="0" w:firstColumn="1" w:lastColumn="0" w:noHBand="0" w:noVBand="1"/>
      </w:tblPr>
      <w:tblGrid>
        <w:gridCol w:w="284"/>
        <w:gridCol w:w="283"/>
        <w:gridCol w:w="1701"/>
        <w:gridCol w:w="851"/>
        <w:gridCol w:w="850"/>
        <w:gridCol w:w="709"/>
        <w:gridCol w:w="851"/>
        <w:gridCol w:w="850"/>
        <w:gridCol w:w="709"/>
        <w:gridCol w:w="850"/>
        <w:gridCol w:w="851"/>
        <w:gridCol w:w="709"/>
      </w:tblGrid>
      <w:tr w:rsidR="002C76AD" w:rsidTr="007B7FAB">
        <w:trPr>
          <w:trHeight w:val="270"/>
        </w:trPr>
        <w:tc>
          <w:tcPr>
            <w:tcW w:w="284" w:type="dxa"/>
            <w:tcBorders>
              <w:top w:val="nil"/>
              <w:left w:val="nil"/>
              <w:bottom w:val="nil"/>
              <w:right w:val="nil"/>
            </w:tcBorders>
            <w:shd w:val="clear" w:color="auto" w:fill="auto"/>
            <w:noWrap/>
            <w:vAlign w:val="bottom"/>
            <w:hideMark/>
          </w:tcPr>
          <w:p w:rsidR="002C76AD" w:rsidRDefault="002C76AD" w:rsidP="007B7FAB">
            <w:pPr>
              <w:rPr>
                <w:rFonts w:ascii="Arial" w:hAnsi="Arial" w:cs="Arial"/>
                <w:sz w:val="16"/>
                <w:szCs w:val="16"/>
              </w:rPr>
            </w:pPr>
          </w:p>
        </w:tc>
        <w:tc>
          <w:tcPr>
            <w:tcW w:w="283" w:type="dxa"/>
            <w:tcBorders>
              <w:top w:val="nil"/>
              <w:left w:val="nil"/>
              <w:bottom w:val="nil"/>
              <w:right w:val="nil"/>
            </w:tcBorders>
            <w:shd w:val="clear" w:color="auto" w:fill="auto"/>
            <w:noWrap/>
            <w:vAlign w:val="bottom"/>
            <w:hideMark/>
          </w:tcPr>
          <w:p w:rsidR="002C76AD" w:rsidRDefault="002C76AD" w:rsidP="007B7FAB">
            <w:pPr>
              <w:rPr>
                <w:rFonts w:ascii="Arial" w:hAnsi="Arial" w:cs="Arial"/>
                <w:sz w:val="16"/>
                <w:szCs w:val="16"/>
              </w:rPr>
            </w:pPr>
          </w:p>
        </w:tc>
        <w:tc>
          <w:tcPr>
            <w:tcW w:w="1701" w:type="dxa"/>
            <w:tcBorders>
              <w:top w:val="nil"/>
              <w:left w:val="nil"/>
              <w:bottom w:val="nil"/>
              <w:right w:val="nil"/>
            </w:tcBorders>
            <w:shd w:val="clear" w:color="auto" w:fill="auto"/>
            <w:noWrap/>
            <w:vAlign w:val="bottom"/>
            <w:hideMark/>
          </w:tcPr>
          <w:p w:rsidR="002C76AD" w:rsidRDefault="002C76AD" w:rsidP="007B7FAB">
            <w:pPr>
              <w:rPr>
                <w:rFonts w:ascii="Arial" w:hAnsi="Arial" w:cs="Arial"/>
                <w:sz w:val="16"/>
                <w:szCs w:val="16"/>
              </w:rPr>
            </w:pPr>
          </w:p>
        </w:tc>
        <w:tc>
          <w:tcPr>
            <w:tcW w:w="851" w:type="dxa"/>
            <w:tcBorders>
              <w:top w:val="single" w:sz="4" w:space="0" w:color="FF0000"/>
              <w:left w:val="single" w:sz="4" w:space="0" w:color="FF0000"/>
              <w:bottom w:val="single" w:sz="4" w:space="0" w:color="FF0000"/>
              <w:right w:val="nil"/>
            </w:tcBorders>
            <w:shd w:val="clear" w:color="auto" w:fill="auto"/>
            <w:noWrap/>
            <w:vAlign w:val="bottom"/>
            <w:hideMark/>
          </w:tcPr>
          <w:p w:rsidR="002C76AD" w:rsidRDefault="002C76AD" w:rsidP="007B7FAB">
            <w:pPr>
              <w:rPr>
                <w:rFonts w:ascii="Arial" w:hAnsi="Arial" w:cs="Arial"/>
                <w:sz w:val="16"/>
                <w:szCs w:val="16"/>
              </w:rPr>
            </w:pPr>
            <w:r>
              <w:rPr>
                <w:rFonts w:ascii="Arial" w:hAnsi="Arial" w:cs="Arial"/>
                <w:sz w:val="16"/>
                <w:szCs w:val="16"/>
              </w:rPr>
              <w:t> </w:t>
            </w:r>
          </w:p>
        </w:tc>
        <w:tc>
          <w:tcPr>
            <w:tcW w:w="850" w:type="dxa"/>
            <w:tcBorders>
              <w:top w:val="single" w:sz="4" w:space="0" w:color="FF0000"/>
              <w:left w:val="nil"/>
              <w:bottom w:val="single" w:sz="4" w:space="0" w:color="FF0000"/>
              <w:right w:val="nil"/>
            </w:tcBorders>
            <w:shd w:val="clear" w:color="auto" w:fill="auto"/>
            <w:noWrap/>
            <w:vAlign w:val="bottom"/>
            <w:hideMark/>
          </w:tcPr>
          <w:p w:rsidR="002C76AD" w:rsidRPr="002C76AD" w:rsidRDefault="002C76AD" w:rsidP="007B7FAB">
            <w:pPr>
              <w:jc w:val="center"/>
              <w:rPr>
                <w:rFonts w:ascii="Arial Narrow" w:hAnsi="Arial Narrow"/>
                <w:b/>
                <w:sz w:val="16"/>
                <w:szCs w:val="16"/>
              </w:rPr>
            </w:pPr>
            <w:r w:rsidRPr="002C76AD">
              <w:rPr>
                <w:rFonts w:ascii="Arial Narrow" w:hAnsi="Arial Narrow"/>
                <w:b/>
                <w:sz w:val="16"/>
                <w:szCs w:val="16"/>
              </w:rPr>
              <w:t>2017</w:t>
            </w:r>
          </w:p>
        </w:tc>
        <w:tc>
          <w:tcPr>
            <w:tcW w:w="709" w:type="dxa"/>
            <w:tcBorders>
              <w:top w:val="single" w:sz="4" w:space="0" w:color="FF0000"/>
              <w:left w:val="nil"/>
              <w:bottom w:val="single" w:sz="4" w:space="0" w:color="FF0000"/>
              <w:right w:val="single" w:sz="4" w:space="0" w:color="FF0000"/>
            </w:tcBorders>
            <w:shd w:val="clear" w:color="auto" w:fill="auto"/>
            <w:noWrap/>
            <w:vAlign w:val="bottom"/>
            <w:hideMark/>
          </w:tcPr>
          <w:p w:rsidR="002C76AD" w:rsidRPr="002C76AD" w:rsidRDefault="002C76AD" w:rsidP="007B7FAB">
            <w:pPr>
              <w:rPr>
                <w:rFonts w:ascii="Arial Narrow" w:hAnsi="Arial Narrow"/>
                <w:b/>
                <w:sz w:val="16"/>
                <w:szCs w:val="16"/>
              </w:rPr>
            </w:pPr>
            <w:r w:rsidRPr="002C76AD">
              <w:rPr>
                <w:rFonts w:ascii="Arial Narrow" w:hAnsi="Arial Narrow"/>
                <w:b/>
                <w:sz w:val="16"/>
                <w:szCs w:val="16"/>
              </w:rPr>
              <w:t> </w:t>
            </w:r>
          </w:p>
        </w:tc>
        <w:tc>
          <w:tcPr>
            <w:tcW w:w="851" w:type="dxa"/>
            <w:tcBorders>
              <w:top w:val="single" w:sz="4" w:space="0" w:color="FF0000"/>
              <w:left w:val="nil"/>
              <w:bottom w:val="single" w:sz="4" w:space="0" w:color="FF0000"/>
              <w:right w:val="nil"/>
            </w:tcBorders>
            <w:shd w:val="clear" w:color="auto" w:fill="auto"/>
            <w:noWrap/>
            <w:vAlign w:val="bottom"/>
            <w:hideMark/>
          </w:tcPr>
          <w:p w:rsidR="002C76AD" w:rsidRPr="002C76AD" w:rsidRDefault="002C76AD" w:rsidP="007B7FAB">
            <w:pPr>
              <w:rPr>
                <w:rFonts w:ascii="Arial" w:hAnsi="Arial" w:cs="Arial"/>
                <w:b/>
                <w:sz w:val="16"/>
                <w:szCs w:val="16"/>
              </w:rPr>
            </w:pPr>
            <w:r w:rsidRPr="002C76AD">
              <w:rPr>
                <w:rFonts w:ascii="Arial" w:hAnsi="Arial" w:cs="Arial"/>
                <w:b/>
                <w:sz w:val="16"/>
                <w:szCs w:val="16"/>
              </w:rPr>
              <w:t> </w:t>
            </w:r>
          </w:p>
        </w:tc>
        <w:tc>
          <w:tcPr>
            <w:tcW w:w="850" w:type="dxa"/>
            <w:tcBorders>
              <w:top w:val="single" w:sz="4" w:space="0" w:color="FF0000"/>
              <w:left w:val="nil"/>
              <w:bottom w:val="single" w:sz="4" w:space="0" w:color="FF0000"/>
              <w:right w:val="nil"/>
            </w:tcBorders>
            <w:shd w:val="clear" w:color="auto" w:fill="auto"/>
            <w:noWrap/>
            <w:vAlign w:val="bottom"/>
            <w:hideMark/>
          </w:tcPr>
          <w:p w:rsidR="002C76AD" w:rsidRPr="002C76AD" w:rsidRDefault="002C76AD" w:rsidP="002C76AD">
            <w:pPr>
              <w:jc w:val="center"/>
              <w:rPr>
                <w:rFonts w:ascii="Arial Narrow" w:hAnsi="Arial Narrow"/>
                <w:b/>
                <w:sz w:val="16"/>
                <w:szCs w:val="16"/>
              </w:rPr>
            </w:pPr>
            <w:r w:rsidRPr="002C76AD">
              <w:rPr>
                <w:rFonts w:ascii="Arial Narrow" w:hAnsi="Arial Narrow"/>
                <w:b/>
                <w:sz w:val="16"/>
                <w:szCs w:val="16"/>
              </w:rPr>
              <w:t>2018</w:t>
            </w:r>
          </w:p>
        </w:tc>
        <w:tc>
          <w:tcPr>
            <w:tcW w:w="709" w:type="dxa"/>
            <w:tcBorders>
              <w:top w:val="single" w:sz="4" w:space="0" w:color="FF0000"/>
              <w:left w:val="nil"/>
              <w:bottom w:val="single" w:sz="4" w:space="0" w:color="ED7D31" w:themeColor="accent2"/>
              <w:right w:val="single" w:sz="4" w:space="0" w:color="FF0000"/>
            </w:tcBorders>
            <w:shd w:val="clear" w:color="auto" w:fill="auto"/>
            <w:noWrap/>
            <w:vAlign w:val="bottom"/>
            <w:hideMark/>
          </w:tcPr>
          <w:p w:rsidR="002C76AD" w:rsidRPr="002C76AD" w:rsidRDefault="002C76AD" w:rsidP="007B7FAB">
            <w:pPr>
              <w:rPr>
                <w:rFonts w:ascii="Arial Narrow" w:hAnsi="Arial Narrow"/>
                <w:b/>
                <w:sz w:val="16"/>
                <w:szCs w:val="16"/>
              </w:rPr>
            </w:pPr>
            <w:r w:rsidRPr="002C76AD">
              <w:rPr>
                <w:rFonts w:ascii="Arial Narrow" w:hAnsi="Arial Narrow"/>
                <w:b/>
                <w:sz w:val="16"/>
                <w:szCs w:val="16"/>
              </w:rPr>
              <w:t> </w:t>
            </w:r>
          </w:p>
        </w:tc>
        <w:tc>
          <w:tcPr>
            <w:tcW w:w="850" w:type="dxa"/>
            <w:tcBorders>
              <w:top w:val="single" w:sz="4" w:space="0" w:color="FF0000"/>
              <w:left w:val="nil"/>
              <w:bottom w:val="single" w:sz="4" w:space="0" w:color="ED7D31" w:themeColor="accent2"/>
              <w:right w:val="nil"/>
            </w:tcBorders>
            <w:shd w:val="clear" w:color="auto" w:fill="auto"/>
            <w:noWrap/>
            <w:vAlign w:val="bottom"/>
            <w:hideMark/>
          </w:tcPr>
          <w:p w:rsidR="002C76AD" w:rsidRPr="002C76AD" w:rsidRDefault="002C76AD" w:rsidP="007B7FAB">
            <w:pPr>
              <w:rPr>
                <w:rFonts w:ascii="Arial" w:hAnsi="Arial" w:cs="Arial"/>
                <w:b/>
                <w:sz w:val="16"/>
                <w:szCs w:val="16"/>
              </w:rPr>
            </w:pPr>
            <w:r w:rsidRPr="002C76AD">
              <w:rPr>
                <w:rFonts w:ascii="Arial" w:hAnsi="Arial" w:cs="Arial"/>
                <w:b/>
                <w:sz w:val="16"/>
                <w:szCs w:val="16"/>
              </w:rPr>
              <w:t> </w:t>
            </w:r>
          </w:p>
        </w:tc>
        <w:tc>
          <w:tcPr>
            <w:tcW w:w="851" w:type="dxa"/>
            <w:tcBorders>
              <w:top w:val="single" w:sz="4" w:space="0" w:color="FF0000"/>
              <w:left w:val="nil"/>
              <w:bottom w:val="single" w:sz="4" w:space="0" w:color="ED7D31" w:themeColor="accent2"/>
              <w:right w:val="nil"/>
            </w:tcBorders>
            <w:shd w:val="clear" w:color="auto" w:fill="auto"/>
            <w:noWrap/>
            <w:vAlign w:val="bottom"/>
            <w:hideMark/>
          </w:tcPr>
          <w:p w:rsidR="002C76AD" w:rsidRPr="002C76AD" w:rsidRDefault="002C76AD" w:rsidP="002C76AD">
            <w:pPr>
              <w:jc w:val="center"/>
              <w:rPr>
                <w:rFonts w:ascii="Arial Narrow" w:hAnsi="Arial Narrow"/>
                <w:b/>
                <w:sz w:val="16"/>
                <w:szCs w:val="16"/>
              </w:rPr>
            </w:pPr>
            <w:r w:rsidRPr="002C76AD">
              <w:rPr>
                <w:rFonts w:ascii="Arial Narrow" w:hAnsi="Arial Narrow"/>
                <w:b/>
                <w:sz w:val="16"/>
                <w:szCs w:val="16"/>
              </w:rPr>
              <w:t>2019</w:t>
            </w:r>
          </w:p>
        </w:tc>
        <w:tc>
          <w:tcPr>
            <w:tcW w:w="709" w:type="dxa"/>
            <w:tcBorders>
              <w:top w:val="single" w:sz="4" w:space="0" w:color="FF0000"/>
              <w:left w:val="nil"/>
              <w:bottom w:val="single" w:sz="4" w:space="0" w:color="ED7D31" w:themeColor="accent2"/>
              <w:right w:val="single" w:sz="4" w:space="0" w:color="FF0000"/>
            </w:tcBorders>
            <w:shd w:val="clear" w:color="auto" w:fill="auto"/>
            <w:noWrap/>
            <w:vAlign w:val="bottom"/>
            <w:hideMark/>
          </w:tcPr>
          <w:p w:rsidR="002C76AD" w:rsidRDefault="002C76AD" w:rsidP="007B7FAB">
            <w:pPr>
              <w:rPr>
                <w:rFonts w:ascii="Arial Narrow" w:hAnsi="Arial Narrow"/>
                <w:sz w:val="16"/>
                <w:szCs w:val="16"/>
              </w:rPr>
            </w:pPr>
            <w:r>
              <w:rPr>
                <w:rFonts w:ascii="Arial Narrow" w:hAnsi="Arial Narrow"/>
                <w:sz w:val="16"/>
                <w:szCs w:val="16"/>
              </w:rPr>
              <w:t> </w:t>
            </w:r>
          </w:p>
        </w:tc>
      </w:tr>
      <w:tr w:rsidR="002C76AD" w:rsidTr="007B7FAB">
        <w:trPr>
          <w:trHeight w:val="330"/>
        </w:trPr>
        <w:tc>
          <w:tcPr>
            <w:tcW w:w="2268" w:type="dxa"/>
            <w:gridSpan w:val="3"/>
            <w:tcBorders>
              <w:top w:val="nil"/>
              <w:left w:val="nil"/>
              <w:bottom w:val="nil"/>
              <w:right w:val="single" w:sz="4" w:space="0" w:color="FF0000"/>
            </w:tcBorders>
            <w:shd w:val="clear" w:color="000000" w:fill="A9D08E"/>
            <w:noWrap/>
            <w:vAlign w:val="center"/>
            <w:hideMark/>
          </w:tcPr>
          <w:p w:rsidR="002C76AD" w:rsidRDefault="002C76AD" w:rsidP="007B7FAB">
            <w:pPr>
              <w:rPr>
                <w:rFonts w:ascii="Arial Narrow" w:hAnsi="Arial Narrow"/>
                <w:color w:val="000000"/>
                <w:sz w:val="16"/>
                <w:szCs w:val="16"/>
              </w:rPr>
            </w:pPr>
            <w:r>
              <w:rPr>
                <w:rFonts w:ascii="Arial Narrow" w:hAnsi="Arial Narrow"/>
                <w:color w:val="000000"/>
                <w:sz w:val="16"/>
                <w:szCs w:val="16"/>
              </w:rPr>
              <w:t>Ukazovateľ</w:t>
            </w:r>
          </w:p>
          <w:p w:rsidR="002C76AD" w:rsidRDefault="002C76AD" w:rsidP="007B7FAB">
            <w:pPr>
              <w:rPr>
                <w:rFonts w:ascii="Arial Narrow" w:hAnsi="Arial Narrow"/>
                <w:color w:val="000000"/>
                <w:sz w:val="16"/>
                <w:szCs w:val="16"/>
              </w:rPr>
            </w:pPr>
            <w:r>
              <w:rPr>
                <w:rFonts w:ascii="Arial Narrow" w:hAnsi="Arial Narrow"/>
                <w:color w:val="000000"/>
                <w:sz w:val="16"/>
                <w:szCs w:val="16"/>
              </w:rPr>
              <w:t> </w:t>
            </w:r>
          </w:p>
          <w:p w:rsidR="002C76AD" w:rsidRDefault="002C76AD" w:rsidP="007B7FAB">
            <w:pPr>
              <w:rPr>
                <w:rFonts w:ascii="Arial Narrow" w:hAnsi="Arial Narrow"/>
                <w:color w:val="000000"/>
                <w:sz w:val="16"/>
                <w:szCs w:val="16"/>
              </w:rPr>
            </w:pPr>
            <w:r>
              <w:rPr>
                <w:rFonts w:ascii="Arial Narrow" w:hAnsi="Arial Narrow"/>
                <w:color w:val="000000"/>
                <w:sz w:val="16"/>
                <w:szCs w:val="16"/>
              </w:rPr>
              <w:t> </w:t>
            </w:r>
          </w:p>
        </w:tc>
        <w:tc>
          <w:tcPr>
            <w:tcW w:w="851" w:type="dxa"/>
            <w:tcBorders>
              <w:top w:val="nil"/>
              <w:left w:val="nil"/>
              <w:bottom w:val="single" w:sz="4" w:space="0" w:color="FF0000"/>
              <w:right w:val="single" w:sz="4" w:space="0" w:color="FF0000"/>
            </w:tcBorders>
            <w:shd w:val="clear" w:color="000000" w:fill="A9D08E"/>
            <w:vAlign w:val="bottom"/>
            <w:hideMark/>
          </w:tcPr>
          <w:p w:rsidR="002C76AD" w:rsidRDefault="002C76AD" w:rsidP="007B7FAB">
            <w:pPr>
              <w:jc w:val="center"/>
              <w:rPr>
                <w:rFonts w:ascii="Arial Narrow" w:hAnsi="Arial Narrow"/>
                <w:color w:val="000000"/>
                <w:sz w:val="16"/>
                <w:szCs w:val="16"/>
              </w:rPr>
            </w:pPr>
            <w:r>
              <w:rPr>
                <w:rFonts w:ascii="Arial Narrow" w:hAnsi="Arial Narrow"/>
                <w:color w:val="000000"/>
                <w:sz w:val="16"/>
                <w:szCs w:val="16"/>
              </w:rPr>
              <w:t>Spolu</w:t>
            </w:r>
          </w:p>
        </w:tc>
        <w:tc>
          <w:tcPr>
            <w:tcW w:w="850" w:type="dxa"/>
            <w:tcBorders>
              <w:top w:val="nil"/>
              <w:left w:val="nil"/>
              <w:bottom w:val="single" w:sz="4" w:space="0" w:color="FF0000"/>
              <w:right w:val="single" w:sz="4" w:space="0" w:color="FF0000"/>
            </w:tcBorders>
            <w:shd w:val="clear" w:color="000000" w:fill="A9D08E"/>
            <w:vAlign w:val="bottom"/>
            <w:hideMark/>
          </w:tcPr>
          <w:p w:rsidR="002C76AD" w:rsidRDefault="002C76AD" w:rsidP="007B7FAB">
            <w:pPr>
              <w:jc w:val="center"/>
              <w:rPr>
                <w:rFonts w:ascii="Arial Narrow" w:hAnsi="Arial Narrow"/>
                <w:color w:val="000000"/>
                <w:sz w:val="16"/>
                <w:szCs w:val="16"/>
              </w:rPr>
            </w:pPr>
            <w:r>
              <w:rPr>
                <w:rFonts w:ascii="Arial Narrow" w:hAnsi="Arial Narrow"/>
                <w:color w:val="000000"/>
                <w:sz w:val="16"/>
                <w:szCs w:val="16"/>
              </w:rPr>
              <w:t>Ženy</w:t>
            </w:r>
          </w:p>
        </w:tc>
        <w:tc>
          <w:tcPr>
            <w:tcW w:w="709" w:type="dxa"/>
            <w:tcBorders>
              <w:top w:val="nil"/>
              <w:left w:val="nil"/>
              <w:bottom w:val="single" w:sz="4" w:space="0" w:color="FF0000"/>
              <w:right w:val="nil"/>
            </w:tcBorders>
            <w:shd w:val="clear" w:color="000000" w:fill="A9D08E"/>
            <w:vAlign w:val="bottom"/>
            <w:hideMark/>
          </w:tcPr>
          <w:p w:rsidR="002C76AD" w:rsidRDefault="002C76AD" w:rsidP="007B7FAB">
            <w:pPr>
              <w:jc w:val="center"/>
              <w:rPr>
                <w:rFonts w:ascii="Arial Narrow" w:hAnsi="Arial Narrow"/>
                <w:color w:val="000000"/>
                <w:sz w:val="16"/>
                <w:szCs w:val="16"/>
              </w:rPr>
            </w:pPr>
            <w:r>
              <w:rPr>
                <w:rFonts w:ascii="Arial Narrow" w:hAnsi="Arial Narrow"/>
                <w:color w:val="000000"/>
                <w:sz w:val="16"/>
                <w:szCs w:val="16"/>
              </w:rPr>
              <w:t>Muži</w:t>
            </w:r>
          </w:p>
        </w:tc>
        <w:tc>
          <w:tcPr>
            <w:tcW w:w="851" w:type="dxa"/>
            <w:tcBorders>
              <w:top w:val="nil"/>
              <w:left w:val="single" w:sz="4" w:space="0" w:color="FF0000"/>
              <w:bottom w:val="single" w:sz="4" w:space="0" w:color="FF0000"/>
              <w:right w:val="single" w:sz="4" w:space="0" w:color="FF0000"/>
            </w:tcBorders>
            <w:shd w:val="clear" w:color="000000" w:fill="A9D08E"/>
            <w:vAlign w:val="bottom"/>
            <w:hideMark/>
          </w:tcPr>
          <w:p w:rsidR="002C76AD" w:rsidRDefault="002C76AD" w:rsidP="007B7FAB">
            <w:pPr>
              <w:jc w:val="center"/>
              <w:rPr>
                <w:rFonts w:ascii="Arial Narrow" w:hAnsi="Arial Narrow"/>
                <w:color w:val="000000"/>
                <w:sz w:val="16"/>
                <w:szCs w:val="16"/>
              </w:rPr>
            </w:pPr>
            <w:r>
              <w:rPr>
                <w:rFonts w:ascii="Arial Narrow" w:hAnsi="Arial Narrow"/>
                <w:color w:val="000000"/>
                <w:sz w:val="16"/>
                <w:szCs w:val="16"/>
              </w:rPr>
              <w:t>Spolu</w:t>
            </w:r>
          </w:p>
        </w:tc>
        <w:tc>
          <w:tcPr>
            <w:tcW w:w="850" w:type="dxa"/>
            <w:tcBorders>
              <w:top w:val="nil"/>
              <w:left w:val="nil"/>
              <w:bottom w:val="single" w:sz="4" w:space="0" w:color="FF0000"/>
              <w:right w:val="single" w:sz="4" w:space="0" w:color="FF0000"/>
            </w:tcBorders>
            <w:shd w:val="clear" w:color="000000" w:fill="A9D08E"/>
            <w:vAlign w:val="bottom"/>
            <w:hideMark/>
          </w:tcPr>
          <w:p w:rsidR="002C76AD" w:rsidRDefault="002C76AD" w:rsidP="007B7FAB">
            <w:pPr>
              <w:jc w:val="center"/>
              <w:rPr>
                <w:rFonts w:ascii="Arial Narrow" w:hAnsi="Arial Narrow"/>
                <w:color w:val="000000"/>
                <w:sz w:val="16"/>
                <w:szCs w:val="16"/>
              </w:rPr>
            </w:pPr>
            <w:r>
              <w:rPr>
                <w:rFonts w:ascii="Arial Narrow" w:hAnsi="Arial Narrow"/>
                <w:color w:val="000000"/>
                <w:sz w:val="16"/>
                <w:szCs w:val="16"/>
              </w:rPr>
              <w:t>Ženy</w:t>
            </w:r>
          </w:p>
        </w:tc>
        <w:tc>
          <w:tcPr>
            <w:tcW w:w="709" w:type="dxa"/>
            <w:tcBorders>
              <w:top w:val="nil"/>
              <w:left w:val="nil"/>
              <w:bottom w:val="single" w:sz="4" w:space="0" w:color="FF0000"/>
              <w:right w:val="nil"/>
            </w:tcBorders>
            <w:shd w:val="clear" w:color="000000" w:fill="A9D08E"/>
            <w:vAlign w:val="bottom"/>
            <w:hideMark/>
          </w:tcPr>
          <w:p w:rsidR="002C76AD" w:rsidRDefault="002C76AD" w:rsidP="007B7FAB">
            <w:pPr>
              <w:jc w:val="center"/>
              <w:rPr>
                <w:rFonts w:ascii="Arial Narrow" w:hAnsi="Arial Narrow"/>
                <w:color w:val="000000"/>
                <w:sz w:val="16"/>
                <w:szCs w:val="16"/>
              </w:rPr>
            </w:pPr>
            <w:r>
              <w:rPr>
                <w:rFonts w:ascii="Arial Narrow" w:hAnsi="Arial Narrow"/>
                <w:color w:val="000000"/>
                <w:sz w:val="16"/>
                <w:szCs w:val="16"/>
              </w:rPr>
              <w:t>Muži</w:t>
            </w:r>
          </w:p>
        </w:tc>
        <w:tc>
          <w:tcPr>
            <w:tcW w:w="850" w:type="dxa"/>
            <w:tcBorders>
              <w:top w:val="nil"/>
              <w:left w:val="single" w:sz="4" w:space="0" w:color="FF0000"/>
              <w:bottom w:val="single" w:sz="4" w:space="0" w:color="FF0000"/>
              <w:right w:val="single" w:sz="4" w:space="0" w:color="FF0000"/>
            </w:tcBorders>
            <w:shd w:val="clear" w:color="000000" w:fill="A9D08E"/>
            <w:vAlign w:val="bottom"/>
            <w:hideMark/>
          </w:tcPr>
          <w:p w:rsidR="002C76AD" w:rsidRDefault="002C76AD" w:rsidP="007B7FAB">
            <w:pPr>
              <w:jc w:val="center"/>
              <w:rPr>
                <w:rFonts w:ascii="Arial Narrow" w:hAnsi="Arial Narrow"/>
                <w:color w:val="000000"/>
                <w:sz w:val="16"/>
                <w:szCs w:val="16"/>
              </w:rPr>
            </w:pPr>
            <w:r>
              <w:rPr>
                <w:rFonts w:ascii="Arial Narrow" w:hAnsi="Arial Narrow"/>
                <w:color w:val="000000"/>
                <w:sz w:val="16"/>
                <w:szCs w:val="16"/>
              </w:rPr>
              <w:t>Spolu</w:t>
            </w:r>
          </w:p>
        </w:tc>
        <w:tc>
          <w:tcPr>
            <w:tcW w:w="851" w:type="dxa"/>
            <w:tcBorders>
              <w:top w:val="nil"/>
              <w:left w:val="nil"/>
              <w:bottom w:val="single" w:sz="4" w:space="0" w:color="FF0000"/>
              <w:right w:val="single" w:sz="4" w:space="0" w:color="FF0000"/>
            </w:tcBorders>
            <w:shd w:val="clear" w:color="000000" w:fill="A9D08E"/>
            <w:vAlign w:val="bottom"/>
            <w:hideMark/>
          </w:tcPr>
          <w:p w:rsidR="002C76AD" w:rsidRDefault="002C76AD" w:rsidP="007B7FAB">
            <w:pPr>
              <w:jc w:val="center"/>
              <w:rPr>
                <w:rFonts w:ascii="Arial Narrow" w:hAnsi="Arial Narrow"/>
                <w:color w:val="000000"/>
                <w:sz w:val="16"/>
                <w:szCs w:val="16"/>
              </w:rPr>
            </w:pPr>
            <w:r>
              <w:rPr>
                <w:rFonts w:ascii="Arial Narrow" w:hAnsi="Arial Narrow"/>
                <w:color w:val="000000"/>
                <w:sz w:val="16"/>
                <w:szCs w:val="16"/>
              </w:rPr>
              <w:t>Ženy</w:t>
            </w:r>
          </w:p>
        </w:tc>
        <w:tc>
          <w:tcPr>
            <w:tcW w:w="709" w:type="dxa"/>
            <w:tcBorders>
              <w:top w:val="nil"/>
              <w:left w:val="nil"/>
              <w:bottom w:val="single" w:sz="4" w:space="0" w:color="FF0000"/>
              <w:right w:val="single" w:sz="4" w:space="0" w:color="ED7D31" w:themeColor="accent2"/>
            </w:tcBorders>
            <w:shd w:val="clear" w:color="000000" w:fill="A9D08E"/>
            <w:vAlign w:val="bottom"/>
            <w:hideMark/>
          </w:tcPr>
          <w:p w:rsidR="002C76AD" w:rsidRDefault="002C76AD" w:rsidP="007B7FAB">
            <w:pPr>
              <w:jc w:val="center"/>
              <w:rPr>
                <w:rFonts w:ascii="Arial Narrow" w:hAnsi="Arial Narrow"/>
                <w:color w:val="000000"/>
                <w:sz w:val="16"/>
                <w:szCs w:val="16"/>
              </w:rPr>
            </w:pPr>
            <w:r>
              <w:rPr>
                <w:rFonts w:ascii="Arial Narrow" w:hAnsi="Arial Narrow"/>
                <w:color w:val="000000"/>
                <w:sz w:val="16"/>
                <w:szCs w:val="16"/>
              </w:rPr>
              <w:t>Muži</w:t>
            </w:r>
          </w:p>
        </w:tc>
      </w:tr>
      <w:tr w:rsidR="002C76AD" w:rsidTr="007B7FAB">
        <w:trPr>
          <w:trHeight w:val="270"/>
        </w:trPr>
        <w:tc>
          <w:tcPr>
            <w:tcW w:w="2268" w:type="dxa"/>
            <w:gridSpan w:val="3"/>
            <w:tcBorders>
              <w:top w:val="nil"/>
              <w:left w:val="nil"/>
              <w:bottom w:val="nil"/>
              <w:right w:val="single" w:sz="4" w:space="0" w:color="FF0000"/>
            </w:tcBorders>
            <w:shd w:val="clear" w:color="000000" w:fill="E2EFDA"/>
            <w:noWrap/>
            <w:vAlign w:val="center"/>
            <w:hideMark/>
          </w:tcPr>
          <w:p w:rsidR="002C76AD" w:rsidRDefault="002C76AD" w:rsidP="002C76AD">
            <w:pPr>
              <w:rPr>
                <w:rFonts w:ascii="Arial Narrow" w:hAnsi="Arial Narrow"/>
                <w:b/>
                <w:bCs/>
                <w:color w:val="000000"/>
                <w:sz w:val="16"/>
                <w:szCs w:val="16"/>
              </w:rPr>
            </w:pPr>
            <w:r>
              <w:rPr>
                <w:rFonts w:ascii="Arial Narrow" w:hAnsi="Arial Narrow"/>
                <w:b/>
                <w:bCs/>
                <w:color w:val="000000"/>
                <w:sz w:val="16"/>
                <w:szCs w:val="16"/>
              </w:rPr>
              <w:t>Poberatelia dôchodkov - úhrn</w:t>
            </w:r>
          </w:p>
        </w:tc>
        <w:tc>
          <w:tcPr>
            <w:tcW w:w="851" w:type="dxa"/>
            <w:tcBorders>
              <w:top w:val="nil"/>
              <w:left w:val="nil"/>
              <w:bottom w:val="single" w:sz="4" w:space="0" w:color="FF0000"/>
              <w:right w:val="nil"/>
            </w:tcBorders>
            <w:shd w:val="clear" w:color="000000" w:fill="E2EFDA"/>
            <w:noWrap/>
            <w:vAlign w:val="center"/>
            <w:hideMark/>
          </w:tcPr>
          <w:p w:rsidR="002C76AD" w:rsidRPr="00AD3798" w:rsidRDefault="002C76AD" w:rsidP="002C76AD">
            <w:pPr>
              <w:jc w:val="right"/>
              <w:rPr>
                <w:rFonts w:ascii="Arial Narrow" w:hAnsi="Arial Narrow" w:cs="Calibri"/>
                <w:b/>
                <w:bCs/>
                <w:color w:val="000000"/>
                <w:sz w:val="16"/>
                <w:szCs w:val="16"/>
              </w:rPr>
            </w:pPr>
            <w:r w:rsidRPr="00AD3798">
              <w:rPr>
                <w:rFonts w:ascii="Arial Narrow" w:hAnsi="Arial Narrow" w:cs="Calibri"/>
                <w:b/>
                <w:bCs/>
                <w:color w:val="000000"/>
                <w:sz w:val="16"/>
                <w:szCs w:val="16"/>
              </w:rPr>
              <w:t>1 449 756</w:t>
            </w:r>
          </w:p>
        </w:tc>
        <w:tc>
          <w:tcPr>
            <w:tcW w:w="850" w:type="dxa"/>
            <w:tcBorders>
              <w:top w:val="nil"/>
              <w:left w:val="nil"/>
              <w:bottom w:val="nil"/>
              <w:right w:val="nil"/>
            </w:tcBorders>
            <w:shd w:val="clear" w:color="000000" w:fill="E2EFDA"/>
            <w:noWrap/>
            <w:vAlign w:val="center"/>
            <w:hideMark/>
          </w:tcPr>
          <w:p w:rsidR="002C76AD" w:rsidRPr="00AD3798" w:rsidRDefault="002C76AD" w:rsidP="002C76AD">
            <w:pPr>
              <w:jc w:val="right"/>
              <w:rPr>
                <w:rFonts w:ascii="Arial Narrow" w:hAnsi="Arial Narrow" w:cs="Calibri"/>
                <w:b/>
                <w:bCs/>
                <w:color w:val="000000"/>
                <w:sz w:val="16"/>
                <w:szCs w:val="16"/>
              </w:rPr>
            </w:pPr>
            <w:r w:rsidRPr="00AD3798">
              <w:rPr>
                <w:rFonts w:ascii="Arial Narrow" w:hAnsi="Arial Narrow" w:cs="Calibri"/>
                <w:b/>
                <w:bCs/>
                <w:color w:val="000000"/>
                <w:sz w:val="16"/>
                <w:szCs w:val="16"/>
              </w:rPr>
              <w:t>844 489</w:t>
            </w:r>
          </w:p>
        </w:tc>
        <w:tc>
          <w:tcPr>
            <w:tcW w:w="709" w:type="dxa"/>
            <w:tcBorders>
              <w:top w:val="nil"/>
              <w:left w:val="nil"/>
              <w:bottom w:val="nil"/>
              <w:right w:val="nil"/>
            </w:tcBorders>
            <w:shd w:val="clear" w:color="000000" w:fill="E2EFDA"/>
            <w:noWrap/>
            <w:vAlign w:val="center"/>
            <w:hideMark/>
          </w:tcPr>
          <w:p w:rsidR="002C76AD" w:rsidRPr="00AD3798" w:rsidRDefault="002C76AD" w:rsidP="002C76AD">
            <w:pPr>
              <w:jc w:val="right"/>
              <w:rPr>
                <w:rFonts w:ascii="Arial Narrow" w:hAnsi="Arial Narrow" w:cs="Calibri"/>
                <w:b/>
                <w:bCs/>
                <w:color w:val="000000"/>
                <w:sz w:val="16"/>
                <w:szCs w:val="16"/>
              </w:rPr>
            </w:pPr>
            <w:r w:rsidRPr="00AD3798">
              <w:rPr>
                <w:rFonts w:ascii="Arial Narrow" w:hAnsi="Arial Narrow" w:cs="Calibri"/>
                <w:b/>
                <w:bCs/>
                <w:color w:val="000000"/>
                <w:sz w:val="16"/>
                <w:szCs w:val="16"/>
              </w:rPr>
              <w:t>605 267</w:t>
            </w:r>
          </w:p>
        </w:tc>
        <w:tc>
          <w:tcPr>
            <w:tcW w:w="851" w:type="dxa"/>
            <w:tcBorders>
              <w:top w:val="nil"/>
              <w:left w:val="single" w:sz="4" w:space="0" w:color="FF0000"/>
              <w:bottom w:val="nil"/>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1 475 667</w:t>
            </w:r>
          </w:p>
        </w:tc>
        <w:tc>
          <w:tcPr>
            <w:tcW w:w="850" w:type="dxa"/>
            <w:tcBorders>
              <w:top w:val="nil"/>
              <w:left w:val="nil"/>
              <w:bottom w:val="nil"/>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859 086</w:t>
            </w:r>
          </w:p>
        </w:tc>
        <w:tc>
          <w:tcPr>
            <w:tcW w:w="709" w:type="dxa"/>
            <w:tcBorders>
              <w:top w:val="nil"/>
              <w:left w:val="nil"/>
              <w:bottom w:val="nil"/>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616 581</w:t>
            </w:r>
          </w:p>
        </w:tc>
        <w:tc>
          <w:tcPr>
            <w:tcW w:w="850" w:type="dxa"/>
            <w:tcBorders>
              <w:top w:val="nil"/>
              <w:left w:val="single" w:sz="4" w:space="0" w:color="FF0000"/>
              <w:bottom w:val="nil"/>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1 450 159</w:t>
            </w:r>
          </w:p>
        </w:tc>
        <w:tc>
          <w:tcPr>
            <w:tcW w:w="851" w:type="dxa"/>
            <w:tcBorders>
              <w:top w:val="nil"/>
              <w:left w:val="nil"/>
              <w:bottom w:val="nil"/>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845 154</w:t>
            </w:r>
          </w:p>
        </w:tc>
        <w:tc>
          <w:tcPr>
            <w:tcW w:w="709" w:type="dxa"/>
            <w:tcBorders>
              <w:top w:val="nil"/>
              <w:left w:val="nil"/>
              <w:bottom w:val="nil"/>
              <w:right w:val="single" w:sz="4" w:space="0" w:color="ED7D31" w:themeColor="accent2"/>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605 005</w:t>
            </w:r>
          </w:p>
        </w:tc>
      </w:tr>
      <w:tr w:rsidR="002C76AD" w:rsidTr="007B7FAB">
        <w:trPr>
          <w:trHeight w:val="270"/>
        </w:trPr>
        <w:tc>
          <w:tcPr>
            <w:tcW w:w="284" w:type="dxa"/>
            <w:tcBorders>
              <w:top w:val="single" w:sz="4" w:space="0" w:color="FF0000"/>
              <w:left w:val="nil"/>
              <w:bottom w:val="nil"/>
              <w:right w:val="nil"/>
            </w:tcBorders>
            <w:shd w:val="clear" w:color="auto" w:fill="auto"/>
            <w:noWrap/>
            <w:textDirection w:val="btLr"/>
            <w:vAlign w:val="center"/>
            <w:hideMark/>
          </w:tcPr>
          <w:p w:rsidR="002C76AD" w:rsidRDefault="002C76AD" w:rsidP="002C76AD">
            <w:pPr>
              <w:rPr>
                <w:rFonts w:ascii="Arial Narrow" w:hAnsi="Arial Narrow"/>
                <w:color w:val="000000"/>
                <w:sz w:val="16"/>
                <w:szCs w:val="16"/>
              </w:rPr>
            </w:pPr>
            <w:r>
              <w:rPr>
                <w:rFonts w:ascii="Arial Narrow" w:hAnsi="Arial Narrow"/>
                <w:color w:val="000000"/>
                <w:sz w:val="16"/>
                <w:szCs w:val="16"/>
              </w:rPr>
              <w:t> </w:t>
            </w:r>
          </w:p>
        </w:tc>
        <w:tc>
          <w:tcPr>
            <w:tcW w:w="1984" w:type="dxa"/>
            <w:gridSpan w:val="2"/>
            <w:tcBorders>
              <w:top w:val="single" w:sz="4" w:space="0" w:color="FF0000"/>
              <w:left w:val="nil"/>
              <w:bottom w:val="nil"/>
              <w:right w:val="single" w:sz="4" w:space="0" w:color="FF0000"/>
            </w:tcBorders>
            <w:shd w:val="clear" w:color="auto" w:fill="auto"/>
            <w:noWrap/>
            <w:vAlign w:val="center"/>
            <w:hideMark/>
          </w:tcPr>
          <w:p w:rsidR="002C76AD" w:rsidRDefault="002C76AD" w:rsidP="002C76AD">
            <w:pPr>
              <w:rPr>
                <w:rFonts w:ascii="Arial Narrow" w:hAnsi="Arial Narrow"/>
                <w:b/>
                <w:bCs/>
                <w:color w:val="000000"/>
                <w:sz w:val="16"/>
                <w:szCs w:val="16"/>
              </w:rPr>
            </w:pPr>
            <w:r>
              <w:rPr>
                <w:rFonts w:ascii="Arial Narrow" w:hAnsi="Arial Narrow"/>
                <w:b/>
                <w:bCs/>
                <w:color w:val="000000"/>
                <w:sz w:val="16"/>
                <w:szCs w:val="16"/>
              </w:rPr>
              <w:t>Poberatelia invalidných dôchodkov</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b/>
                <w:bCs/>
                <w:color w:val="000000"/>
                <w:sz w:val="16"/>
                <w:szCs w:val="16"/>
              </w:rPr>
            </w:pPr>
            <w:r>
              <w:rPr>
                <w:rFonts w:ascii="Arial Narrow" w:hAnsi="Arial Narrow"/>
                <w:b/>
                <w:bCs/>
                <w:color w:val="000000"/>
                <w:sz w:val="16"/>
                <w:szCs w:val="16"/>
              </w:rPr>
              <w:t>256 348</w:t>
            </w:r>
          </w:p>
        </w:tc>
        <w:tc>
          <w:tcPr>
            <w:tcW w:w="850" w:type="dxa"/>
            <w:tcBorders>
              <w:top w:val="single" w:sz="4" w:space="0" w:color="FF0000"/>
              <w:left w:val="nil"/>
              <w:bottom w:val="nil"/>
              <w:right w:val="nil"/>
            </w:tcBorders>
            <w:shd w:val="clear" w:color="auto" w:fill="auto"/>
            <w:vAlign w:val="center"/>
            <w:hideMark/>
          </w:tcPr>
          <w:p w:rsidR="002C76AD" w:rsidRDefault="002C76AD" w:rsidP="002C76AD">
            <w:pPr>
              <w:jc w:val="right"/>
              <w:rPr>
                <w:rFonts w:ascii="Arial Narrow" w:hAnsi="Arial Narrow"/>
                <w:b/>
                <w:bCs/>
                <w:color w:val="000000"/>
                <w:sz w:val="16"/>
                <w:szCs w:val="16"/>
              </w:rPr>
            </w:pPr>
            <w:r>
              <w:rPr>
                <w:rFonts w:ascii="Arial Narrow" w:hAnsi="Arial Narrow"/>
                <w:b/>
                <w:bCs/>
                <w:color w:val="000000"/>
                <w:sz w:val="16"/>
                <w:szCs w:val="16"/>
              </w:rPr>
              <w:t>127 774</w:t>
            </w:r>
          </w:p>
        </w:tc>
        <w:tc>
          <w:tcPr>
            <w:tcW w:w="709" w:type="dxa"/>
            <w:tcBorders>
              <w:top w:val="single" w:sz="4" w:space="0" w:color="FF0000"/>
              <w:left w:val="nil"/>
              <w:bottom w:val="nil"/>
              <w:right w:val="nil"/>
            </w:tcBorders>
            <w:shd w:val="clear" w:color="auto" w:fill="auto"/>
            <w:vAlign w:val="center"/>
            <w:hideMark/>
          </w:tcPr>
          <w:p w:rsidR="002C76AD" w:rsidRDefault="002C76AD" w:rsidP="002C76AD">
            <w:pPr>
              <w:jc w:val="right"/>
              <w:rPr>
                <w:rFonts w:ascii="Arial Narrow" w:hAnsi="Arial Narrow"/>
                <w:b/>
                <w:bCs/>
                <w:color w:val="000000"/>
                <w:sz w:val="16"/>
                <w:szCs w:val="16"/>
              </w:rPr>
            </w:pPr>
            <w:r>
              <w:rPr>
                <w:rFonts w:ascii="Arial Narrow" w:hAnsi="Arial Narrow"/>
                <w:b/>
                <w:bCs/>
                <w:color w:val="000000"/>
                <w:sz w:val="16"/>
                <w:szCs w:val="16"/>
              </w:rPr>
              <w:t>128 574</w:t>
            </w:r>
          </w:p>
        </w:tc>
        <w:tc>
          <w:tcPr>
            <w:tcW w:w="851" w:type="dxa"/>
            <w:tcBorders>
              <w:top w:val="single" w:sz="4" w:space="0" w:color="FF0000"/>
              <w:left w:val="single" w:sz="4" w:space="0" w:color="FF0000"/>
              <w:bottom w:val="nil"/>
              <w:right w:val="nil"/>
            </w:tcBorders>
            <w:shd w:val="clear" w:color="auto" w:fill="auto"/>
            <w:vAlign w:val="center"/>
            <w:hideMark/>
          </w:tcPr>
          <w:p w:rsidR="002C76AD" w:rsidRDefault="002C76AD" w:rsidP="002C76AD">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261 947</w:t>
            </w:r>
          </w:p>
        </w:tc>
        <w:tc>
          <w:tcPr>
            <w:tcW w:w="850" w:type="dxa"/>
            <w:tcBorders>
              <w:top w:val="single" w:sz="4" w:space="0" w:color="FF0000"/>
              <w:left w:val="nil"/>
              <w:bottom w:val="nil"/>
              <w:right w:val="nil"/>
            </w:tcBorders>
            <w:shd w:val="clear" w:color="auto" w:fill="auto"/>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130 118</w:t>
            </w:r>
          </w:p>
        </w:tc>
        <w:tc>
          <w:tcPr>
            <w:tcW w:w="709" w:type="dxa"/>
            <w:tcBorders>
              <w:top w:val="single" w:sz="4" w:space="0" w:color="FF0000"/>
              <w:left w:val="nil"/>
              <w:bottom w:val="nil"/>
              <w:right w:val="nil"/>
            </w:tcBorders>
            <w:shd w:val="clear" w:color="auto" w:fill="auto"/>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131 829</w:t>
            </w:r>
          </w:p>
        </w:tc>
        <w:tc>
          <w:tcPr>
            <w:tcW w:w="850" w:type="dxa"/>
            <w:tcBorders>
              <w:top w:val="single" w:sz="4" w:space="0" w:color="FF0000"/>
              <w:left w:val="single" w:sz="4" w:space="0" w:color="FF0000"/>
              <w:bottom w:val="nil"/>
              <w:right w:val="nil"/>
            </w:tcBorders>
            <w:shd w:val="clear" w:color="auto" w:fill="auto"/>
            <w:vAlign w:val="center"/>
            <w:hideMark/>
          </w:tcPr>
          <w:p w:rsidR="002C76AD" w:rsidRDefault="002C76AD" w:rsidP="002C76AD">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256 376</w:t>
            </w:r>
          </w:p>
        </w:tc>
        <w:tc>
          <w:tcPr>
            <w:tcW w:w="851" w:type="dxa"/>
            <w:tcBorders>
              <w:top w:val="single" w:sz="4" w:space="0" w:color="FF0000"/>
              <w:left w:val="nil"/>
              <w:bottom w:val="nil"/>
              <w:right w:val="nil"/>
            </w:tcBorders>
            <w:shd w:val="clear" w:color="auto" w:fill="auto"/>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128 062</w:t>
            </w:r>
          </w:p>
        </w:tc>
        <w:tc>
          <w:tcPr>
            <w:tcW w:w="709" w:type="dxa"/>
            <w:tcBorders>
              <w:top w:val="single" w:sz="4" w:space="0" w:color="FF0000"/>
              <w:left w:val="nil"/>
              <w:bottom w:val="nil"/>
              <w:right w:val="single" w:sz="4" w:space="0" w:color="ED7D31" w:themeColor="accent2"/>
            </w:tcBorders>
            <w:shd w:val="clear" w:color="auto" w:fill="auto"/>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128 314</w:t>
            </w:r>
          </w:p>
        </w:tc>
      </w:tr>
      <w:tr w:rsidR="002C76AD" w:rsidTr="007B7FAB">
        <w:trPr>
          <w:trHeight w:val="270"/>
        </w:trPr>
        <w:tc>
          <w:tcPr>
            <w:tcW w:w="284" w:type="dxa"/>
            <w:tcBorders>
              <w:top w:val="nil"/>
              <w:left w:val="nil"/>
              <w:bottom w:val="nil"/>
              <w:right w:val="nil"/>
            </w:tcBorders>
            <w:shd w:val="clear" w:color="auto" w:fill="auto"/>
            <w:noWrap/>
            <w:textDirection w:val="btLr"/>
            <w:vAlign w:val="center"/>
            <w:hideMark/>
          </w:tcPr>
          <w:p w:rsidR="002C76AD" w:rsidRDefault="002C76AD" w:rsidP="002C76AD">
            <w:pPr>
              <w:rPr>
                <w:rFonts w:ascii="Arial Narrow" w:hAnsi="Arial Narrow"/>
                <w:color w:val="000000"/>
                <w:sz w:val="16"/>
                <w:szCs w:val="16"/>
              </w:rPr>
            </w:pPr>
          </w:p>
        </w:tc>
        <w:tc>
          <w:tcPr>
            <w:tcW w:w="283" w:type="dxa"/>
            <w:tcBorders>
              <w:top w:val="nil"/>
              <w:left w:val="nil"/>
              <w:bottom w:val="nil"/>
              <w:right w:val="nil"/>
            </w:tcBorders>
            <w:shd w:val="clear" w:color="auto" w:fill="auto"/>
            <w:noWrap/>
            <w:textDirection w:val="btLr"/>
            <w:vAlign w:val="center"/>
            <w:hideMark/>
          </w:tcPr>
          <w:p w:rsidR="002C76AD" w:rsidRDefault="002C76AD" w:rsidP="002C76AD">
            <w:pPr>
              <w:rPr>
                <w:rFonts w:ascii="Arial Narrow" w:hAnsi="Arial Narrow"/>
                <w:color w:val="000000"/>
                <w:sz w:val="16"/>
                <w:szCs w:val="16"/>
              </w:rPr>
            </w:pPr>
          </w:p>
        </w:tc>
        <w:tc>
          <w:tcPr>
            <w:tcW w:w="1701" w:type="dxa"/>
            <w:tcBorders>
              <w:top w:val="nil"/>
              <w:left w:val="nil"/>
              <w:bottom w:val="nil"/>
              <w:right w:val="single" w:sz="4" w:space="0" w:color="FF0000"/>
            </w:tcBorders>
            <w:shd w:val="clear" w:color="auto" w:fill="auto"/>
            <w:noWrap/>
            <w:vAlign w:val="center"/>
            <w:hideMark/>
          </w:tcPr>
          <w:p w:rsidR="002C76AD" w:rsidRDefault="002C76AD" w:rsidP="002C76AD">
            <w:pPr>
              <w:rPr>
                <w:rFonts w:ascii="Arial Narrow" w:hAnsi="Arial Narrow"/>
                <w:color w:val="000000"/>
                <w:sz w:val="16"/>
                <w:szCs w:val="16"/>
              </w:rPr>
            </w:pPr>
            <w:r>
              <w:rPr>
                <w:rFonts w:ascii="Arial Narrow" w:hAnsi="Arial Narrow"/>
                <w:color w:val="000000"/>
                <w:sz w:val="16"/>
                <w:szCs w:val="16"/>
              </w:rPr>
              <w:t>netestovaných</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255 337</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127 141</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128 196</w:t>
            </w:r>
          </w:p>
        </w:tc>
        <w:tc>
          <w:tcPr>
            <w:tcW w:w="851"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260 694</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129 237</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131 457</w:t>
            </w:r>
          </w:p>
        </w:tc>
        <w:tc>
          <w:tcPr>
            <w:tcW w:w="850"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255 381</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127 421</w:t>
            </w:r>
          </w:p>
        </w:tc>
        <w:tc>
          <w:tcPr>
            <w:tcW w:w="709" w:type="dxa"/>
            <w:tcBorders>
              <w:top w:val="nil"/>
              <w:left w:val="nil"/>
              <w:bottom w:val="nil"/>
              <w:right w:val="single" w:sz="4" w:space="0" w:color="ED7D31" w:themeColor="accent2"/>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127 960</w:t>
            </w:r>
          </w:p>
        </w:tc>
      </w:tr>
      <w:tr w:rsidR="002C76AD" w:rsidTr="007B7FAB">
        <w:trPr>
          <w:trHeight w:val="270"/>
        </w:trPr>
        <w:tc>
          <w:tcPr>
            <w:tcW w:w="284" w:type="dxa"/>
            <w:tcBorders>
              <w:top w:val="nil"/>
              <w:left w:val="nil"/>
              <w:bottom w:val="single" w:sz="4" w:space="0" w:color="FF0000"/>
              <w:right w:val="nil"/>
            </w:tcBorders>
            <w:shd w:val="clear" w:color="auto" w:fill="auto"/>
            <w:noWrap/>
            <w:textDirection w:val="btLr"/>
            <w:vAlign w:val="center"/>
            <w:hideMark/>
          </w:tcPr>
          <w:p w:rsidR="002C76AD" w:rsidRDefault="002C76AD" w:rsidP="002C76AD">
            <w:pPr>
              <w:rPr>
                <w:rFonts w:ascii="Arial Narrow" w:hAnsi="Arial Narrow"/>
                <w:color w:val="000000"/>
                <w:sz w:val="16"/>
                <w:szCs w:val="16"/>
              </w:rPr>
            </w:pPr>
            <w:r>
              <w:rPr>
                <w:rFonts w:ascii="Arial Narrow" w:hAnsi="Arial Narrow"/>
                <w:color w:val="000000"/>
                <w:sz w:val="16"/>
                <w:szCs w:val="16"/>
              </w:rPr>
              <w:t> </w:t>
            </w:r>
          </w:p>
        </w:tc>
        <w:tc>
          <w:tcPr>
            <w:tcW w:w="283" w:type="dxa"/>
            <w:tcBorders>
              <w:top w:val="nil"/>
              <w:left w:val="nil"/>
              <w:bottom w:val="single" w:sz="4" w:space="0" w:color="FF0000"/>
              <w:right w:val="nil"/>
            </w:tcBorders>
            <w:shd w:val="clear" w:color="auto" w:fill="auto"/>
            <w:noWrap/>
            <w:textDirection w:val="btLr"/>
            <w:vAlign w:val="center"/>
            <w:hideMark/>
          </w:tcPr>
          <w:p w:rsidR="002C76AD" w:rsidRDefault="002C76AD" w:rsidP="002C76AD">
            <w:pPr>
              <w:rPr>
                <w:rFonts w:ascii="Arial Narrow" w:hAnsi="Arial Narrow"/>
                <w:color w:val="000000"/>
                <w:sz w:val="16"/>
                <w:szCs w:val="16"/>
              </w:rPr>
            </w:pPr>
            <w:r>
              <w:rPr>
                <w:rFonts w:ascii="Arial Narrow" w:hAnsi="Arial Narrow"/>
                <w:color w:val="000000"/>
                <w:sz w:val="16"/>
                <w:szCs w:val="16"/>
              </w:rPr>
              <w:t> </w:t>
            </w:r>
          </w:p>
        </w:tc>
        <w:tc>
          <w:tcPr>
            <w:tcW w:w="1701" w:type="dxa"/>
            <w:tcBorders>
              <w:top w:val="nil"/>
              <w:left w:val="nil"/>
              <w:bottom w:val="single" w:sz="4" w:space="0" w:color="FF0000"/>
              <w:right w:val="single" w:sz="4" w:space="0" w:color="FF0000"/>
            </w:tcBorders>
            <w:shd w:val="clear" w:color="auto" w:fill="auto"/>
            <w:noWrap/>
            <w:vAlign w:val="center"/>
            <w:hideMark/>
          </w:tcPr>
          <w:p w:rsidR="002C76AD" w:rsidRDefault="002C76AD" w:rsidP="002C76AD">
            <w:pPr>
              <w:rPr>
                <w:rFonts w:ascii="Arial Narrow" w:hAnsi="Arial Narrow"/>
                <w:color w:val="000000"/>
                <w:sz w:val="16"/>
                <w:szCs w:val="16"/>
              </w:rPr>
            </w:pPr>
            <w:r>
              <w:rPr>
                <w:rFonts w:ascii="Arial Narrow" w:hAnsi="Arial Narrow"/>
                <w:color w:val="000000"/>
                <w:sz w:val="16"/>
                <w:szCs w:val="16"/>
              </w:rPr>
              <w:t xml:space="preserve">testovaných </w:t>
            </w:r>
          </w:p>
        </w:tc>
        <w:tc>
          <w:tcPr>
            <w:tcW w:w="851" w:type="dxa"/>
            <w:tcBorders>
              <w:top w:val="nil"/>
              <w:left w:val="nil"/>
              <w:bottom w:val="single" w:sz="4" w:space="0" w:color="FF0000"/>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1 011</w:t>
            </w:r>
          </w:p>
        </w:tc>
        <w:tc>
          <w:tcPr>
            <w:tcW w:w="850" w:type="dxa"/>
            <w:tcBorders>
              <w:top w:val="nil"/>
              <w:left w:val="nil"/>
              <w:bottom w:val="single" w:sz="4" w:space="0" w:color="FF0000"/>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633</w:t>
            </w:r>
          </w:p>
        </w:tc>
        <w:tc>
          <w:tcPr>
            <w:tcW w:w="709" w:type="dxa"/>
            <w:tcBorders>
              <w:top w:val="nil"/>
              <w:left w:val="nil"/>
              <w:bottom w:val="single" w:sz="4" w:space="0" w:color="FF0000"/>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378</w:t>
            </w:r>
          </w:p>
        </w:tc>
        <w:tc>
          <w:tcPr>
            <w:tcW w:w="851" w:type="dxa"/>
            <w:tcBorders>
              <w:top w:val="nil"/>
              <w:left w:val="single" w:sz="4" w:space="0" w:color="FF0000"/>
              <w:bottom w:val="single" w:sz="4" w:space="0" w:color="FF0000"/>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1 253</w:t>
            </w:r>
          </w:p>
        </w:tc>
        <w:tc>
          <w:tcPr>
            <w:tcW w:w="850" w:type="dxa"/>
            <w:tcBorders>
              <w:top w:val="nil"/>
              <w:left w:val="nil"/>
              <w:bottom w:val="single" w:sz="4" w:space="0" w:color="FF0000"/>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881</w:t>
            </w:r>
          </w:p>
        </w:tc>
        <w:tc>
          <w:tcPr>
            <w:tcW w:w="709" w:type="dxa"/>
            <w:tcBorders>
              <w:top w:val="nil"/>
              <w:left w:val="nil"/>
              <w:bottom w:val="single" w:sz="4" w:space="0" w:color="FF0000"/>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372</w:t>
            </w:r>
          </w:p>
        </w:tc>
        <w:tc>
          <w:tcPr>
            <w:tcW w:w="850" w:type="dxa"/>
            <w:tcBorders>
              <w:top w:val="nil"/>
              <w:left w:val="single" w:sz="4" w:space="0" w:color="FF0000"/>
              <w:bottom w:val="single" w:sz="4" w:space="0" w:color="FF0000"/>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995</w:t>
            </w:r>
          </w:p>
        </w:tc>
        <w:tc>
          <w:tcPr>
            <w:tcW w:w="851" w:type="dxa"/>
            <w:tcBorders>
              <w:top w:val="nil"/>
              <w:left w:val="nil"/>
              <w:bottom w:val="single" w:sz="4" w:space="0" w:color="FF0000"/>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641</w:t>
            </w:r>
          </w:p>
        </w:tc>
        <w:tc>
          <w:tcPr>
            <w:tcW w:w="709" w:type="dxa"/>
            <w:tcBorders>
              <w:top w:val="nil"/>
              <w:left w:val="nil"/>
              <w:bottom w:val="single" w:sz="4" w:space="0" w:color="FF0000"/>
              <w:right w:val="single" w:sz="4" w:space="0" w:color="ED7D31" w:themeColor="accent2"/>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354</w:t>
            </w:r>
          </w:p>
        </w:tc>
      </w:tr>
      <w:tr w:rsidR="002C76AD" w:rsidTr="007B7FAB">
        <w:trPr>
          <w:trHeight w:val="270"/>
        </w:trPr>
        <w:tc>
          <w:tcPr>
            <w:tcW w:w="2268" w:type="dxa"/>
            <w:gridSpan w:val="3"/>
            <w:tcBorders>
              <w:top w:val="nil"/>
              <w:left w:val="nil"/>
              <w:bottom w:val="nil"/>
              <w:right w:val="single" w:sz="4" w:space="0" w:color="FF0000"/>
            </w:tcBorders>
            <w:shd w:val="clear" w:color="000000" w:fill="E2EFDA"/>
            <w:noWrap/>
            <w:vAlign w:val="center"/>
            <w:hideMark/>
          </w:tcPr>
          <w:p w:rsidR="002C76AD" w:rsidRDefault="002C76AD" w:rsidP="002C76AD">
            <w:pPr>
              <w:rPr>
                <w:rFonts w:ascii="Arial Narrow" w:hAnsi="Arial Narrow"/>
                <w:b/>
                <w:bCs/>
                <w:color w:val="000000"/>
                <w:sz w:val="16"/>
                <w:szCs w:val="16"/>
              </w:rPr>
            </w:pPr>
            <w:r>
              <w:rPr>
                <w:rFonts w:ascii="Arial Narrow" w:hAnsi="Arial Narrow"/>
                <w:b/>
                <w:bCs/>
                <w:color w:val="000000"/>
                <w:sz w:val="16"/>
                <w:szCs w:val="16"/>
              </w:rPr>
              <w:t>Poberatelia dôchodkov vo funkcii staroba spolu</w:t>
            </w:r>
          </w:p>
        </w:tc>
        <w:tc>
          <w:tcPr>
            <w:tcW w:w="851" w:type="dxa"/>
            <w:tcBorders>
              <w:top w:val="nil"/>
              <w:left w:val="nil"/>
              <w:bottom w:val="nil"/>
              <w:right w:val="nil"/>
            </w:tcBorders>
            <w:shd w:val="clear" w:color="000000" w:fill="E2EFDA"/>
            <w:noWrap/>
            <w:vAlign w:val="center"/>
            <w:hideMark/>
          </w:tcPr>
          <w:p w:rsidR="002C76AD" w:rsidRDefault="002C76AD" w:rsidP="002C76AD">
            <w:pPr>
              <w:jc w:val="right"/>
              <w:rPr>
                <w:rFonts w:ascii="Arial Narrow" w:hAnsi="Arial Narrow"/>
                <w:b/>
                <w:bCs/>
                <w:sz w:val="16"/>
                <w:szCs w:val="16"/>
              </w:rPr>
            </w:pPr>
            <w:r>
              <w:rPr>
                <w:rFonts w:ascii="Arial Narrow" w:hAnsi="Arial Narrow"/>
                <w:b/>
                <w:bCs/>
                <w:sz w:val="16"/>
                <w:szCs w:val="16"/>
              </w:rPr>
              <w:t>1 113 295</w:t>
            </w:r>
          </w:p>
        </w:tc>
        <w:tc>
          <w:tcPr>
            <w:tcW w:w="850" w:type="dxa"/>
            <w:tcBorders>
              <w:top w:val="nil"/>
              <w:left w:val="nil"/>
              <w:bottom w:val="nil"/>
              <w:right w:val="nil"/>
            </w:tcBorders>
            <w:shd w:val="clear" w:color="000000" w:fill="E2EFDA"/>
            <w:noWrap/>
            <w:vAlign w:val="center"/>
            <w:hideMark/>
          </w:tcPr>
          <w:p w:rsidR="002C76AD" w:rsidRDefault="002C76AD" w:rsidP="002C76AD">
            <w:pPr>
              <w:jc w:val="right"/>
              <w:rPr>
                <w:rFonts w:ascii="Arial Narrow" w:hAnsi="Arial Narrow"/>
                <w:b/>
                <w:bCs/>
                <w:sz w:val="16"/>
                <w:szCs w:val="16"/>
              </w:rPr>
            </w:pPr>
            <w:r>
              <w:rPr>
                <w:rFonts w:ascii="Arial Narrow" w:hAnsi="Arial Narrow"/>
                <w:b/>
                <w:bCs/>
                <w:sz w:val="16"/>
                <w:szCs w:val="16"/>
              </w:rPr>
              <w:t>664 238</w:t>
            </w:r>
          </w:p>
        </w:tc>
        <w:tc>
          <w:tcPr>
            <w:tcW w:w="709" w:type="dxa"/>
            <w:tcBorders>
              <w:top w:val="nil"/>
              <w:left w:val="nil"/>
              <w:bottom w:val="nil"/>
              <w:right w:val="nil"/>
            </w:tcBorders>
            <w:shd w:val="clear" w:color="000000" w:fill="E2EFDA"/>
            <w:noWrap/>
            <w:vAlign w:val="center"/>
            <w:hideMark/>
          </w:tcPr>
          <w:p w:rsidR="002C76AD" w:rsidRDefault="002C76AD" w:rsidP="002C76AD">
            <w:pPr>
              <w:jc w:val="right"/>
              <w:rPr>
                <w:rFonts w:ascii="Arial Narrow" w:hAnsi="Arial Narrow"/>
                <w:b/>
                <w:bCs/>
                <w:sz w:val="16"/>
                <w:szCs w:val="16"/>
              </w:rPr>
            </w:pPr>
            <w:r>
              <w:rPr>
                <w:rFonts w:ascii="Arial Narrow" w:hAnsi="Arial Narrow"/>
                <w:b/>
                <w:bCs/>
                <w:sz w:val="16"/>
                <w:szCs w:val="16"/>
              </w:rPr>
              <w:t>449 057</w:t>
            </w:r>
          </w:p>
        </w:tc>
        <w:tc>
          <w:tcPr>
            <w:tcW w:w="851" w:type="dxa"/>
            <w:tcBorders>
              <w:top w:val="nil"/>
              <w:left w:val="single" w:sz="4" w:space="0" w:color="FF0000"/>
              <w:bottom w:val="nil"/>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1 135 302</w:t>
            </w:r>
          </w:p>
        </w:tc>
        <w:tc>
          <w:tcPr>
            <w:tcW w:w="850" w:type="dxa"/>
            <w:tcBorders>
              <w:top w:val="nil"/>
              <w:left w:val="nil"/>
              <w:bottom w:val="nil"/>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677 665</w:t>
            </w:r>
          </w:p>
        </w:tc>
        <w:tc>
          <w:tcPr>
            <w:tcW w:w="709" w:type="dxa"/>
            <w:tcBorders>
              <w:top w:val="nil"/>
              <w:left w:val="nil"/>
              <w:bottom w:val="nil"/>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457 637</w:t>
            </w:r>
          </w:p>
        </w:tc>
        <w:tc>
          <w:tcPr>
            <w:tcW w:w="850" w:type="dxa"/>
            <w:tcBorders>
              <w:top w:val="nil"/>
              <w:left w:val="single" w:sz="4" w:space="0" w:color="FF0000"/>
              <w:bottom w:val="nil"/>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1 113 478</w:t>
            </w:r>
          </w:p>
        </w:tc>
        <w:tc>
          <w:tcPr>
            <w:tcW w:w="851" w:type="dxa"/>
            <w:tcBorders>
              <w:top w:val="nil"/>
              <w:left w:val="nil"/>
              <w:bottom w:val="nil"/>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664 272</w:t>
            </w:r>
          </w:p>
        </w:tc>
        <w:tc>
          <w:tcPr>
            <w:tcW w:w="709" w:type="dxa"/>
            <w:tcBorders>
              <w:top w:val="nil"/>
              <w:left w:val="nil"/>
              <w:bottom w:val="nil"/>
              <w:right w:val="single" w:sz="4" w:space="0" w:color="ED7D31" w:themeColor="accent2"/>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449 206</w:t>
            </w:r>
          </w:p>
        </w:tc>
      </w:tr>
      <w:tr w:rsidR="002C76AD" w:rsidTr="007B7FAB">
        <w:trPr>
          <w:trHeight w:val="270"/>
        </w:trPr>
        <w:tc>
          <w:tcPr>
            <w:tcW w:w="284" w:type="dxa"/>
            <w:tcBorders>
              <w:top w:val="nil"/>
              <w:left w:val="nil"/>
              <w:bottom w:val="nil"/>
              <w:right w:val="nil"/>
            </w:tcBorders>
            <w:shd w:val="clear" w:color="auto" w:fill="auto"/>
            <w:noWrap/>
            <w:vAlign w:val="center"/>
            <w:hideMark/>
          </w:tcPr>
          <w:p w:rsidR="002C76AD" w:rsidRDefault="002C76AD" w:rsidP="002C76AD">
            <w:pPr>
              <w:rPr>
                <w:rFonts w:ascii="Arial Narrow" w:hAnsi="Arial Narrow"/>
                <w:color w:val="000000"/>
                <w:sz w:val="16"/>
                <w:szCs w:val="16"/>
              </w:rPr>
            </w:pPr>
          </w:p>
        </w:tc>
        <w:tc>
          <w:tcPr>
            <w:tcW w:w="1984" w:type="dxa"/>
            <w:gridSpan w:val="2"/>
            <w:tcBorders>
              <w:top w:val="nil"/>
              <w:left w:val="nil"/>
              <w:bottom w:val="nil"/>
              <w:right w:val="single" w:sz="4" w:space="0" w:color="FF0000"/>
            </w:tcBorders>
            <w:shd w:val="clear" w:color="auto" w:fill="auto"/>
            <w:noWrap/>
            <w:vAlign w:val="center"/>
            <w:hideMark/>
          </w:tcPr>
          <w:p w:rsidR="002C76AD" w:rsidRDefault="002C76AD" w:rsidP="002C76AD">
            <w:pPr>
              <w:rPr>
                <w:rFonts w:ascii="Arial Narrow" w:hAnsi="Arial Narrow"/>
                <w:color w:val="000000"/>
                <w:sz w:val="16"/>
                <w:szCs w:val="16"/>
              </w:rPr>
            </w:pPr>
            <w:r>
              <w:rPr>
                <w:rFonts w:ascii="Arial Narrow" w:hAnsi="Arial Narrow"/>
                <w:color w:val="000000"/>
                <w:sz w:val="16"/>
                <w:szCs w:val="16"/>
              </w:rPr>
              <w:t>Poberatelia starobných dôchodkov</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1 089 854</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662 641</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427 213</w:t>
            </w:r>
          </w:p>
        </w:tc>
        <w:tc>
          <w:tcPr>
            <w:tcW w:w="851"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1 111 545</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676 047</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435 498</w:t>
            </w:r>
          </w:p>
        </w:tc>
        <w:tc>
          <w:tcPr>
            <w:tcW w:w="850"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1 090 045</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662 700</w:t>
            </w:r>
          </w:p>
        </w:tc>
        <w:tc>
          <w:tcPr>
            <w:tcW w:w="709" w:type="dxa"/>
            <w:tcBorders>
              <w:top w:val="nil"/>
              <w:left w:val="nil"/>
              <w:bottom w:val="nil"/>
              <w:right w:val="single" w:sz="4" w:space="0" w:color="ED7D31" w:themeColor="accent2"/>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427 345</w:t>
            </w:r>
          </w:p>
        </w:tc>
      </w:tr>
      <w:tr w:rsidR="002C76AD" w:rsidTr="007B7FAB">
        <w:trPr>
          <w:trHeight w:val="270"/>
        </w:trPr>
        <w:tc>
          <w:tcPr>
            <w:tcW w:w="284" w:type="dxa"/>
            <w:tcBorders>
              <w:top w:val="nil"/>
              <w:left w:val="nil"/>
              <w:bottom w:val="nil"/>
              <w:right w:val="nil"/>
            </w:tcBorders>
            <w:shd w:val="clear" w:color="auto" w:fill="auto"/>
            <w:noWrap/>
            <w:vAlign w:val="center"/>
            <w:hideMark/>
          </w:tcPr>
          <w:p w:rsidR="002C76AD" w:rsidRDefault="002C76AD" w:rsidP="002C76AD">
            <w:pPr>
              <w:rPr>
                <w:rFonts w:ascii="Arial Narrow" w:hAnsi="Arial Narrow"/>
                <w:color w:val="000000"/>
                <w:sz w:val="16"/>
                <w:szCs w:val="16"/>
              </w:rPr>
            </w:pPr>
          </w:p>
        </w:tc>
        <w:tc>
          <w:tcPr>
            <w:tcW w:w="283" w:type="dxa"/>
            <w:tcBorders>
              <w:top w:val="nil"/>
              <w:left w:val="nil"/>
              <w:bottom w:val="nil"/>
              <w:right w:val="nil"/>
            </w:tcBorders>
            <w:shd w:val="clear" w:color="auto" w:fill="auto"/>
            <w:noWrap/>
            <w:vAlign w:val="center"/>
            <w:hideMark/>
          </w:tcPr>
          <w:p w:rsidR="002C76AD" w:rsidRDefault="002C76AD" w:rsidP="002C76AD">
            <w:pPr>
              <w:rPr>
                <w:rFonts w:ascii="Arial Narrow" w:hAnsi="Arial Narrow"/>
                <w:color w:val="000000"/>
                <w:sz w:val="16"/>
                <w:szCs w:val="16"/>
                <w:u w:val="single"/>
              </w:rPr>
            </w:pPr>
          </w:p>
        </w:tc>
        <w:tc>
          <w:tcPr>
            <w:tcW w:w="1701" w:type="dxa"/>
            <w:tcBorders>
              <w:top w:val="nil"/>
              <w:left w:val="nil"/>
              <w:bottom w:val="nil"/>
              <w:right w:val="single" w:sz="4" w:space="0" w:color="FF0000"/>
            </w:tcBorders>
            <w:shd w:val="clear" w:color="auto" w:fill="auto"/>
            <w:noWrap/>
            <w:vAlign w:val="center"/>
            <w:hideMark/>
          </w:tcPr>
          <w:p w:rsidR="002C76AD" w:rsidRDefault="002C76AD" w:rsidP="002C76AD">
            <w:pPr>
              <w:rPr>
                <w:rFonts w:ascii="Arial Narrow" w:hAnsi="Arial Narrow"/>
                <w:color w:val="000000"/>
                <w:sz w:val="16"/>
                <w:szCs w:val="16"/>
              </w:rPr>
            </w:pPr>
            <w:r>
              <w:rPr>
                <w:rFonts w:ascii="Arial Narrow" w:hAnsi="Arial Narrow"/>
                <w:color w:val="000000"/>
                <w:sz w:val="16"/>
                <w:szCs w:val="16"/>
              </w:rPr>
              <w:t>netestovaných</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1 088 609</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661 774</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426 835</w:t>
            </w:r>
          </w:p>
        </w:tc>
        <w:tc>
          <w:tcPr>
            <w:tcW w:w="851"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1 110 292</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675 166</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435 126</w:t>
            </w:r>
          </w:p>
        </w:tc>
        <w:tc>
          <w:tcPr>
            <w:tcW w:w="850"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1 088 816</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661 825</w:t>
            </w:r>
          </w:p>
        </w:tc>
        <w:tc>
          <w:tcPr>
            <w:tcW w:w="709" w:type="dxa"/>
            <w:tcBorders>
              <w:top w:val="nil"/>
              <w:left w:val="nil"/>
              <w:bottom w:val="nil"/>
              <w:right w:val="single" w:sz="4" w:space="0" w:color="ED7D31" w:themeColor="accent2"/>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426 991</w:t>
            </w:r>
          </w:p>
        </w:tc>
      </w:tr>
      <w:tr w:rsidR="002C76AD" w:rsidTr="007B7FAB">
        <w:trPr>
          <w:trHeight w:val="270"/>
        </w:trPr>
        <w:tc>
          <w:tcPr>
            <w:tcW w:w="284" w:type="dxa"/>
            <w:tcBorders>
              <w:top w:val="nil"/>
              <w:left w:val="nil"/>
              <w:bottom w:val="nil"/>
              <w:right w:val="nil"/>
            </w:tcBorders>
            <w:shd w:val="clear" w:color="auto" w:fill="auto"/>
            <w:noWrap/>
            <w:vAlign w:val="center"/>
            <w:hideMark/>
          </w:tcPr>
          <w:p w:rsidR="002C76AD" w:rsidRDefault="002C76AD" w:rsidP="002C76AD">
            <w:pPr>
              <w:rPr>
                <w:rFonts w:ascii="Arial Narrow" w:hAnsi="Arial Narrow"/>
                <w:color w:val="000000"/>
                <w:sz w:val="16"/>
                <w:szCs w:val="16"/>
              </w:rPr>
            </w:pPr>
          </w:p>
        </w:tc>
        <w:tc>
          <w:tcPr>
            <w:tcW w:w="283" w:type="dxa"/>
            <w:tcBorders>
              <w:top w:val="nil"/>
              <w:left w:val="nil"/>
              <w:bottom w:val="nil"/>
              <w:right w:val="nil"/>
            </w:tcBorders>
            <w:shd w:val="clear" w:color="auto" w:fill="auto"/>
            <w:noWrap/>
            <w:vAlign w:val="center"/>
            <w:hideMark/>
          </w:tcPr>
          <w:p w:rsidR="002C76AD" w:rsidRDefault="002C76AD" w:rsidP="002C76AD">
            <w:pPr>
              <w:rPr>
                <w:rFonts w:ascii="Arial Narrow" w:hAnsi="Arial Narrow"/>
                <w:color w:val="000000"/>
                <w:sz w:val="16"/>
                <w:szCs w:val="16"/>
                <w:u w:val="single"/>
              </w:rPr>
            </w:pPr>
          </w:p>
        </w:tc>
        <w:tc>
          <w:tcPr>
            <w:tcW w:w="1701" w:type="dxa"/>
            <w:tcBorders>
              <w:top w:val="nil"/>
              <w:left w:val="nil"/>
              <w:bottom w:val="nil"/>
              <w:right w:val="single" w:sz="4" w:space="0" w:color="FF0000"/>
            </w:tcBorders>
            <w:shd w:val="clear" w:color="auto" w:fill="auto"/>
            <w:noWrap/>
            <w:vAlign w:val="center"/>
            <w:hideMark/>
          </w:tcPr>
          <w:p w:rsidR="002C76AD" w:rsidRDefault="002C76AD" w:rsidP="002C76AD">
            <w:pPr>
              <w:rPr>
                <w:rFonts w:ascii="Arial Narrow" w:hAnsi="Arial Narrow"/>
                <w:color w:val="000000"/>
                <w:sz w:val="16"/>
                <w:szCs w:val="16"/>
              </w:rPr>
            </w:pPr>
            <w:r>
              <w:rPr>
                <w:rFonts w:ascii="Arial Narrow" w:hAnsi="Arial Narrow"/>
                <w:color w:val="000000"/>
                <w:sz w:val="16"/>
                <w:szCs w:val="16"/>
              </w:rPr>
              <w:t xml:space="preserve">testovaných </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1 245</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867</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378</w:t>
            </w:r>
          </w:p>
        </w:tc>
        <w:tc>
          <w:tcPr>
            <w:tcW w:w="851"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1 253</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881</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372</w:t>
            </w:r>
          </w:p>
        </w:tc>
        <w:tc>
          <w:tcPr>
            <w:tcW w:w="850"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1 229</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875</w:t>
            </w:r>
          </w:p>
        </w:tc>
        <w:tc>
          <w:tcPr>
            <w:tcW w:w="709" w:type="dxa"/>
            <w:tcBorders>
              <w:top w:val="nil"/>
              <w:left w:val="nil"/>
              <w:bottom w:val="nil"/>
              <w:right w:val="single" w:sz="4" w:space="0" w:color="ED7D31" w:themeColor="accent2"/>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354</w:t>
            </w:r>
          </w:p>
        </w:tc>
      </w:tr>
      <w:tr w:rsidR="002C76AD" w:rsidTr="007B7FAB">
        <w:trPr>
          <w:trHeight w:val="270"/>
        </w:trPr>
        <w:tc>
          <w:tcPr>
            <w:tcW w:w="284" w:type="dxa"/>
            <w:tcBorders>
              <w:top w:val="nil"/>
              <w:left w:val="nil"/>
              <w:bottom w:val="nil"/>
              <w:right w:val="nil"/>
            </w:tcBorders>
            <w:shd w:val="clear" w:color="auto" w:fill="auto"/>
            <w:noWrap/>
            <w:vAlign w:val="center"/>
            <w:hideMark/>
          </w:tcPr>
          <w:p w:rsidR="002C76AD" w:rsidRDefault="002C76AD" w:rsidP="002C76AD">
            <w:pPr>
              <w:rPr>
                <w:rFonts w:ascii="Arial Narrow" w:hAnsi="Arial Narrow"/>
                <w:color w:val="000000"/>
                <w:sz w:val="16"/>
                <w:szCs w:val="16"/>
              </w:rPr>
            </w:pPr>
          </w:p>
        </w:tc>
        <w:tc>
          <w:tcPr>
            <w:tcW w:w="1984" w:type="dxa"/>
            <w:gridSpan w:val="2"/>
            <w:tcBorders>
              <w:top w:val="nil"/>
              <w:left w:val="nil"/>
              <w:bottom w:val="nil"/>
              <w:right w:val="single" w:sz="4" w:space="0" w:color="FF0000"/>
            </w:tcBorders>
            <w:shd w:val="clear" w:color="auto" w:fill="auto"/>
            <w:vAlign w:val="center"/>
            <w:hideMark/>
          </w:tcPr>
          <w:p w:rsidR="002C76AD" w:rsidRDefault="002C76AD" w:rsidP="002C76AD">
            <w:pPr>
              <w:rPr>
                <w:rFonts w:ascii="Arial Narrow" w:hAnsi="Arial Narrow"/>
                <w:color w:val="000000"/>
                <w:sz w:val="16"/>
                <w:szCs w:val="16"/>
              </w:rPr>
            </w:pPr>
            <w:r>
              <w:rPr>
                <w:rFonts w:ascii="Arial Narrow" w:hAnsi="Arial Narrow"/>
                <w:color w:val="000000"/>
                <w:sz w:val="16"/>
                <w:szCs w:val="16"/>
              </w:rPr>
              <w:t>Poberatelia očakávaných starobných dôchodkov</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23 441</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1 597</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21 844</w:t>
            </w:r>
          </w:p>
        </w:tc>
        <w:tc>
          <w:tcPr>
            <w:tcW w:w="851" w:type="dxa"/>
            <w:tcBorders>
              <w:top w:val="nil"/>
              <w:left w:val="single" w:sz="4" w:space="0" w:color="FF0000"/>
              <w:bottom w:val="single" w:sz="4" w:space="0" w:color="FF0000"/>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23 757</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1 618</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22 139</w:t>
            </w:r>
          </w:p>
        </w:tc>
        <w:tc>
          <w:tcPr>
            <w:tcW w:w="850" w:type="dxa"/>
            <w:tcBorders>
              <w:top w:val="nil"/>
              <w:left w:val="single" w:sz="4" w:space="0" w:color="FF0000"/>
              <w:bottom w:val="single" w:sz="4" w:space="0" w:color="FF0000"/>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23 433</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1 572</w:t>
            </w:r>
          </w:p>
        </w:tc>
        <w:tc>
          <w:tcPr>
            <w:tcW w:w="709" w:type="dxa"/>
            <w:tcBorders>
              <w:top w:val="nil"/>
              <w:left w:val="nil"/>
              <w:bottom w:val="nil"/>
              <w:right w:val="single" w:sz="4" w:space="0" w:color="ED7D31" w:themeColor="accent2"/>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21 861</w:t>
            </w:r>
          </w:p>
        </w:tc>
      </w:tr>
      <w:tr w:rsidR="002C76AD" w:rsidTr="007B7FAB">
        <w:trPr>
          <w:trHeight w:val="270"/>
        </w:trPr>
        <w:tc>
          <w:tcPr>
            <w:tcW w:w="284" w:type="dxa"/>
            <w:tcBorders>
              <w:top w:val="single" w:sz="4" w:space="0" w:color="FF0000"/>
              <w:left w:val="nil"/>
              <w:bottom w:val="single" w:sz="4" w:space="0" w:color="FF0000"/>
              <w:right w:val="nil"/>
            </w:tcBorders>
            <w:shd w:val="clear" w:color="000000" w:fill="E2EFDA"/>
            <w:noWrap/>
            <w:vAlign w:val="center"/>
            <w:hideMark/>
          </w:tcPr>
          <w:p w:rsidR="002C76AD" w:rsidRDefault="002C76AD" w:rsidP="002C76AD">
            <w:pPr>
              <w:rPr>
                <w:rFonts w:ascii="Arial Narrow" w:hAnsi="Arial Narrow"/>
                <w:color w:val="000000"/>
                <w:sz w:val="16"/>
                <w:szCs w:val="16"/>
              </w:rPr>
            </w:pPr>
            <w:r>
              <w:rPr>
                <w:rFonts w:ascii="Arial Narrow" w:hAnsi="Arial Narrow"/>
                <w:color w:val="000000"/>
                <w:sz w:val="16"/>
                <w:szCs w:val="16"/>
              </w:rPr>
              <w:t> </w:t>
            </w:r>
          </w:p>
        </w:tc>
        <w:tc>
          <w:tcPr>
            <w:tcW w:w="1984" w:type="dxa"/>
            <w:gridSpan w:val="2"/>
            <w:tcBorders>
              <w:top w:val="single" w:sz="4" w:space="0" w:color="FF0000"/>
              <w:left w:val="nil"/>
              <w:bottom w:val="single" w:sz="4" w:space="0" w:color="FF0000"/>
              <w:right w:val="single" w:sz="4" w:space="0" w:color="FF0000"/>
            </w:tcBorders>
            <w:shd w:val="clear" w:color="000000" w:fill="E2EFDA"/>
            <w:noWrap/>
            <w:vAlign w:val="center"/>
            <w:hideMark/>
          </w:tcPr>
          <w:p w:rsidR="002C76AD" w:rsidRDefault="002C76AD" w:rsidP="002C76AD">
            <w:pPr>
              <w:rPr>
                <w:rFonts w:ascii="Arial Narrow" w:hAnsi="Arial Narrow"/>
                <w:b/>
                <w:bCs/>
                <w:color w:val="000000"/>
                <w:sz w:val="16"/>
                <w:szCs w:val="16"/>
              </w:rPr>
            </w:pPr>
            <w:r>
              <w:rPr>
                <w:rFonts w:ascii="Arial Narrow" w:hAnsi="Arial Narrow"/>
                <w:b/>
                <w:bCs/>
                <w:color w:val="000000"/>
                <w:sz w:val="16"/>
                <w:szCs w:val="16"/>
              </w:rPr>
              <w:t xml:space="preserve">Poberatelia pozostalostných dôchodkov </w:t>
            </w:r>
          </w:p>
        </w:tc>
        <w:tc>
          <w:tcPr>
            <w:tcW w:w="851" w:type="dxa"/>
            <w:tcBorders>
              <w:top w:val="single" w:sz="4" w:space="0" w:color="FF0000"/>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b/>
                <w:bCs/>
                <w:sz w:val="16"/>
                <w:szCs w:val="16"/>
              </w:rPr>
            </w:pPr>
            <w:r>
              <w:rPr>
                <w:rFonts w:ascii="Arial Narrow" w:hAnsi="Arial Narrow"/>
                <w:b/>
                <w:bCs/>
                <w:sz w:val="16"/>
                <w:szCs w:val="16"/>
              </w:rPr>
              <w:t>369 597</w:t>
            </w:r>
          </w:p>
        </w:tc>
        <w:tc>
          <w:tcPr>
            <w:tcW w:w="850" w:type="dxa"/>
            <w:tcBorders>
              <w:top w:val="single" w:sz="4" w:space="0" w:color="FF0000"/>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b/>
                <w:bCs/>
                <w:sz w:val="16"/>
                <w:szCs w:val="16"/>
              </w:rPr>
            </w:pPr>
            <w:r>
              <w:rPr>
                <w:rFonts w:ascii="Arial Narrow" w:hAnsi="Arial Narrow"/>
                <w:b/>
                <w:bCs/>
                <w:sz w:val="16"/>
                <w:szCs w:val="16"/>
              </w:rPr>
              <w:t>311 544</w:t>
            </w:r>
          </w:p>
        </w:tc>
        <w:tc>
          <w:tcPr>
            <w:tcW w:w="709" w:type="dxa"/>
            <w:tcBorders>
              <w:top w:val="single" w:sz="4" w:space="0" w:color="FF0000"/>
              <w:left w:val="nil"/>
              <w:bottom w:val="single" w:sz="4" w:space="0" w:color="FF0000"/>
              <w:right w:val="single" w:sz="4" w:space="0" w:color="FF0000"/>
            </w:tcBorders>
            <w:shd w:val="clear" w:color="000000" w:fill="E2EFDA"/>
            <w:noWrap/>
            <w:vAlign w:val="center"/>
            <w:hideMark/>
          </w:tcPr>
          <w:p w:rsidR="002C76AD" w:rsidRDefault="002C76AD" w:rsidP="002C76AD">
            <w:pPr>
              <w:jc w:val="right"/>
              <w:rPr>
                <w:rFonts w:ascii="Arial Narrow" w:hAnsi="Arial Narrow"/>
                <w:b/>
                <w:bCs/>
                <w:sz w:val="16"/>
                <w:szCs w:val="16"/>
              </w:rPr>
            </w:pPr>
            <w:r>
              <w:rPr>
                <w:rFonts w:ascii="Arial Narrow" w:hAnsi="Arial Narrow"/>
                <w:b/>
                <w:bCs/>
                <w:sz w:val="16"/>
                <w:szCs w:val="16"/>
              </w:rPr>
              <w:t>58 053</w:t>
            </w:r>
          </w:p>
        </w:tc>
        <w:tc>
          <w:tcPr>
            <w:tcW w:w="851" w:type="dxa"/>
            <w:tcBorders>
              <w:top w:val="nil"/>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381 512</w:t>
            </w:r>
          </w:p>
        </w:tc>
        <w:tc>
          <w:tcPr>
            <w:tcW w:w="850" w:type="dxa"/>
            <w:tcBorders>
              <w:top w:val="single" w:sz="4" w:space="0" w:color="FF0000"/>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323 678</w:t>
            </w:r>
          </w:p>
        </w:tc>
        <w:tc>
          <w:tcPr>
            <w:tcW w:w="709" w:type="dxa"/>
            <w:tcBorders>
              <w:top w:val="single" w:sz="4" w:space="0" w:color="FF0000"/>
              <w:left w:val="nil"/>
              <w:bottom w:val="single" w:sz="4" w:space="0" w:color="FF0000"/>
              <w:right w:val="single" w:sz="4" w:space="0" w:color="FF0000"/>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57 834</w:t>
            </w:r>
          </w:p>
        </w:tc>
        <w:tc>
          <w:tcPr>
            <w:tcW w:w="850" w:type="dxa"/>
            <w:tcBorders>
              <w:top w:val="nil"/>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369 758</w:t>
            </w:r>
          </w:p>
        </w:tc>
        <w:tc>
          <w:tcPr>
            <w:tcW w:w="851" w:type="dxa"/>
            <w:tcBorders>
              <w:top w:val="single" w:sz="4" w:space="0" w:color="FF0000"/>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311 728</w:t>
            </w:r>
          </w:p>
        </w:tc>
        <w:tc>
          <w:tcPr>
            <w:tcW w:w="709" w:type="dxa"/>
            <w:tcBorders>
              <w:top w:val="single" w:sz="4" w:space="0" w:color="FF0000"/>
              <w:left w:val="nil"/>
              <w:bottom w:val="single" w:sz="4" w:space="0" w:color="FF0000"/>
              <w:right w:val="single" w:sz="4" w:space="0" w:color="ED7D31" w:themeColor="accent2"/>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58 030</w:t>
            </w:r>
          </w:p>
        </w:tc>
      </w:tr>
      <w:tr w:rsidR="002C76AD" w:rsidTr="007B7FAB">
        <w:trPr>
          <w:trHeight w:val="255"/>
        </w:trPr>
        <w:tc>
          <w:tcPr>
            <w:tcW w:w="284" w:type="dxa"/>
            <w:tcBorders>
              <w:top w:val="nil"/>
              <w:left w:val="nil"/>
              <w:bottom w:val="single" w:sz="4" w:space="0" w:color="FF0000"/>
              <w:right w:val="nil"/>
            </w:tcBorders>
            <w:shd w:val="clear" w:color="000000" w:fill="E2EFDA"/>
            <w:noWrap/>
            <w:vAlign w:val="center"/>
            <w:hideMark/>
          </w:tcPr>
          <w:p w:rsidR="002C76AD" w:rsidRDefault="002C76AD" w:rsidP="002C76AD">
            <w:pPr>
              <w:rPr>
                <w:rFonts w:ascii="Arial Narrow" w:hAnsi="Arial Narrow"/>
                <w:sz w:val="16"/>
                <w:szCs w:val="16"/>
              </w:rPr>
            </w:pPr>
            <w:r>
              <w:rPr>
                <w:rFonts w:ascii="Arial Narrow" w:hAnsi="Arial Narrow"/>
                <w:sz w:val="16"/>
                <w:szCs w:val="16"/>
              </w:rPr>
              <w:t> </w:t>
            </w:r>
          </w:p>
        </w:tc>
        <w:tc>
          <w:tcPr>
            <w:tcW w:w="1984" w:type="dxa"/>
            <w:gridSpan w:val="2"/>
            <w:tcBorders>
              <w:top w:val="single" w:sz="4" w:space="0" w:color="FF0000"/>
              <w:left w:val="nil"/>
              <w:bottom w:val="single" w:sz="4" w:space="0" w:color="FF0000"/>
              <w:right w:val="single" w:sz="4" w:space="0" w:color="FF0000"/>
            </w:tcBorders>
            <w:shd w:val="clear" w:color="000000" w:fill="E2EFDA"/>
            <w:vAlign w:val="center"/>
            <w:hideMark/>
          </w:tcPr>
          <w:p w:rsidR="002C76AD" w:rsidRDefault="002C76AD" w:rsidP="002C76AD">
            <w:pPr>
              <w:rPr>
                <w:rFonts w:ascii="Arial Narrow" w:hAnsi="Arial Narrow"/>
                <w:b/>
                <w:bCs/>
                <w:color w:val="000000"/>
                <w:sz w:val="16"/>
                <w:szCs w:val="16"/>
              </w:rPr>
            </w:pPr>
            <w:r>
              <w:rPr>
                <w:rFonts w:ascii="Arial Narrow" w:hAnsi="Arial Narrow"/>
                <w:b/>
                <w:bCs/>
                <w:color w:val="000000"/>
                <w:sz w:val="16"/>
                <w:szCs w:val="16"/>
              </w:rPr>
              <w:t>Poberatelia predčasného dôchodku z dôvodov  trhu práce</w:t>
            </w:r>
          </w:p>
        </w:tc>
        <w:tc>
          <w:tcPr>
            <w:tcW w:w="851" w:type="dxa"/>
            <w:tcBorders>
              <w:top w:val="nil"/>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b/>
                <w:bCs/>
                <w:sz w:val="16"/>
                <w:szCs w:val="16"/>
              </w:rPr>
            </w:pPr>
            <w:r>
              <w:rPr>
                <w:rFonts w:ascii="Arial Narrow" w:hAnsi="Arial Narrow"/>
                <w:b/>
                <w:bCs/>
                <w:sz w:val="16"/>
                <w:szCs w:val="16"/>
              </w:rPr>
              <w:t>16 467</w:t>
            </w:r>
          </w:p>
        </w:tc>
        <w:tc>
          <w:tcPr>
            <w:tcW w:w="850" w:type="dxa"/>
            <w:tcBorders>
              <w:top w:val="nil"/>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b/>
                <w:bCs/>
                <w:sz w:val="16"/>
                <w:szCs w:val="16"/>
              </w:rPr>
            </w:pPr>
            <w:r>
              <w:rPr>
                <w:rFonts w:ascii="Arial Narrow" w:hAnsi="Arial Narrow"/>
                <w:b/>
                <w:bCs/>
                <w:sz w:val="16"/>
                <w:szCs w:val="16"/>
              </w:rPr>
              <w:t>5 113</w:t>
            </w:r>
          </w:p>
        </w:tc>
        <w:tc>
          <w:tcPr>
            <w:tcW w:w="709" w:type="dxa"/>
            <w:tcBorders>
              <w:top w:val="nil"/>
              <w:left w:val="nil"/>
              <w:bottom w:val="single" w:sz="4" w:space="0" w:color="FF0000"/>
              <w:right w:val="single" w:sz="4" w:space="0" w:color="FF0000"/>
            </w:tcBorders>
            <w:shd w:val="clear" w:color="000000" w:fill="E2EFDA"/>
            <w:noWrap/>
            <w:vAlign w:val="center"/>
            <w:hideMark/>
          </w:tcPr>
          <w:p w:rsidR="002C76AD" w:rsidRDefault="002C76AD" w:rsidP="002C76AD">
            <w:pPr>
              <w:jc w:val="right"/>
              <w:rPr>
                <w:rFonts w:ascii="Arial Narrow" w:hAnsi="Arial Narrow"/>
                <w:b/>
                <w:bCs/>
                <w:sz w:val="16"/>
                <w:szCs w:val="16"/>
              </w:rPr>
            </w:pPr>
            <w:r>
              <w:rPr>
                <w:rFonts w:ascii="Arial Narrow" w:hAnsi="Arial Narrow"/>
                <w:b/>
                <w:bCs/>
                <w:sz w:val="16"/>
                <w:szCs w:val="16"/>
              </w:rPr>
              <w:t>11 354</w:t>
            </w:r>
          </w:p>
        </w:tc>
        <w:tc>
          <w:tcPr>
            <w:tcW w:w="851" w:type="dxa"/>
            <w:tcBorders>
              <w:top w:val="nil"/>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16 794</w:t>
            </w:r>
          </w:p>
        </w:tc>
        <w:tc>
          <w:tcPr>
            <w:tcW w:w="850" w:type="dxa"/>
            <w:tcBorders>
              <w:top w:val="nil"/>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5 326</w:t>
            </w:r>
          </w:p>
        </w:tc>
        <w:tc>
          <w:tcPr>
            <w:tcW w:w="709" w:type="dxa"/>
            <w:tcBorders>
              <w:top w:val="nil"/>
              <w:left w:val="nil"/>
              <w:bottom w:val="single" w:sz="4" w:space="0" w:color="FF0000"/>
              <w:right w:val="single" w:sz="4" w:space="0" w:color="FF0000"/>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11 468</w:t>
            </w:r>
          </w:p>
        </w:tc>
        <w:tc>
          <w:tcPr>
            <w:tcW w:w="850" w:type="dxa"/>
            <w:tcBorders>
              <w:top w:val="nil"/>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lang w:eastAsia="sk-SK"/>
              </w:rPr>
            </w:pPr>
            <w:r>
              <w:rPr>
                <w:rFonts w:ascii="Arial Narrow" w:hAnsi="Arial Narrow" w:cs="Calibri"/>
                <w:b/>
                <w:bCs/>
                <w:color w:val="000000"/>
                <w:sz w:val="16"/>
                <w:szCs w:val="16"/>
              </w:rPr>
              <w:t>16 437</w:t>
            </w:r>
          </w:p>
        </w:tc>
        <w:tc>
          <w:tcPr>
            <w:tcW w:w="851" w:type="dxa"/>
            <w:tcBorders>
              <w:top w:val="nil"/>
              <w:left w:val="nil"/>
              <w:bottom w:val="single" w:sz="4" w:space="0" w:color="FF0000"/>
              <w:right w:val="nil"/>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5 125</w:t>
            </w:r>
          </w:p>
        </w:tc>
        <w:tc>
          <w:tcPr>
            <w:tcW w:w="709" w:type="dxa"/>
            <w:tcBorders>
              <w:top w:val="nil"/>
              <w:left w:val="nil"/>
              <w:bottom w:val="single" w:sz="4" w:space="0" w:color="FF0000"/>
              <w:right w:val="single" w:sz="4" w:space="0" w:color="ED7D31" w:themeColor="accent2"/>
            </w:tcBorders>
            <w:shd w:val="clear" w:color="000000" w:fill="E2EFDA"/>
            <w:noWrap/>
            <w:vAlign w:val="center"/>
            <w:hideMark/>
          </w:tcPr>
          <w:p w:rsidR="002C76AD" w:rsidRDefault="002C76AD" w:rsidP="002C76AD">
            <w:pPr>
              <w:jc w:val="right"/>
              <w:rPr>
                <w:rFonts w:ascii="Arial Narrow" w:hAnsi="Arial Narrow" w:cs="Calibri"/>
                <w:b/>
                <w:bCs/>
                <w:color w:val="000000"/>
                <w:sz w:val="16"/>
                <w:szCs w:val="16"/>
              </w:rPr>
            </w:pPr>
            <w:r>
              <w:rPr>
                <w:rFonts w:ascii="Arial Narrow" w:hAnsi="Arial Narrow" w:cs="Calibri"/>
                <w:b/>
                <w:bCs/>
                <w:color w:val="000000"/>
                <w:sz w:val="16"/>
                <w:szCs w:val="16"/>
              </w:rPr>
              <w:t>11 312</w:t>
            </w:r>
          </w:p>
        </w:tc>
      </w:tr>
      <w:tr w:rsidR="002C76AD" w:rsidTr="007B7FAB">
        <w:trPr>
          <w:trHeight w:val="270"/>
        </w:trPr>
        <w:tc>
          <w:tcPr>
            <w:tcW w:w="2268" w:type="dxa"/>
            <w:gridSpan w:val="3"/>
            <w:tcBorders>
              <w:top w:val="nil"/>
              <w:left w:val="nil"/>
              <w:bottom w:val="nil"/>
              <w:right w:val="nil"/>
            </w:tcBorders>
            <w:shd w:val="clear" w:color="auto" w:fill="auto"/>
            <w:noWrap/>
            <w:vAlign w:val="bottom"/>
            <w:hideMark/>
          </w:tcPr>
          <w:p w:rsidR="002C76AD" w:rsidRDefault="002C76AD" w:rsidP="002C76AD">
            <w:pPr>
              <w:rPr>
                <w:rFonts w:ascii="Arial Narrow" w:hAnsi="Arial Narrow"/>
                <w:sz w:val="16"/>
                <w:szCs w:val="16"/>
              </w:rPr>
            </w:pPr>
            <w:r>
              <w:rPr>
                <w:rFonts w:ascii="Arial Narrow" w:hAnsi="Arial Narrow"/>
                <w:sz w:val="16"/>
                <w:szCs w:val="16"/>
              </w:rPr>
              <w:t>Poberatelia dôchodkov v účeloch staroba a pozostalí</w:t>
            </w:r>
          </w:p>
        </w:tc>
        <w:tc>
          <w:tcPr>
            <w:tcW w:w="851"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1 185 664</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718 654</w:t>
            </w:r>
          </w:p>
        </w:tc>
        <w:tc>
          <w:tcPr>
            <w:tcW w:w="709" w:type="dxa"/>
            <w:tcBorders>
              <w:top w:val="nil"/>
              <w:left w:val="nil"/>
              <w:bottom w:val="nil"/>
              <w:right w:val="single" w:sz="4" w:space="0" w:color="FF0000"/>
            </w:tcBorders>
            <w:shd w:val="clear" w:color="auto" w:fill="auto"/>
            <w:noWrap/>
            <w:vAlign w:val="center"/>
            <w:hideMark/>
          </w:tcPr>
          <w:p w:rsidR="002C76AD" w:rsidRDefault="002C76AD" w:rsidP="002C76AD">
            <w:pPr>
              <w:jc w:val="right"/>
              <w:rPr>
                <w:rFonts w:ascii="Arial Narrow" w:hAnsi="Arial Narrow"/>
                <w:sz w:val="16"/>
                <w:szCs w:val="16"/>
              </w:rPr>
            </w:pPr>
            <w:r>
              <w:rPr>
                <w:rFonts w:ascii="Arial Narrow" w:hAnsi="Arial Narrow"/>
                <w:sz w:val="16"/>
                <w:szCs w:val="16"/>
              </w:rPr>
              <w:t>467 010</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1 193 686</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724 283</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469 403</w:t>
            </w:r>
          </w:p>
        </w:tc>
        <w:tc>
          <w:tcPr>
            <w:tcW w:w="850"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1 187 757</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720 942</w:t>
            </w:r>
          </w:p>
        </w:tc>
        <w:tc>
          <w:tcPr>
            <w:tcW w:w="709" w:type="dxa"/>
            <w:tcBorders>
              <w:top w:val="nil"/>
              <w:left w:val="nil"/>
              <w:bottom w:val="nil"/>
              <w:right w:val="single" w:sz="4" w:space="0" w:color="ED7D31" w:themeColor="accent2"/>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466 815</w:t>
            </w:r>
          </w:p>
        </w:tc>
      </w:tr>
      <w:tr w:rsidR="002C76AD" w:rsidTr="007B7FAB">
        <w:trPr>
          <w:trHeight w:val="225"/>
        </w:trPr>
        <w:tc>
          <w:tcPr>
            <w:tcW w:w="2268" w:type="dxa"/>
            <w:gridSpan w:val="3"/>
            <w:tcBorders>
              <w:top w:val="nil"/>
              <w:left w:val="nil"/>
              <w:bottom w:val="nil"/>
              <w:right w:val="nil"/>
            </w:tcBorders>
            <w:shd w:val="clear" w:color="auto" w:fill="auto"/>
            <w:noWrap/>
            <w:vAlign w:val="bottom"/>
            <w:hideMark/>
          </w:tcPr>
          <w:p w:rsidR="002C76AD" w:rsidRDefault="002C76AD" w:rsidP="002C76AD">
            <w:pPr>
              <w:rPr>
                <w:rFonts w:ascii="Arial Narrow" w:hAnsi="Arial Narrow"/>
                <w:sz w:val="16"/>
                <w:szCs w:val="16"/>
              </w:rPr>
            </w:pPr>
            <w:r>
              <w:rPr>
                <w:rFonts w:ascii="Arial Narrow" w:hAnsi="Arial Narrow"/>
                <w:sz w:val="16"/>
                <w:szCs w:val="16"/>
              </w:rPr>
              <w:t xml:space="preserve">Počet vyplatených dôchodkov </w:t>
            </w:r>
          </w:p>
        </w:tc>
        <w:tc>
          <w:tcPr>
            <w:tcW w:w="851"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color w:val="000000"/>
                <w:sz w:val="16"/>
                <w:szCs w:val="16"/>
              </w:rPr>
            </w:pPr>
            <w:r>
              <w:rPr>
                <w:rFonts w:ascii="Arial Narrow" w:hAnsi="Arial Narrow"/>
                <w:color w:val="000000"/>
                <w:sz w:val="16"/>
                <w:szCs w:val="16"/>
              </w:rPr>
              <w:t>1 696 055</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olor w:val="000000"/>
                <w:sz w:val="16"/>
                <w:szCs w:val="16"/>
              </w:rPr>
            </w:pPr>
            <w:r>
              <w:rPr>
                <w:rFonts w:ascii="Arial Narrow" w:hAnsi="Arial Narrow"/>
                <w:color w:val="000000"/>
                <w:sz w:val="16"/>
                <w:szCs w:val="16"/>
              </w:rPr>
              <w:t>1 088 643</w:t>
            </w:r>
          </w:p>
        </w:tc>
        <w:tc>
          <w:tcPr>
            <w:tcW w:w="709" w:type="dxa"/>
            <w:tcBorders>
              <w:top w:val="nil"/>
              <w:left w:val="nil"/>
              <w:bottom w:val="nil"/>
              <w:right w:val="single" w:sz="4" w:space="0" w:color="FF0000"/>
            </w:tcBorders>
            <w:shd w:val="clear" w:color="auto" w:fill="auto"/>
            <w:noWrap/>
            <w:vAlign w:val="center"/>
            <w:hideMark/>
          </w:tcPr>
          <w:p w:rsidR="002C76AD" w:rsidRDefault="002C76AD" w:rsidP="002C76AD">
            <w:pPr>
              <w:jc w:val="right"/>
              <w:rPr>
                <w:rFonts w:ascii="Arial Narrow" w:hAnsi="Arial Narrow"/>
                <w:color w:val="000000"/>
                <w:sz w:val="16"/>
                <w:szCs w:val="16"/>
              </w:rPr>
            </w:pPr>
            <w:r>
              <w:rPr>
                <w:rFonts w:ascii="Arial Narrow" w:hAnsi="Arial Narrow"/>
                <w:color w:val="000000"/>
                <w:sz w:val="16"/>
                <w:szCs w:val="16"/>
              </w:rPr>
              <w:t>607 412</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1 771 611</w:t>
            </w:r>
          </w:p>
        </w:tc>
        <w:tc>
          <w:tcPr>
            <w:tcW w:w="850"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1 107 787</w:t>
            </w:r>
          </w:p>
        </w:tc>
        <w:tc>
          <w:tcPr>
            <w:tcW w:w="709"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663 824</w:t>
            </w:r>
          </w:p>
        </w:tc>
        <w:tc>
          <w:tcPr>
            <w:tcW w:w="850" w:type="dxa"/>
            <w:tcBorders>
              <w:top w:val="nil"/>
              <w:left w:val="single" w:sz="4" w:space="0" w:color="FF0000"/>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1 768 681</w:t>
            </w:r>
          </w:p>
        </w:tc>
        <w:tc>
          <w:tcPr>
            <w:tcW w:w="851" w:type="dxa"/>
            <w:tcBorders>
              <w:top w:val="nil"/>
              <w:left w:val="nil"/>
              <w:bottom w:val="nil"/>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1 109 943</w:t>
            </w:r>
          </w:p>
        </w:tc>
        <w:tc>
          <w:tcPr>
            <w:tcW w:w="709" w:type="dxa"/>
            <w:tcBorders>
              <w:top w:val="nil"/>
              <w:left w:val="nil"/>
              <w:bottom w:val="nil"/>
              <w:right w:val="single" w:sz="4" w:space="0" w:color="ED7D31" w:themeColor="accent2"/>
            </w:tcBorders>
            <w:shd w:val="clear" w:color="auto" w:fill="auto"/>
            <w:noWrap/>
            <w:vAlign w:val="center"/>
            <w:hideMark/>
          </w:tcPr>
          <w:p w:rsidR="002C76AD" w:rsidRDefault="002C76AD" w:rsidP="002C76AD">
            <w:pPr>
              <w:jc w:val="right"/>
              <w:rPr>
                <w:rFonts w:ascii="Arial Narrow" w:hAnsi="Arial Narrow" w:cs="Calibri"/>
                <w:color w:val="000000"/>
                <w:sz w:val="16"/>
                <w:szCs w:val="16"/>
              </w:rPr>
            </w:pPr>
            <w:r>
              <w:rPr>
                <w:rFonts w:ascii="Arial Narrow" w:hAnsi="Arial Narrow" w:cs="Calibri"/>
                <w:color w:val="000000"/>
                <w:sz w:val="16"/>
                <w:szCs w:val="16"/>
              </w:rPr>
              <w:t>658 738</w:t>
            </w:r>
          </w:p>
        </w:tc>
      </w:tr>
      <w:tr w:rsidR="002C76AD" w:rsidTr="007B7FAB">
        <w:trPr>
          <w:trHeight w:val="229"/>
        </w:trPr>
        <w:tc>
          <w:tcPr>
            <w:tcW w:w="2268" w:type="dxa"/>
            <w:gridSpan w:val="3"/>
            <w:tcBorders>
              <w:top w:val="nil"/>
              <w:left w:val="nil"/>
              <w:bottom w:val="single" w:sz="4" w:space="0" w:color="FF0000"/>
              <w:right w:val="nil"/>
            </w:tcBorders>
            <w:shd w:val="clear" w:color="auto" w:fill="auto"/>
            <w:noWrap/>
            <w:vAlign w:val="bottom"/>
            <w:hideMark/>
          </w:tcPr>
          <w:p w:rsidR="002C76AD" w:rsidRDefault="002C76AD" w:rsidP="002C76AD">
            <w:pPr>
              <w:rPr>
                <w:rFonts w:ascii="Arial Narrow" w:hAnsi="Arial Narrow"/>
                <w:sz w:val="16"/>
                <w:szCs w:val="16"/>
              </w:rPr>
            </w:pPr>
            <w:r>
              <w:rPr>
                <w:rFonts w:ascii="Arial Narrow" w:hAnsi="Arial Narrow"/>
                <w:sz w:val="16"/>
                <w:szCs w:val="16"/>
              </w:rPr>
              <w:t xml:space="preserve">   Počet dôchodkov vyplatených do zahraničia</w:t>
            </w:r>
          </w:p>
        </w:tc>
        <w:tc>
          <w:tcPr>
            <w:tcW w:w="851" w:type="dxa"/>
            <w:tcBorders>
              <w:top w:val="nil"/>
              <w:left w:val="single" w:sz="4" w:space="0" w:color="FF0000"/>
              <w:bottom w:val="single" w:sz="4" w:space="0" w:color="FF0000"/>
              <w:right w:val="nil"/>
            </w:tcBorders>
            <w:shd w:val="clear" w:color="auto" w:fill="auto"/>
            <w:noWrap/>
            <w:vAlign w:val="center"/>
            <w:hideMark/>
          </w:tcPr>
          <w:p w:rsidR="002C76AD" w:rsidRDefault="002C76AD" w:rsidP="002C76AD">
            <w:pPr>
              <w:jc w:val="right"/>
              <w:rPr>
                <w:rFonts w:ascii="Arial Narrow" w:hAnsi="Arial Narrow"/>
                <w:color w:val="000000"/>
                <w:sz w:val="16"/>
                <w:szCs w:val="16"/>
              </w:rPr>
            </w:pPr>
            <w:r>
              <w:rPr>
                <w:rFonts w:ascii="Arial Narrow" w:hAnsi="Arial Narrow"/>
                <w:color w:val="000000"/>
                <w:sz w:val="16"/>
                <w:szCs w:val="16"/>
              </w:rPr>
              <w:t>26 534</w:t>
            </w:r>
          </w:p>
        </w:tc>
        <w:tc>
          <w:tcPr>
            <w:tcW w:w="850" w:type="dxa"/>
            <w:tcBorders>
              <w:top w:val="nil"/>
              <w:left w:val="nil"/>
              <w:bottom w:val="single" w:sz="4" w:space="0" w:color="FF0000"/>
              <w:right w:val="nil"/>
            </w:tcBorders>
            <w:shd w:val="clear" w:color="auto" w:fill="auto"/>
            <w:noWrap/>
            <w:vAlign w:val="center"/>
            <w:hideMark/>
          </w:tcPr>
          <w:p w:rsidR="002C76AD" w:rsidRDefault="002C76AD" w:rsidP="002C76AD">
            <w:pPr>
              <w:rPr>
                <w:rFonts w:ascii="Arial Narrow" w:hAnsi="Arial Narrow"/>
                <w:color w:val="FF0000"/>
                <w:sz w:val="16"/>
                <w:szCs w:val="16"/>
              </w:rPr>
            </w:pPr>
            <w:r>
              <w:rPr>
                <w:rFonts w:ascii="Arial Narrow" w:hAnsi="Arial Narrow"/>
                <w:color w:val="FF0000"/>
                <w:sz w:val="16"/>
                <w:szCs w:val="16"/>
              </w:rPr>
              <w:t> </w:t>
            </w:r>
          </w:p>
        </w:tc>
        <w:tc>
          <w:tcPr>
            <w:tcW w:w="709" w:type="dxa"/>
            <w:tcBorders>
              <w:top w:val="nil"/>
              <w:left w:val="nil"/>
              <w:bottom w:val="single" w:sz="4" w:space="0" w:color="FF0000"/>
              <w:right w:val="single" w:sz="4" w:space="0" w:color="FF0000"/>
            </w:tcBorders>
            <w:shd w:val="clear" w:color="auto" w:fill="auto"/>
            <w:noWrap/>
            <w:vAlign w:val="center"/>
            <w:hideMark/>
          </w:tcPr>
          <w:p w:rsidR="002C76AD" w:rsidRDefault="002C76AD" w:rsidP="002C76AD">
            <w:pPr>
              <w:rPr>
                <w:rFonts w:ascii="Arial Narrow" w:hAnsi="Arial Narrow"/>
                <w:color w:val="FF0000"/>
                <w:sz w:val="16"/>
                <w:szCs w:val="16"/>
              </w:rPr>
            </w:pPr>
            <w:r>
              <w:rPr>
                <w:rFonts w:ascii="Arial Narrow" w:hAnsi="Arial Narrow"/>
                <w:color w:val="FF0000"/>
                <w:sz w:val="16"/>
                <w:szCs w:val="16"/>
              </w:rPr>
              <w:t> </w:t>
            </w:r>
          </w:p>
        </w:tc>
        <w:tc>
          <w:tcPr>
            <w:tcW w:w="851" w:type="dxa"/>
            <w:tcBorders>
              <w:top w:val="nil"/>
              <w:left w:val="nil"/>
              <w:bottom w:val="single" w:sz="4" w:space="0" w:color="FF0000"/>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27 813</w:t>
            </w:r>
          </w:p>
        </w:tc>
        <w:tc>
          <w:tcPr>
            <w:tcW w:w="850" w:type="dxa"/>
            <w:tcBorders>
              <w:top w:val="nil"/>
              <w:left w:val="nil"/>
              <w:bottom w:val="single" w:sz="4" w:space="0" w:color="FF0000"/>
              <w:right w:val="nil"/>
            </w:tcBorders>
            <w:shd w:val="clear" w:color="auto" w:fill="auto"/>
            <w:noWrap/>
            <w:vAlign w:val="center"/>
            <w:hideMark/>
          </w:tcPr>
          <w:p w:rsidR="002C76AD" w:rsidRDefault="002C76AD" w:rsidP="002C76AD">
            <w:pPr>
              <w:rPr>
                <w:rFonts w:ascii="Arial Narrow" w:hAnsi="Arial Narrow" w:cs="Calibri"/>
                <w:color w:val="FF0000"/>
                <w:sz w:val="16"/>
                <w:szCs w:val="16"/>
              </w:rPr>
            </w:pPr>
            <w:r>
              <w:rPr>
                <w:rFonts w:ascii="Arial Narrow" w:hAnsi="Arial Narrow" w:cs="Calibri"/>
                <w:color w:val="FF0000"/>
                <w:sz w:val="16"/>
                <w:szCs w:val="16"/>
              </w:rPr>
              <w:t> </w:t>
            </w:r>
          </w:p>
        </w:tc>
        <w:tc>
          <w:tcPr>
            <w:tcW w:w="709" w:type="dxa"/>
            <w:tcBorders>
              <w:top w:val="nil"/>
              <w:left w:val="nil"/>
              <w:bottom w:val="single" w:sz="4" w:space="0" w:color="FF0000"/>
              <w:right w:val="nil"/>
            </w:tcBorders>
            <w:shd w:val="clear" w:color="auto" w:fill="auto"/>
            <w:noWrap/>
            <w:vAlign w:val="center"/>
            <w:hideMark/>
          </w:tcPr>
          <w:p w:rsidR="002C76AD" w:rsidRDefault="002C76AD" w:rsidP="002C76AD">
            <w:pPr>
              <w:rPr>
                <w:rFonts w:ascii="Arial Narrow" w:hAnsi="Arial Narrow" w:cs="Calibri"/>
                <w:color w:val="FF0000"/>
                <w:sz w:val="16"/>
                <w:szCs w:val="16"/>
              </w:rPr>
            </w:pPr>
            <w:r>
              <w:rPr>
                <w:rFonts w:ascii="Arial Narrow" w:hAnsi="Arial Narrow" w:cs="Calibri"/>
                <w:color w:val="FF0000"/>
                <w:sz w:val="16"/>
                <w:szCs w:val="16"/>
              </w:rPr>
              <w:t> </w:t>
            </w:r>
          </w:p>
        </w:tc>
        <w:tc>
          <w:tcPr>
            <w:tcW w:w="850" w:type="dxa"/>
            <w:tcBorders>
              <w:top w:val="nil"/>
              <w:left w:val="single" w:sz="4" w:space="0" w:color="FF0000"/>
              <w:bottom w:val="single" w:sz="4" w:space="0" w:color="FF0000"/>
              <w:right w:val="nil"/>
            </w:tcBorders>
            <w:shd w:val="clear" w:color="auto" w:fill="auto"/>
            <w:noWrap/>
            <w:vAlign w:val="center"/>
            <w:hideMark/>
          </w:tcPr>
          <w:p w:rsidR="002C76AD" w:rsidRDefault="002C76AD" w:rsidP="002C76AD">
            <w:pPr>
              <w:jc w:val="right"/>
              <w:rPr>
                <w:rFonts w:ascii="Arial Narrow" w:hAnsi="Arial Narrow" w:cs="Calibri"/>
                <w:color w:val="000000"/>
                <w:sz w:val="16"/>
                <w:szCs w:val="16"/>
                <w:lang w:eastAsia="sk-SK"/>
              </w:rPr>
            </w:pPr>
            <w:r>
              <w:rPr>
                <w:rFonts w:ascii="Arial Narrow" w:hAnsi="Arial Narrow" w:cs="Calibri"/>
                <w:color w:val="000000"/>
                <w:sz w:val="16"/>
                <w:szCs w:val="16"/>
              </w:rPr>
              <w:t>26 658</w:t>
            </w:r>
          </w:p>
        </w:tc>
        <w:tc>
          <w:tcPr>
            <w:tcW w:w="851" w:type="dxa"/>
            <w:tcBorders>
              <w:top w:val="nil"/>
              <w:left w:val="nil"/>
              <w:bottom w:val="single" w:sz="4" w:space="0" w:color="FF0000"/>
              <w:right w:val="nil"/>
            </w:tcBorders>
            <w:shd w:val="clear" w:color="auto" w:fill="auto"/>
            <w:noWrap/>
            <w:vAlign w:val="bottom"/>
            <w:hideMark/>
          </w:tcPr>
          <w:p w:rsidR="002C76AD" w:rsidRDefault="002C76AD" w:rsidP="002C76AD">
            <w:pPr>
              <w:rPr>
                <w:rFonts w:ascii="Arial Narrow" w:hAnsi="Arial Narrow"/>
                <w:color w:val="FF0000"/>
                <w:sz w:val="16"/>
                <w:szCs w:val="16"/>
              </w:rPr>
            </w:pPr>
            <w:r>
              <w:rPr>
                <w:rFonts w:ascii="Arial Narrow" w:hAnsi="Arial Narrow"/>
                <w:color w:val="FF0000"/>
                <w:sz w:val="16"/>
                <w:szCs w:val="16"/>
              </w:rPr>
              <w:t> </w:t>
            </w:r>
          </w:p>
        </w:tc>
        <w:tc>
          <w:tcPr>
            <w:tcW w:w="709" w:type="dxa"/>
            <w:tcBorders>
              <w:top w:val="nil"/>
              <w:left w:val="nil"/>
              <w:bottom w:val="single" w:sz="4" w:space="0" w:color="FF0000"/>
              <w:right w:val="single" w:sz="4" w:space="0" w:color="ED7D31" w:themeColor="accent2"/>
            </w:tcBorders>
            <w:shd w:val="clear" w:color="auto" w:fill="auto"/>
            <w:noWrap/>
            <w:vAlign w:val="bottom"/>
            <w:hideMark/>
          </w:tcPr>
          <w:p w:rsidR="002C76AD" w:rsidRDefault="002C76AD" w:rsidP="002C76AD">
            <w:pPr>
              <w:rPr>
                <w:rFonts w:ascii="Arial Narrow" w:hAnsi="Arial Narrow"/>
                <w:color w:val="FF0000"/>
                <w:sz w:val="16"/>
                <w:szCs w:val="16"/>
              </w:rPr>
            </w:pPr>
            <w:r>
              <w:rPr>
                <w:rFonts w:ascii="Arial Narrow" w:hAnsi="Arial Narrow"/>
                <w:color w:val="FF0000"/>
                <w:sz w:val="16"/>
                <w:szCs w:val="16"/>
              </w:rPr>
              <w:t> </w:t>
            </w:r>
          </w:p>
        </w:tc>
      </w:tr>
    </w:tbl>
    <w:p w:rsidR="00241464" w:rsidRPr="002C76AD" w:rsidRDefault="00240206" w:rsidP="002C76AD">
      <w:pPr>
        <w:rPr>
          <w:rFonts w:ascii="Arial Narrow" w:hAnsi="Arial Narrow"/>
          <w:i/>
          <w:iCs/>
          <w:sz w:val="10"/>
          <w:szCs w:val="10"/>
        </w:rPr>
      </w:pPr>
      <w:r w:rsidRPr="00F24928">
        <w:rPr>
          <w:rFonts w:ascii="Arial Narrow" w:hAnsi="Arial Narrow"/>
          <w:i/>
          <w:sz w:val="19"/>
          <w:szCs w:val="19"/>
        </w:rPr>
        <w:tab/>
      </w:r>
    </w:p>
    <w:p w:rsidR="00241464" w:rsidRDefault="00241464" w:rsidP="00241464">
      <w:pPr>
        <w:ind w:right="141"/>
        <w:rPr>
          <w:rFonts w:ascii="Arial Narrow" w:hAnsi="Arial Narrow"/>
          <w:i/>
          <w:sz w:val="18"/>
          <w:szCs w:val="18"/>
        </w:rPr>
      </w:pPr>
      <w:r>
        <w:rPr>
          <w:rFonts w:ascii="Arial Narrow" w:hAnsi="Arial Narrow"/>
          <w:i/>
          <w:iCs/>
          <w:sz w:val="16"/>
          <w:szCs w:val="16"/>
        </w:rPr>
        <w:t>Zdroj: ŠÚ SR - ESSPROS</w:t>
      </w:r>
      <w:r>
        <w:rPr>
          <w:rFonts w:ascii="Arial Narrow" w:hAnsi="Arial Narrow"/>
          <w:i/>
          <w:sz w:val="18"/>
          <w:szCs w:val="18"/>
        </w:rPr>
        <w:t xml:space="preserve"> </w:t>
      </w:r>
      <w:r>
        <w:rPr>
          <w:rFonts w:ascii="Arial Narrow" w:hAnsi="Arial Narrow"/>
          <w:i/>
          <w:sz w:val="18"/>
          <w:szCs w:val="18"/>
        </w:rPr>
        <w:br w:type="page"/>
      </w:r>
    </w:p>
    <w:p w:rsidR="002C76AD" w:rsidRDefault="002C76AD" w:rsidP="00241464">
      <w:pPr>
        <w:ind w:right="141"/>
        <w:rPr>
          <w:rFonts w:ascii="Arial Narrow" w:hAnsi="Arial Narrow"/>
          <w:i/>
          <w:sz w:val="18"/>
          <w:szCs w:val="18"/>
        </w:rPr>
      </w:pPr>
    </w:p>
    <w:p w:rsidR="00F959F9" w:rsidRDefault="00D53CE6" w:rsidP="00F959F9">
      <w:pPr>
        <w:rPr>
          <w:rFonts w:ascii="Arial Narrow" w:hAnsi="Arial Narrow" w:cs="Arial"/>
          <w:b/>
          <w:sz w:val="22"/>
          <w:szCs w:val="22"/>
          <w:lang w:val="en-GB" w:eastAsia="de-DE"/>
        </w:rPr>
      </w:pPr>
      <w:r>
        <w:rPr>
          <w:rFonts w:ascii="Arial Narrow" w:hAnsi="Arial Narrow" w:cs="Arial"/>
          <w:bCs/>
          <w:i/>
          <w:iCs/>
          <w:sz w:val="2"/>
          <w:szCs w:val="2"/>
          <w:lang w:eastAsia="ar-SA"/>
        </w:rPr>
        <w:t xml:space="preserve">     </w:t>
      </w:r>
      <w:r w:rsidR="008D176D" w:rsidRPr="003826AF">
        <w:rPr>
          <w:rFonts w:ascii="Arial Narrow" w:hAnsi="Arial Narrow" w:cs="Arial"/>
          <w:bCs/>
          <w:i/>
          <w:iCs/>
          <w:sz w:val="2"/>
          <w:szCs w:val="2"/>
          <w:lang w:eastAsia="ar-SA"/>
        </w:rPr>
        <w:t xml:space="preserve"> </w:t>
      </w:r>
      <w:r w:rsidRPr="00241464">
        <w:rPr>
          <w:rFonts w:ascii="Arial Narrow" w:hAnsi="Arial Narrow" w:cs="Arial"/>
          <w:b/>
          <w:sz w:val="22"/>
          <w:szCs w:val="22"/>
          <w:lang w:eastAsia="de-DE"/>
        </w:rPr>
        <w:t>4</w:t>
      </w:r>
      <w:r w:rsidR="00F959F9" w:rsidRPr="00241464">
        <w:rPr>
          <w:rFonts w:ascii="Arial Narrow" w:hAnsi="Arial Narrow" w:cs="Arial"/>
          <w:b/>
          <w:sz w:val="22"/>
          <w:szCs w:val="22"/>
          <w:lang w:eastAsia="de-DE"/>
        </w:rPr>
        <w:t>. Zdroje údajov a informácií</w:t>
      </w:r>
      <w:r w:rsidR="00F959F9" w:rsidRPr="00241464">
        <w:rPr>
          <w:rFonts w:ascii="Arial Narrow" w:hAnsi="Arial Narrow" w:cs="Arial"/>
          <w:b/>
          <w:sz w:val="22"/>
          <w:szCs w:val="22"/>
          <w:lang w:val="en-GB" w:eastAsia="de-DE"/>
        </w:rPr>
        <w:t>:</w:t>
      </w:r>
    </w:p>
    <w:p w:rsidR="00241464" w:rsidRPr="00241464" w:rsidRDefault="00241464" w:rsidP="00F959F9">
      <w:pPr>
        <w:rPr>
          <w:rFonts w:ascii="Arial Narrow" w:hAnsi="Arial Narrow" w:cs="Arial"/>
          <w:b/>
          <w:sz w:val="22"/>
          <w:szCs w:val="22"/>
          <w:lang w:val="en-GB" w:eastAsia="de-DE"/>
        </w:rPr>
      </w:pPr>
      <w:bookmarkStart w:id="4" w:name="_GoBack"/>
      <w:bookmarkEnd w:id="4"/>
    </w:p>
    <w:p w:rsidR="00F959F9" w:rsidRPr="00241464" w:rsidRDefault="00F959F9" w:rsidP="00F959F9">
      <w:pPr>
        <w:rPr>
          <w:rFonts w:ascii="Arial Narrow" w:hAnsi="Arial Narrow" w:cs="Arial"/>
          <w:sz w:val="22"/>
          <w:szCs w:val="22"/>
        </w:rPr>
      </w:pPr>
      <w:r w:rsidRPr="00241464">
        <w:rPr>
          <w:rFonts w:ascii="Arial Narrow" w:hAnsi="Arial Narrow" w:cs="Arial"/>
          <w:sz w:val="22"/>
          <w:szCs w:val="22"/>
        </w:rPr>
        <w:t>[1] AZÚ: Sociálna poisťovňa, zdravotné poisťovne, ÚPSVR</w:t>
      </w:r>
    </w:p>
    <w:p w:rsidR="00B8477D" w:rsidRPr="00241464" w:rsidRDefault="00B8477D" w:rsidP="00F959F9">
      <w:pPr>
        <w:rPr>
          <w:rFonts w:ascii="Arial Narrow" w:hAnsi="Arial Narrow" w:cs="Arial"/>
          <w:sz w:val="22"/>
          <w:szCs w:val="22"/>
        </w:rPr>
      </w:pPr>
    </w:p>
    <w:p w:rsidR="00F959F9" w:rsidRPr="00241464" w:rsidRDefault="00F959F9" w:rsidP="00F959F9">
      <w:pPr>
        <w:rPr>
          <w:rFonts w:ascii="Arial Narrow" w:hAnsi="Arial Narrow" w:cs="Arial"/>
          <w:sz w:val="22"/>
          <w:szCs w:val="22"/>
        </w:rPr>
      </w:pPr>
      <w:r w:rsidRPr="00241464">
        <w:rPr>
          <w:rFonts w:ascii="Arial Narrow" w:hAnsi="Arial Narrow" w:cs="Arial"/>
          <w:sz w:val="22"/>
          <w:szCs w:val="22"/>
        </w:rPr>
        <w:t>[2] Rezortné zisťovania MPSVR SR</w:t>
      </w:r>
    </w:p>
    <w:p w:rsidR="00B8477D" w:rsidRPr="00241464" w:rsidRDefault="00B8477D" w:rsidP="00F959F9">
      <w:pPr>
        <w:rPr>
          <w:rFonts w:ascii="Arial Narrow" w:hAnsi="Arial Narrow" w:cs="Arial"/>
          <w:sz w:val="22"/>
          <w:szCs w:val="22"/>
          <w:lang w:val="en-GB"/>
        </w:rPr>
      </w:pPr>
    </w:p>
    <w:p w:rsidR="00F959F9" w:rsidRPr="00241464" w:rsidRDefault="00F959F9" w:rsidP="00F959F9">
      <w:pPr>
        <w:rPr>
          <w:rFonts w:ascii="Arial Narrow" w:hAnsi="Arial Narrow" w:cs="Arial"/>
          <w:sz w:val="22"/>
          <w:szCs w:val="22"/>
        </w:rPr>
      </w:pPr>
      <w:r w:rsidRPr="00241464">
        <w:rPr>
          <w:rFonts w:ascii="Arial Narrow" w:hAnsi="Arial Narrow" w:cs="Arial"/>
          <w:sz w:val="22"/>
          <w:szCs w:val="22"/>
        </w:rPr>
        <w:t>[3] Ročné zisťovanie v zariadeniach sociálnych služieb, ŠÚ SR</w:t>
      </w:r>
    </w:p>
    <w:p w:rsidR="00B8477D" w:rsidRPr="00241464" w:rsidRDefault="00B8477D" w:rsidP="00F959F9">
      <w:pPr>
        <w:rPr>
          <w:rFonts w:ascii="Arial Narrow" w:hAnsi="Arial Narrow" w:cs="Arial"/>
          <w:sz w:val="22"/>
          <w:szCs w:val="22"/>
        </w:rPr>
      </w:pPr>
    </w:p>
    <w:p w:rsidR="00F959F9" w:rsidRPr="00241464" w:rsidRDefault="00F959F9" w:rsidP="00F959F9">
      <w:pPr>
        <w:rPr>
          <w:rFonts w:ascii="Arial Narrow" w:hAnsi="Arial Narrow" w:cs="Arial"/>
          <w:sz w:val="22"/>
          <w:szCs w:val="22"/>
        </w:rPr>
      </w:pPr>
      <w:r w:rsidRPr="00241464">
        <w:rPr>
          <w:rFonts w:ascii="Arial Narrow" w:hAnsi="Arial Narrow" w:cs="Arial"/>
          <w:sz w:val="22"/>
          <w:szCs w:val="22"/>
        </w:rPr>
        <w:t>[4] Ročné zisťovanie „Náklady práce“, ŠÚ SR</w:t>
      </w:r>
    </w:p>
    <w:p w:rsidR="00B8477D" w:rsidRPr="00241464" w:rsidRDefault="00B8477D" w:rsidP="00F959F9">
      <w:pPr>
        <w:rPr>
          <w:rFonts w:ascii="Arial Narrow" w:hAnsi="Arial Narrow" w:cs="Arial"/>
          <w:i/>
          <w:sz w:val="22"/>
          <w:szCs w:val="22"/>
          <w:lang w:val="en-GB"/>
        </w:rPr>
      </w:pPr>
    </w:p>
    <w:p w:rsidR="00F959F9" w:rsidRPr="00241464" w:rsidRDefault="00F959F9" w:rsidP="00F959F9">
      <w:pPr>
        <w:rPr>
          <w:rFonts w:ascii="Arial Narrow" w:hAnsi="Arial Narrow" w:cs="Arial"/>
          <w:sz w:val="22"/>
          <w:szCs w:val="22"/>
        </w:rPr>
      </w:pPr>
      <w:r w:rsidRPr="00241464">
        <w:rPr>
          <w:rFonts w:ascii="Arial Narrow" w:hAnsi="Arial Narrow" w:cs="Arial"/>
          <w:sz w:val="22"/>
          <w:szCs w:val="22"/>
        </w:rPr>
        <w:t>[5] Výberové zisťovanie v neziskových organizáciách, ŠÚ SR</w:t>
      </w:r>
    </w:p>
    <w:p w:rsidR="00B8477D" w:rsidRPr="00241464" w:rsidRDefault="00B8477D" w:rsidP="00F959F9">
      <w:pPr>
        <w:rPr>
          <w:rFonts w:ascii="Arial Narrow" w:hAnsi="Arial Narrow" w:cs="Arial"/>
          <w:i/>
          <w:sz w:val="22"/>
          <w:szCs w:val="22"/>
          <w:lang w:val="en-GB"/>
        </w:rPr>
      </w:pPr>
    </w:p>
    <w:p w:rsidR="00F959F9" w:rsidRPr="00241464" w:rsidRDefault="00F959F9" w:rsidP="00F959F9">
      <w:pPr>
        <w:ind w:right="170"/>
        <w:jc w:val="both"/>
        <w:rPr>
          <w:rFonts w:ascii="Arial Narrow" w:hAnsi="Arial Narrow" w:cs="Arial"/>
          <w:sz w:val="22"/>
          <w:szCs w:val="22"/>
        </w:rPr>
      </w:pPr>
      <w:r w:rsidRPr="00241464">
        <w:rPr>
          <w:rFonts w:ascii="Arial Narrow" w:hAnsi="Arial Narrow" w:cs="Arial"/>
          <w:sz w:val="22"/>
          <w:szCs w:val="22"/>
        </w:rPr>
        <w:t>[6] Administratívne zdroje údajov: MF SR, MO SR, MV SR, MDVRR SR, MS SR, Daňové riaditeľstvo, prevádzkovatelia MHD a prímestskej dopravy, Železnice Slovenskej republiky, samosprávne kraje Slovenskej republiky, obce a mestá SR, Migračný úrad MV SR, dôchodkové správcovské spoločnosti a doplnkové dôchodkové spoločnosti</w:t>
      </w:r>
    </w:p>
    <w:p w:rsidR="00B8477D" w:rsidRPr="00241464" w:rsidRDefault="00B8477D" w:rsidP="00F959F9">
      <w:pPr>
        <w:ind w:right="170"/>
        <w:jc w:val="both"/>
        <w:rPr>
          <w:rFonts w:ascii="Arial Narrow" w:hAnsi="Arial Narrow" w:cs="Arial"/>
          <w:i/>
          <w:sz w:val="22"/>
          <w:szCs w:val="22"/>
          <w:lang w:val="en-GB"/>
        </w:rPr>
      </w:pPr>
    </w:p>
    <w:p w:rsidR="00F959F9" w:rsidRPr="00241464" w:rsidRDefault="00F959F9" w:rsidP="00F959F9">
      <w:pPr>
        <w:rPr>
          <w:rFonts w:ascii="Arial Narrow" w:hAnsi="Arial Narrow" w:cs="Arial"/>
          <w:bCs/>
          <w:i/>
          <w:sz w:val="22"/>
          <w:szCs w:val="22"/>
          <w:lang w:val="en-GB" w:eastAsia="de-DE"/>
        </w:rPr>
      </w:pPr>
      <w:r w:rsidRPr="00241464">
        <w:rPr>
          <w:rFonts w:ascii="Arial Narrow" w:hAnsi="Arial Narrow" w:cs="Arial"/>
          <w:sz w:val="22"/>
          <w:szCs w:val="22"/>
          <w:lang w:eastAsia="de-DE"/>
        </w:rPr>
        <w:t>[7</w:t>
      </w:r>
      <w:r w:rsidRPr="00241464">
        <w:rPr>
          <w:rFonts w:ascii="Arial Narrow" w:hAnsi="Arial Narrow" w:cs="Arial"/>
          <w:b/>
          <w:sz w:val="22"/>
          <w:szCs w:val="22"/>
          <w:lang w:eastAsia="de-DE"/>
        </w:rPr>
        <w:t xml:space="preserve">] </w:t>
      </w:r>
      <w:r w:rsidRPr="00241464">
        <w:rPr>
          <w:rFonts w:ascii="Arial Narrow" w:hAnsi="Arial Narrow" w:cs="Arial"/>
          <w:sz w:val="22"/>
          <w:szCs w:val="22"/>
          <w:lang w:eastAsia="de-DE"/>
        </w:rPr>
        <w:t xml:space="preserve">Európska komisia - verejná  </w:t>
      </w:r>
      <w:r w:rsidRPr="00241464">
        <w:rPr>
          <w:rFonts w:ascii="Arial Narrow" w:hAnsi="Arial Narrow" w:cs="Arial"/>
          <w:bCs/>
          <w:sz w:val="22"/>
          <w:szCs w:val="22"/>
          <w:lang w:eastAsia="de-DE"/>
        </w:rPr>
        <w:t xml:space="preserve">databáza  </w:t>
      </w:r>
      <w:r w:rsidRPr="00241464">
        <w:rPr>
          <w:rFonts w:ascii="Arial Narrow" w:hAnsi="Arial Narrow" w:cs="Arial"/>
          <w:sz w:val="22"/>
          <w:szCs w:val="22"/>
          <w:lang w:eastAsia="de-DE"/>
        </w:rPr>
        <w:t>EUROSTAT-u (</w:t>
      </w:r>
      <w:proofErr w:type="spellStart"/>
      <w:r w:rsidRPr="00241464">
        <w:rPr>
          <w:rFonts w:ascii="Arial Narrow" w:hAnsi="Arial Narrow" w:cs="Arial"/>
          <w:sz w:val="22"/>
          <w:szCs w:val="22"/>
          <w:lang w:eastAsia="de-DE"/>
        </w:rPr>
        <w:t>Eurobase</w:t>
      </w:r>
      <w:proofErr w:type="spellEnd"/>
      <w:r w:rsidRPr="00241464">
        <w:rPr>
          <w:rFonts w:ascii="Arial Narrow" w:hAnsi="Arial Narrow" w:cs="Arial"/>
          <w:sz w:val="22"/>
          <w:szCs w:val="22"/>
          <w:lang w:eastAsia="de-DE"/>
        </w:rPr>
        <w:t xml:space="preserve"> )</w:t>
      </w:r>
      <w:bookmarkStart w:id="5" w:name="Literatúra"/>
    </w:p>
    <w:p w:rsidR="00F959F9" w:rsidRPr="00241464" w:rsidRDefault="007B7FAB" w:rsidP="00F959F9">
      <w:pPr>
        <w:rPr>
          <w:rFonts w:ascii="Arial Narrow" w:hAnsi="Arial Narrow"/>
          <w:sz w:val="22"/>
          <w:szCs w:val="22"/>
        </w:rPr>
      </w:pPr>
      <w:hyperlink r:id="rId26" w:history="1">
        <w:r w:rsidR="00F959F9" w:rsidRPr="00241464">
          <w:rPr>
            <w:rStyle w:val="Hypertextovprepojenie"/>
            <w:rFonts w:ascii="Arial Narrow" w:hAnsi="Arial Narrow"/>
            <w:sz w:val="22"/>
            <w:szCs w:val="22"/>
          </w:rPr>
          <w:t>http://ec.europa.eu/eurostat/web/social-protection/overview</w:t>
        </w:r>
      </w:hyperlink>
    </w:p>
    <w:p w:rsidR="00F959F9" w:rsidRPr="00241464" w:rsidRDefault="00F959F9" w:rsidP="00F959F9">
      <w:pPr>
        <w:rPr>
          <w:rFonts w:ascii="Arial Narrow" w:hAnsi="Arial Narrow"/>
          <w:sz w:val="22"/>
          <w:szCs w:val="22"/>
        </w:rPr>
      </w:pPr>
    </w:p>
    <w:p w:rsidR="00F959F9" w:rsidRPr="00241464" w:rsidRDefault="00D53CE6" w:rsidP="00F959F9">
      <w:pPr>
        <w:rPr>
          <w:rFonts w:ascii="Arial Narrow" w:hAnsi="Arial Narrow" w:cs="Arial"/>
          <w:bCs/>
          <w:i/>
          <w:sz w:val="22"/>
          <w:szCs w:val="22"/>
          <w:lang w:val="en-GB" w:eastAsia="de-DE"/>
        </w:rPr>
      </w:pPr>
      <w:r w:rsidRPr="00241464">
        <w:rPr>
          <w:rFonts w:ascii="Arial Narrow" w:hAnsi="Arial Narrow" w:cs="Arial"/>
          <w:b/>
          <w:bCs/>
          <w:iCs/>
          <w:sz w:val="22"/>
          <w:szCs w:val="22"/>
        </w:rPr>
        <w:t>5</w:t>
      </w:r>
      <w:r w:rsidR="00F959F9" w:rsidRPr="00241464">
        <w:rPr>
          <w:rFonts w:ascii="Arial Narrow" w:hAnsi="Arial Narrow" w:cs="Arial"/>
          <w:b/>
          <w:bCs/>
          <w:iCs/>
          <w:sz w:val="22"/>
          <w:szCs w:val="22"/>
        </w:rPr>
        <w:t>. Literatúra:</w:t>
      </w:r>
    </w:p>
    <w:bookmarkEnd w:id="5"/>
    <w:p w:rsidR="00F959F9" w:rsidRPr="00241464" w:rsidRDefault="00F959F9" w:rsidP="00F959F9">
      <w:pPr>
        <w:rPr>
          <w:rFonts w:ascii="Arial Narrow" w:hAnsi="Arial Narrow" w:cs="Arial"/>
          <w:b/>
          <w:bCs/>
          <w:sz w:val="22"/>
          <w:szCs w:val="22"/>
        </w:rPr>
      </w:pPr>
      <w:r w:rsidRPr="00241464">
        <w:rPr>
          <w:rFonts w:ascii="Arial Narrow" w:hAnsi="Arial Narrow" w:cs="Arial"/>
          <w:bCs/>
          <w:sz w:val="22"/>
          <w:szCs w:val="22"/>
        </w:rPr>
        <w:t xml:space="preserve">[1] </w:t>
      </w:r>
      <w:proofErr w:type="spellStart"/>
      <w:r w:rsidRPr="00241464">
        <w:rPr>
          <w:rFonts w:ascii="Arial Narrow" w:hAnsi="Arial Narrow" w:cs="Arial"/>
          <w:bCs/>
          <w:sz w:val="22"/>
          <w:szCs w:val="22"/>
        </w:rPr>
        <w:t>European</w:t>
      </w:r>
      <w:proofErr w:type="spellEnd"/>
      <w:r w:rsidRPr="00241464">
        <w:rPr>
          <w:rFonts w:ascii="Arial Narrow" w:hAnsi="Arial Narrow" w:cs="Arial"/>
          <w:bCs/>
          <w:sz w:val="22"/>
          <w:szCs w:val="22"/>
        </w:rPr>
        <w:t xml:space="preserve"> </w:t>
      </w:r>
      <w:proofErr w:type="spellStart"/>
      <w:r w:rsidRPr="00241464">
        <w:rPr>
          <w:rFonts w:ascii="Arial Narrow" w:hAnsi="Arial Narrow" w:cs="Arial"/>
          <w:bCs/>
          <w:sz w:val="22"/>
          <w:szCs w:val="22"/>
        </w:rPr>
        <w:t>system</w:t>
      </w:r>
      <w:proofErr w:type="spellEnd"/>
      <w:r w:rsidRPr="00241464">
        <w:rPr>
          <w:rFonts w:ascii="Arial Narrow" w:hAnsi="Arial Narrow" w:cs="Arial"/>
          <w:bCs/>
          <w:sz w:val="22"/>
          <w:szCs w:val="22"/>
        </w:rPr>
        <w:t xml:space="preserve"> of </w:t>
      </w:r>
      <w:proofErr w:type="spellStart"/>
      <w:r w:rsidRPr="00241464">
        <w:rPr>
          <w:rFonts w:ascii="Arial Narrow" w:hAnsi="Arial Narrow" w:cs="Arial"/>
          <w:bCs/>
          <w:sz w:val="22"/>
          <w:szCs w:val="22"/>
        </w:rPr>
        <w:t>integrated</w:t>
      </w:r>
      <w:proofErr w:type="spellEnd"/>
      <w:r w:rsidRPr="00241464">
        <w:rPr>
          <w:rFonts w:ascii="Arial Narrow" w:hAnsi="Arial Narrow" w:cs="Arial"/>
          <w:bCs/>
          <w:sz w:val="22"/>
          <w:szCs w:val="22"/>
        </w:rPr>
        <w:t xml:space="preserve"> </w:t>
      </w:r>
      <w:proofErr w:type="spellStart"/>
      <w:r w:rsidRPr="00241464">
        <w:rPr>
          <w:rFonts w:ascii="Arial Narrow" w:hAnsi="Arial Narrow" w:cs="Arial"/>
          <w:bCs/>
          <w:sz w:val="22"/>
          <w:szCs w:val="22"/>
        </w:rPr>
        <w:t>social</w:t>
      </w:r>
      <w:proofErr w:type="spellEnd"/>
      <w:r w:rsidRPr="00241464">
        <w:rPr>
          <w:rFonts w:ascii="Arial Narrow" w:hAnsi="Arial Narrow" w:cs="Arial"/>
          <w:bCs/>
          <w:sz w:val="22"/>
          <w:szCs w:val="22"/>
        </w:rPr>
        <w:t xml:space="preserve"> </w:t>
      </w:r>
      <w:proofErr w:type="spellStart"/>
      <w:r w:rsidRPr="00241464">
        <w:rPr>
          <w:rFonts w:ascii="Arial Narrow" w:hAnsi="Arial Narrow" w:cs="Arial"/>
          <w:bCs/>
          <w:sz w:val="22"/>
          <w:szCs w:val="22"/>
        </w:rPr>
        <w:t>protection</w:t>
      </w:r>
      <w:proofErr w:type="spellEnd"/>
      <w:r w:rsidRPr="00241464">
        <w:rPr>
          <w:rFonts w:ascii="Arial Narrow" w:hAnsi="Arial Narrow" w:cs="Arial"/>
          <w:bCs/>
          <w:sz w:val="22"/>
          <w:szCs w:val="22"/>
        </w:rPr>
        <w:t xml:space="preserve"> </w:t>
      </w:r>
      <w:proofErr w:type="spellStart"/>
      <w:r w:rsidRPr="00241464">
        <w:rPr>
          <w:rFonts w:ascii="Arial Narrow" w:hAnsi="Arial Narrow" w:cs="Arial"/>
          <w:bCs/>
          <w:sz w:val="22"/>
          <w:szCs w:val="22"/>
        </w:rPr>
        <w:t>statistics</w:t>
      </w:r>
      <w:proofErr w:type="spellEnd"/>
      <w:r w:rsidRPr="00241464">
        <w:rPr>
          <w:rFonts w:ascii="Arial Narrow" w:hAnsi="Arial Narrow" w:cs="Arial"/>
          <w:bCs/>
          <w:sz w:val="22"/>
          <w:szCs w:val="22"/>
        </w:rPr>
        <w:t xml:space="preserve"> - ESSPROS, </w:t>
      </w:r>
      <w:proofErr w:type="spellStart"/>
      <w:r w:rsidRPr="00241464">
        <w:rPr>
          <w:rFonts w:ascii="Arial Narrow" w:hAnsi="Arial Narrow" w:cs="Arial"/>
          <w:bCs/>
          <w:sz w:val="22"/>
          <w:szCs w:val="22"/>
        </w:rPr>
        <w:t>Manual</w:t>
      </w:r>
      <w:proofErr w:type="spellEnd"/>
      <w:r w:rsidRPr="00241464">
        <w:rPr>
          <w:rFonts w:ascii="Arial Narrow" w:hAnsi="Arial Narrow" w:cs="Arial"/>
          <w:bCs/>
          <w:sz w:val="22"/>
          <w:szCs w:val="22"/>
        </w:rPr>
        <w:t xml:space="preserve"> and user </w:t>
      </w:r>
      <w:proofErr w:type="spellStart"/>
      <w:r w:rsidRPr="00241464">
        <w:rPr>
          <w:rFonts w:ascii="Arial Narrow" w:hAnsi="Arial Narrow" w:cs="Arial"/>
          <w:bCs/>
          <w:sz w:val="22"/>
          <w:szCs w:val="22"/>
        </w:rPr>
        <w:t>quidelines</w:t>
      </w:r>
      <w:proofErr w:type="spellEnd"/>
      <w:r w:rsidRPr="00241464">
        <w:rPr>
          <w:rFonts w:ascii="Arial Narrow" w:hAnsi="Arial Narrow" w:cs="Arial"/>
          <w:bCs/>
          <w:sz w:val="22"/>
          <w:szCs w:val="22"/>
        </w:rPr>
        <w:t>, 201</w:t>
      </w:r>
      <w:r w:rsidR="0052313A" w:rsidRPr="00241464">
        <w:rPr>
          <w:rFonts w:ascii="Arial Narrow" w:hAnsi="Arial Narrow" w:cs="Arial"/>
          <w:bCs/>
          <w:sz w:val="22"/>
          <w:szCs w:val="22"/>
        </w:rPr>
        <w:t>9</w:t>
      </w:r>
      <w:r w:rsidRPr="00241464">
        <w:rPr>
          <w:rFonts w:ascii="Arial Narrow" w:hAnsi="Arial Narrow" w:cs="Arial"/>
          <w:bCs/>
          <w:sz w:val="22"/>
          <w:szCs w:val="22"/>
        </w:rPr>
        <w:t xml:space="preserve"> </w:t>
      </w:r>
      <w:proofErr w:type="spellStart"/>
      <w:r w:rsidRPr="00241464">
        <w:rPr>
          <w:rFonts w:ascii="Arial Narrow" w:hAnsi="Arial Narrow" w:cs="Arial"/>
          <w:bCs/>
          <w:sz w:val="22"/>
          <w:szCs w:val="22"/>
        </w:rPr>
        <w:t>edition</w:t>
      </w:r>
      <w:proofErr w:type="spellEnd"/>
      <w:r w:rsidRPr="00241464">
        <w:rPr>
          <w:rFonts w:ascii="Arial Narrow" w:hAnsi="Arial Narrow" w:cs="Arial"/>
          <w:bCs/>
          <w:sz w:val="22"/>
          <w:szCs w:val="22"/>
        </w:rPr>
        <w:t>, EK</w:t>
      </w:r>
      <w:r w:rsidRPr="00241464">
        <w:rPr>
          <w:rFonts w:ascii="Arial Narrow" w:hAnsi="Arial Narrow" w:cs="Arial"/>
          <w:b/>
          <w:bCs/>
          <w:sz w:val="22"/>
          <w:szCs w:val="22"/>
        </w:rPr>
        <w:t xml:space="preserve"> </w:t>
      </w:r>
    </w:p>
    <w:p w:rsidR="00F959F9" w:rsidRPr="00241464" w:rsidRDefault="007B7FAB" w:rsidP="00F959F9">
      <w:pPr>
        <w:jc w:val="both"/>
        <w:rPr>
          <w:rFonts w:ascii="Arial Narrow" w:hAnsi="Arial Narrow" w:cs="Arial"/>
          <w:sz w:val="22"/>
          <w:szCs w:val="22"/>
        </w:rPr>
      </w:pPr>
      <w:hyperlink r:id="rId27" w:history="1">
        <w:r w:rsidR="00F959F9" w:rsidRPr="00241464">
          <w:rPr>
            <w:rStyle w:val="Hypertextovprepojenie"/>
            <w:rFonts w:ascii="Arial Narrow" w:hAnsi="Arial Narrow" w:cs="Arial"/>
            <w:sz w:val="22"/>
            <w:szCs w:val="22"/>
          </w:rPr>
          <w:t>https://ec.europa.eu/eurostat/documents/3859598/10295301/KS-GQ-19-014-EN-N.pdf/e7c8c019-944c-1c71-aee5-1ffc8ce45200?t=1575969094000</w:t>
        </w:r>
      </w:hyperlink>
    </w:p>
    <w:p w:rsidR="00AA1935" w:rsidRPr="00241464" w:rsidRDefault="00AA1935" w:rsidP="00F959F9">
      <w:pPr>
        <w:jc w:val="both"/>
        <w:rPr>
          <w:rFonts w:ascii="Arial Narrow" w:hAnsi="Arial Narrow" w:cs="Arial"/>
          <w:sz w:val="22"/>
          <w:szCs w:val="22"/>
        </w:rPr>
      </w:pPr>
    </w:p>
    <w:p w:rsidR="00F959F9" w:rsidRPr="00241464" w:rsidRDefault="00F959F9" w:rsidP="00F959F9">
      <w:pPr>
        <w:jc w:val="both"/>
        <w:rPr>
          <w:rFonts w:ascii="Arial Narrow" w:hAnsi="Arial Narrow" w:cs="Arial"/>
          <w:sz w:val="22"/>
          <w:szCs w:val="22"/>
        </w:rPr>
      </w:pPr>
      <w:r w:rsidRPr="00241464">
        <w:rPr>
          <w:rFonts w:ascii="Arial Narrow" w:hAnsi="Arial Narrow" w:cs="Arial"/>
          <w:sz w:val="22"/>
          <w:szCs w:val="22"/>
        </w:rPr>
        <w:t>[2] ESSPROS publikácie</w:t>
      </w:r>
    </w:p>
    <w:p w:rsidR="00F959F9" w:rsidRPr="00241464" w:rsidRDefault="007B7FAB" w:rsidP="00F959F9">
      <w:pPr>
        <w:jc w:val="both"/>
        <w:rPr>
          <w:rFonts w:ascii="Arial Narrow" w:hAnsi="Arial Narrow" w:cs="Arial"/>
          <w:sz w:val="22"/>
          <w:szCs w:val="22"/>
          <w:u w:val="single"/>
        </w:rPr>
      </w:pPr>
      <w:hyperlink r:id="rId28" w:history="1">
        <w:r w:rsidR="00F959F9" w:rsidRPr="00241464">
          <w:rPr>
            <w:rFonts w:ascii="Arial Narrow" w:hAnsi="Arial Narrow" w:cs="Arial"/>
            <w:color w:val="0000FF"/>
            <w:sz w:val="22"/>
            <w:szCs w:val="22"/>
            <w:u w:val="single"/>
          </w:rPr>
          <w:t>http://ec.europa.eu/eurostat/web/social-protection/publications</w:t>
        </w:r>
      </w:hyperlink>
    </w:p>
    <w:p w:rsidR="00AA1935" w:rsidRPr="00241464" w:rsidRDefault="00AA1935" w:rsidP="00F959F9">
      <w:pPr>
        <w:rPr>
          <w:rFonts w:ascii="Arial Narrow" w:hAnsi="Arial Narrow" w:cs="Arial"/>
          <w:bCs/>
          <w:sz w:val="22"/>
          <w:szCs w:val="22"/>
        </w:rPr>
      </w:pPr>
    </w:p>
    <w:p w:rsidR="00F959F9" w:rsidRPr="00241464" w:rsidRDefault="00F959F9" w:rsidP="00F959F9">
      <w:pPr>
        <w:rPr>
          <w:rFonts w:ascii="Arial Narrow" w:hAnsi="Arial Narrow" w:cs="Arial"/>
          <w:bCs/>
          <w:sz w:val="22"/>
          <w:szCs w:val="22"/>
        </w:rPr>
      </w:pPr>
      <w:r w:rsidRPr="00241464">
        <w:rPr>
          <w:rFonts w:ascii="Arial Narrow" w:hAnsi="Arial Narrow" w:cs="Arial"/>
          <w:bCs/>
          <w:sz w:val="22"/>
          <w:szCs w:val="22"/>
        </w:rPr>
        <w:t>[3] Správa o sociálnej situácii obyvateľstva za rok 201</w:t>
      </w:r>
      <w:r w:rsidR="00AA1935" w:rsidRPr="00241464">
        <w:rPr>
          <w:rFonts w:ascii="Arial Narrow" w:hAnsi="Arial Narrow" w:cs="Arial"/>
          <w:bCs/>
          <w:sz w:val="22"/>
          <w:szCs w:val="22"/>
        </w:rPr>
        <w:t>9</w:t>
      </w:r>
      <w:r w:rsidRPr="00241464">
        <w:rPr>
          <w:rFonts w:ascii="Arial Narrow" w:hAnsi="Arial Narrow" w:cs="Arial"/>
          <w:bCs/>
          <w:sz w:val="22"/>
          <w:szCs w:val="22"/>
        </w:rPr>
        <w:t>, MPSVR SR</w:t>
      </w:r>
    </w:p>
    <w:p w:rsidR="00AA1935" w:rsidRPr="00241464" w:rsidRDefault="007B7FAB" w:rsidP="00F959F9">
      <w:pPr>
        <w:rPr>
          <w:rFonts w:ascii="Arial Narrow" w:hAnsi="Arial Narrow" w:cs="Arial"/>
          <w:bCs/>
          <w:sz w:val="22"/>
          <w:szCs w:val="22"/>
        </w:rPr>
      </w:pPr>
      <w:hyperlink r:id="rId29" w:history="1">
        <w:r w:rsidR="00AA1935" w:rsidRPr="00241464">
          <w:rPr>
            <w:rStyle w:val="Hypertextovprepojenie"/>
            <w:rFonts w:ascii="Arial Narrow" w:hAnsi="Arial Narrow" w:cs="Arial"/>
            <w:bCs/>
            <w:sz w:val="22"/>
            <w:szCs w:val="22"/>
          </w:rPr>
          <w:t>https://www.employment.gov.sk/sk/ministerstvo/vyskum-oblasti-prace-socialnych-veci-institut-socialnej-politiky/spravy-socialnej-situacii-obyvatelstva/rok-2019.html</w:t>
        </w:r>
      </w:hyperlink>
    </w:p>
    <w:p w:rsidR="00AA1935" w:rsidRPr="00241464" w:rsidRDefault="00AA1935" w:rsidP="00F959F9">
      <w:pPr>
        <w:tabs>
          <w:tab w:val="center" w:pos="4536"/>
          <w:tab w:val="right" w:pos="9072"/>
        </w:tabs>
        <w:rPr>
          <w:rFonts w:ascii="Arial Narrow" w:hAnsi="Arial Narrow"/>
          <w:sz w:val="22"/>
          <w:szCs w:val="22"/>
        </w:rPr>
      </w:pPr>
    </w:p>
    <w:p w:rsidR="00F959F9" w:rsidRPr="00241464" w:rsidRDefault="00F959F9" w:rsidP="00F959F9">
      <w:pPr>
        <w:tabs>
          <w:tab w:val="center" w:pos="4536"/>
          <w:tab w:val="right" w:pos="9072"/>
        </w:tabs>
        <w:rPr>
          <w:rFonts w:ascii="Arial Narrow" w:hAnsi="Arial Narrow"/>
          <w:sz w:val="22"/>
          <w:szCs w:val="22"/>
        </w:rPr>
      </w:pPr>
      <w:r w:rsidRPr="00241464">
        <w:rPr>
          <w:rFonts w:ascii="Arial Narrow" w:hAnsi="Arial Narrow"/>
          <w:sz w:val="22"/>
          <w:szCs w:val="22"/>
        </w:rPr>
        <w:t>[4] Publikácie k ESSPROS štatistike</w:t>
      </w:r>
    </w:p>
    <w:p w:rsidR="00F959F9" w:rsidRPr="00241464" w:rsidRDefault="007B7FAB" w:rsidP="00F959F9">
      <w:pPr>
        <w:tabs>
          <w:tab w:val="center" w:pos="4536"/>
          <w:tab w:val="right" w:pos="9072"/>
        </w:tabs>
        <w:rPr>
          <w:rFonts w:ascii="Arial Narrow" w:hAnsi="Arial Narrow"/>
          <w:sz w:val="22"/>
          <w:szCs w:val="22"/>
        </w:rPr>
      </w:pPr>
      <w:hyperlink r:id="rId30" w:history="1">
        <w:r w:rsidR="00F959F9" w:rsidRPr="00241464">
          <w:rPr>
            <w:rStyle w:val="Hypertextovprepojenie"/>
            <w:rFonts w:ascii="Arial Narrow" w:hAnsi="Arial Narrow"/>
            <w:sz w:val="22"/>
            <w:szCs w:val="22"/>
          </w:rPr>
          <w:t>https://slovak.statistics.sk/wps/portal/ext/themes/demography/social/publications/!ut/p/z1/jZDNDoIwEIQfqUPBAseCoTRp0FL-7MVwMiSKHozPbyVeKexts9_s7gyxZCB2Hj_TbXxPz3m8u_5i2VXHMsmygCM5xICsTAt0BlCU9AuQC15GsQISJQ6QvGzrVIcheEjsHj1WimOfvjBnytNI5Mf6VEA2OU2MYhQIFv3aWLANvQN23fcA1m-vJ3ZBuNbaqK6D6Kj7IAwEqtZtadgf8EW8dcR6U_iF5Le5tcHF9Hq0rgZMcpJfH0sjUg!!/dz/d5/L2dJQSEvUUt3QS80TmxFL1o2X1E3SThCQjFBMDg1NzAwSU5TVTAwVlMwME4w/</w:t>
        </w:r>
      </w:hyperlink>
    </w:p>
    <w:p w:rsidR="00AA1935" w:rsidRPr="00241464" w:rsidRDefault="00AA1935" w:rsidP="00F959F9">
      <w:pPr>
        <w:rPr>
          <w:rFonts w:ascii="Arial Narrow" w:hAnsi="Arial Narrow" w:cs="Arial"/>
          <w:sz w:val="22"/>
          <w:szCs w:val="22"/>
        </w:rPr>
      </w:pPr>
    </w:p>
    <w:p w:rsidR="00F959F9" w:rsidRPr="00241464" w:rsidRDefault="00F959F9" w:rsidP="00F959F9">
      <w:pPr>
        <w:rPr>
          <w:rFonts w:ascii="Arial Narrow" w:hAnsi="Arial Narrow" w:cs="Arial"/>
          <w:sz w:val="22"/>
          <w:szCs w:val="22"/>
        </w:rPr>
      </w:pPr>
      <w:r w:rsidRPr="00241464">
        <w:rPr>
          <w:rFonts w:ascii="Arial Narrow" w:hAnsi="Arial Narrow" w:cs="Arial"/>
          <w:sz w:val="22"/>
          <w:szCs w:val="22"/>
        </w:rPr>
        <w:t>[5] Štatistická ročenka S</w:t>
      </w:r>
      <w:r w:rsidR="00AA1935" w:rsidRPr="00241464">
        <w:rPr>
          <w:rFonts w:ascii="Arial Narrow" w:hAnsi="Arial Narrow" w:cs="Arial"/>
          <w:sz w:val="22"/>
          <w:szCs w:val="22"/>
        </w:rPr>
        <w:t>lovenskej republiky</w:t>
      </w:r>
      <w:r w:rsidRPr="00241464">
        <w:rPr>
          <w:rFonts w:ascii="Arial Narrow" w:hAnsi="Arial Narrow" w:cs="Arial"/>
          <w:sz w:val="22"/>
          <w:szCs w:val="22"/>
        </w:rPr>
        <w:t xml:space="preserve"> 201</w:t>
      </w:r>
      <w:r w:rsidR="00AA1935" w:rsidRPr="00241464">
        <w:rPr>
          <w:rFonts w:ascii="Arial Narrow" w:hAnsi="Arial Narrow" w:cs="Arial"/>
          <w:sz w:val="22"/>
          <w:szCs w:val="22"/>
        </w:rPr>
        <w:t>9, ŠÚ SR</w:t>
      </w:r>
    </w:p>
    <w:p w:rsidR="00AA1935" w:rsidRPr="00241464" w:rsidRDefault="007B7FAB" w:rsidP="00F959F9">
      <w:pPr>
        <w:rPr>
          <w:rFonts w:ascii="Arial Narrow" w:hAnsi="Arial Narrow" w:cs="Arial"/>
          <w:sz w:val="22"/>
          <w:szCs w:val="22"/>
        </w:rPr>
      </w:pPr>
      <w:hyperlink r:id="rId31" w:history="1">
        <w:r w:rsidR="00AA1935" w:rsidRPr="00241464">
          <w:rPr>
            <w:rStyle w:val="Hypertextovprepojenie"/>
            <w:rFonts w:ascii="Arial Narrow" w:hAnsi="Arial Narrow" w:cs="Arial"/>
            <w:sz w:val="22"/>
            <w:szCs w:val="22"/>
          </w:rPr>
          <w:t>https://slovak.statistics.sk/wps/portal/ece7683e-ea83-4e13-bf99-ab7b287b4fca/!ut/p/z1/rVJNU8IwEP0tHnpss20Kbb0FcPgQDsggkIuT1LSN_UhpA5V_b3A86IwozpjDTrL73uZtXhBFW0QrdpQp01JVrDDnHe0_LYNpOBi4BCDojWA6W4-W41Xkgg_oEVFE40rXOkM7xVuW2W1u1wdugQmFzFkshQXHVuj89DkjYhH0QyxswUJs-8LFNk-iyGY84F4YcD-J2bl3HctntLsKvflNLDVluLAIGD59hwzHZOIHc4BwPu7BlEzWD9ESYyD4A_BDj53REFzUcO-hzVGKDq0r1ZTmfVd_HHECaIao5KXTxaUDjmsqfd9z_TDysNmfDZMv-z0lxhVVafGq0fbfbTGXeM1iuEiNdqYzW1aJQttrqaTiODTURiSiEY1zaMw_y7Su21sLLOi6zkmVSgvhxKq04DtKploz11ckqssyxCc7TxZ32Kf8hIvjnJCbmzccyj4d/dz/d5/L2dBISEvZ0FBIS9nQSEh/</w:t>
        </w:r>
      </w:hyperlink>
    </w:p>
    <w:p w:rsidR="00F959F9" w:rsidRPr="00241464" w:rsidRDefault="00F959F9" w:rsidP="00F959F9">
      <w:pPr>
        <w:tabs>
          <w:tab w:val="left" w:pos="2622"/>
        </w:tabs>
        <w:rPr>
          <w:rFonts w:ascii="Arial Narrow" w:hAnsi="Arial Narrow" w:cs="Arial"/>
          <w:sz w:val="22"/>
          <w:szCs w:val="22"/>
        </w:rPr>
      </w:pPr>
    </w:p>
    <w:p w:rsidR="00B8477D" w:rsidRPr="00241464" w:rsidRDefault="00B8477D" w:rsidP="00F959F9">
      <w:pPr>
        <w:jc w:val="both"/>
        <w:rPr>
          <w:rFonts w:ascii="Arial Narrow" w:hAnsi="Arial Narrow" w:cs="Arial"/>
          <w:sz w:val="22"/>
          <w:szCs w:val="22"/>
        </w:rPr>
      </w:pPr>
    </w:p>
    <w:p w:rsidR="00F959F9" w:rsidRPr="00241464" w:rsidRDefault="00F959F9" w:rsidP="00F959F9">
      <w:pPr>
        <w:jc w:val="both"/>
        <w:rPr>
          <w:rFonts w:ascii="Arial Narrow" w:hAnsi="Arial Narrow" w:cs="Arial"/>
          <w:i/>
          <w:sz w:val="22"/>
          <w:szCs w:val="22"/>
          <w:lang w:val="en-GB"/>
        </w:rPr>
      </w:pPr>
      <w:r w:rsidRPr="00241464">
        <w:rPr>
          <w:rFonts w:ascii="Arial Narrow" w:hAnsi="Arial Narrow" w:cs="Arial"/>
          <w:sz w:val="22"/>
          <w:szCs w:val="22"/>
        </w:rPr>
        <w:t xml:space="preserve">Internetové adresy sú platné ku dňu </w:t>
      </w:r>
      <w:r w:rsidR="00D53CE6" w:rsidRPr="00241464">
        <w:rPr>
          <w:rFonts w:ascii="Arial Narrow" w:hAnsi="Arial Narrow" w:cs="Arial"/>
          <w:sz w:val="22"/>
          <w:szCs w:val="22"/>
        </w:rPr>
        <w:t>30</w:t>
      </w:r>
      <w:r w:rsidRPr="00241464">
        <w:rPr>
          <w:rFonts w:ascii="Arial Narrow" w:hAnsi="Arial Narrow" w:cs="Arial"/>
          <w:sz w:val="22"/>
          <w:szCs w:val="22"/>
        </w:rPr>
        <w:t>/1</w:t>
      </w:r>
      <w:r w:rsidR="00D53CE6" w:rsidRPr="00241464">
        <w:rPr>
          <w:rFonts w:ascii="Arial Narrow" w:hAnsi="Arial Narrow" w:cs="Arial"/>
          <w:sz w:val="22"/>
          <w:szCs w:val="22"/>
        </w:rPr>
        <w:t>1</w:t>
      </w:r>
      <w:r w:rsidRPr="00241464">
        <w:rPr>
          <w:rFonts w:ascii="Arial Narrow" w:hAnsi="Arial Narrow" w:cs="Arial"/>
          <w:sz w:val="22"/>
          <w:szCs w:val="22"/>
        </w:rPr>
        <w:t>/202</w:t>
      </w:r>
      <w:r w:rsidR="00D53CE6" w:rsidRPr="00241464">
        <w:rPr>
          <w:rFonts w:ascii="Arial Narrow" w:hAnsi="Arial Narrow" w:cs="Arial"/>
          <w:sz w:val="22"/>
          <w:szCs w:val="22"/>
        </w:rPr>
        <w:t>1</w:t>
      </w:r>
    </w:p>
    <w:p w:rsidR="00F959F9" w:rsidRPr="00241464" w:rsidRDefault="00F959F9" w:rsidP="00F959F9">
      <w:pPr>
        <w:rPr>
          <w:rFonts w:ascii="Arial Narrow" w:hAnsi="Arial Narrow"/>
          <w:i/>
          <w:sz w:val="22"/>
          <w:szCs w:val="22"/>
        </w:rPr>
      </w:pPr>
    </w:p>
    <w:p w:rsidR="00110831" w:rsidRPr="00241464" w:rsidRDefault="00110831" w:rsidP="00110831">
      <w:pPr>
        <w:rPr>
          <w:sz w:val="22"/>
          <w:szCs w:val="22"/>
        </w:rPr>
      </w:pPr>
    </w:p>
    <w:sectPr w:rsidR="00110831" w:rsidRPr="00241464" w:rsidSect="0050625F">
      <w:footerReference w:type="default" r:id="rId32"/>
      <w:type w:val="continuous"/>
      <w:pgSz w:w="11906" w:h="16838"/>
      <w:pgMar w:top="1418" w:right="1133" w:bottom="964"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FB6" w:rsidRDefault="00B76FB6">
      <w:r>
        <w:separator/>
      </w:r>
    </w:p>
  </w:endnote>
  <w:endnote w:type="continuationSeparator" w:id="0">
    <w:p w:rsidR="00B76FB6" w:rsidRDefault="00B7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ompacta AT">
    <w:altName w:val="Times New Roman"/>
    <w:charset w:val="00"/>
    <w:family w:val="auto"/>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FAB" w:rsidRPr="002231A4" w:rsidRDefault="007B7FAB">
    <w:pPr>
      <w:pStyle w:val="Pta"/>
      <w:jc w:val="center"/>
      <w:rPr>
        <w:rFonts w:ascii="Arial" w:hAnsi="Arial" w:cs="Arial"/>
        <w:sz w:val="20"/>
        <w:szCs w:val="20"/>
      </w:rPr>
    </w:pPr>
    <w:r w:rsidRPr="002231A4">
      <w:rPr>
        <w:rFonts w:ascii="Arial" w:hAnsi="Arial" w:cs="Arial"/>
        <w:sz w:val="20"/>
        <w:szCs w:val="20"/>
      </w:rPr>
      <w:fldChar w:fldCharType="begin"/>
    </w:r>
    <w:r w:rsidRPr="002231A4">
      <w:rPr>
        <w:rFonts w:ascii="Arial" w:hAnsi="Arial" w:cs="Arial"/>
        <w:sz w:val="20"/>
        <w:szCs w:val="20"/>
      </w:rPr>
      <w:instrText>PAGE   \* MERGEFORMAT</w:instrText>
    </w:r>
    <w:r w:rsidRPr="002231A4">
      <w:rPr>
        <w:rFonts w:ascii="Arial" w:hAnsi="Arial" w:cs="Arial"/>
        <w:sz w:val="20"/>
        <w:szCs w:val="20"/>
      </w:rPr>
      <w:fldChar w:fldCharType="separate"/>
    </w:r>
    <w:r w:rsidR="00BC67B6" w:rsidRPr="00BC67B6">
      <w:rPr>
        <w:rFonts w:ascii="Arial" w:hAnsi="Arial" w:cs="Arial"/>
        <w:noProof/>
        <w:sz w:val="20"/>
        <w:szCs w:val="20"/>
        <w:lang w:val="sk-SK"/>
      </w:rPr>
      <w:t>19</w:t>
    </w:r>
    <w:r w:rsidRPr="002231A4">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FAB" w:rsidRPr="003921E3" w:rsidRDefault="007B7FAB" w:rsidP="007F40A7">
    <w:pPr>
      <w:pStyle w:val="Pta"/>
      <w:jc w:val="center"/>
    </w:pPr>
    <w:r w:rsidRPr="00954CA3">
      <w:rPr>
        <w:rFonts w:ascii="Arial" w:hAnsi="Arial" w:cs="Arial"/>
        <w:sz w:val="20"/>
        <w:szCs w:val="20"/>
      </w:rPr>
      <w:fldChar w:fldCharType="begin"/>
    </w:r>
    <w:r w:rsidRPr="00954CA3">
      <w:rPr>
        <w:rFonts w:ascii="Arial" w:hAnsi="Arial" w:cs="Arial"/>
        <w:sz w:val="20"/>
        <w:szCs w:val="20"/>
      </w:rPr>
      <w:instrText xml:space="preserve"> PAGE   \* MERGEFORMAT </w:instrText>
    </w:r>
    <w:r w:rsidRPr="00954CA3">
      <w:rPr>
        <w:rFonts w:ascii="Arial" w:hAnsi="Arial" w:cs="Arial"/>
        <w:sz w:val="20"/>
        <w:szCs w:val="20"/>
      </w:rPr>
      <w:fldChar w:fldCharType="separate"/>
    </w:r>
    <w:r w:rsidR="00BC67B6">
      <w:rPr>
        <w:rFonts w:ascii="Arial" w:hAnsi="Arial" w:cs="Arial"/>
        <w:noProof/>
        <w:sz w:val="20"/>
        <w:szCs w:val="20"/>
      </w:rPr>
      <w:t>24</w:t>
    </w:r>
    <w:r w:rsidRPr="00954CA3">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FB6" w:rsidRDefault="00B76FB6">
      <w:r>
        <w:separator/>
      </w:r>
    </w:p>
  </w:footnote>
  <w:footnote w:type="continuationSeparator" w:id="0">
    <w:p w:rsidR="00B76FB6" w:rsidRDefault="00B76FB6">
      <w:r>
        <w:continuationSeparator/>
      </w:r>
    </w:p>
  </w:footnote>
  <w:footnote w:id="1">
    <w:p w:rsidR="007B7FAB" w:rsidRPr="003B257F" w:rsidRDefault="007B7FAB">
      <w:pPr>
        <w:pStyle w:val="Textpoznmkypodiarou"/>
        <w:rPr>
          <w:rStyle w:val="Hypertextovprepojenie"/>
          <w:rFonts w:ascii="Arial" w:hAnsi="Arial" w:cs="Arial"/>
          <w:i/>
          <w:sz w:val="18"/>
          <w:szCs w:val="18"/>
        </w:rPr>
      </w:pPr>
      <w:r w:rsidRPr="003B257F">
        <w:rPr>
          <w:rStyle w:val="Odkaznapoznmkupodiarou"/>
          <w:rFonts w:ascii="Arial" w:hAnsi="Arial" w:cs="Arial"/>
          <w:i/>
          <w:sz w:val="18"/>
          <w:szCs w:val="18"/>
        </w:rPr>
        <w:footnoteRef/>
      </w:r>
      <w:r w:rsidRPr="00C24F48">
        <w:rPr>
          <w:rStyle w:val="Hypertextovprepojenie"/>
          <w:rFonts w:ascii="Arial" w:hAnsi="Arial" w:cs="Arial"/>
          <w:sz w:val="18"/>
          <w:szCs w:val="18"/>
          <w:u w:val="none"/>
          <w:lang w:val="sk-SK"/>
        </w:rPr>
        <w:t xml:space="preserve"> </w:t>
      </w:r>
      <w:hyperlink r:id="rId1" w:history="1">
        <w:r w:rsidRPr="00E22BBE">
          <w:rPr>
            <w:rStyle w:val="Hypertextovprepojenie"/>
            <w:rFonts w:ascii="Arial" w:hAnsi="Arial" w:cs="Arial"/>
            <w:i/>
            <w:sz w:val="18"/>
            <w:szCs w:val="18"/>
          </w:rPr>
          <w:t>https://www.slov-lex.sk/static/prilohy/SK/ZZ/2004/185/20040414_3029367-2.pdf</w:t>
        </w:r>
      </w:hyperlink>
      <w:r w:rsidRPr="003B257F">
        <w:rPr>
          <w:rStyle w:val="Hypertextovprepojenie"/>
          <w:rFonts w:ascii="Arial" w:hAnsi="Arial" w:cs="Arial"/>
          <w:i/>
          <w:sz w:val="18"/>
          <w:szCs w:val="18"/>
        </w:rPr>
        <w:t xml:space="preserve"> </w:t>
      </w:r>
    </w:p>
    <w:p w:rsidR="007B7FAB" w:rsidRPr="003B257F" w:rsidRDefault="007B7FAB">
      <w:pPr>
        <w:pStyle w:val="Textpoznmkypodiarou"/>
        <w:rPr>
          <w:rFonts w:ascii="Arial" w:hAnsi="Arial" w:cs="Arial"/>
          <w:sz w:val="4"/>
          <w:szCs w:val="4"/>
          <w:lang w:val="sk-SK"/>
        </w:rPr>
      </w:pPr>
    </w:p>
  </w:footnote>
  <w:footnote w:id="2">
    <w:p w:rsidR="007B7FAB" w:rsidRPr="003B257F" w:rsidRDefault="007B7FAB" w:rsidP="00A65DBD">
      <w:pPr>
        <w:pStyle w:val="Textpoznmkypodiarou"/>
        <w:rPr>
          <w:rFonts w:ascii="Arial" w:hAnsi="Arial" w:cs="Arial"/>
          <w:i/>
          <w:sz w:val="18"/>
          <w:szCs w:val="18"/>
        </w:rPr>
      </w:pPr>
      <w:r w:rsidRPr="003B257F">
        <w:rPr>
          <w:rStyle w:val="Odkaznapoznmkupodiarou"/>
          <w:rFonts w:ascii="Arial" w:hAnsi="Arial" w:cs="Arial"/>
          <w:i/>
          <w:sz w:val="18"/>
          <w:szCs w:val="18"/>
        </w:rPr>
        <w:footnoteRef/>
      </w:r>
      <w:r w:rsidRPr="003B257F">
        <w:rPr>
          <w:rFonts w:ascii="Arial" w:hAnsi="Arial" w:cs="Arial"/>
          <w:i/>
          <w:sz w:val="18"/>
          <w:szCs w:val="18"/>
        </w:rPr>
        <w:t xml:space="preserve"> </w:t>
      </w:r>
      <w:hyperlink r:id="rId2" w:history="1">
        <w:r w:rsidRPr="003B257F">
          <w:rPr>
            <w:rStyle w:val="Hypertextovprepojenie"/>
            <w:rFonts w:ascii="Arial" w:hAnsi="Arial" w:cs="Arial"/>
            <w:i/>
            <w:sz w:val="18"/>
            <w:szCs w:val="18"/>
          </w:rPr>
          <w:t>http://eur-lex.europa.eu/legal-content/SK/TXT/PDF/?uri=CELEX:32007R0458&amp;from=EN</w:t>
        </w:r>
      </w:hyperlink>
    </w:p>
    <w:p w:rsidR="007B7FAB" w:rsidRPr="003B257F" w:rsidRDefault="007B7FAB" w:rsidP="00A65DBD">
      <w:pPr>
        <w:pStyle w:val="Textpoznmkypodiarou"/>
        <w:rPr>
          <w:rFonts w:ascii="Arial" w:hAnsi="Arial" w:cs="Arial"/>
          <w:i/>
          <w:sz w:val="6"/>
          <w:szCs w:val="6"/>
        </w:rPr>
      </w:pPr>
    </w:p>
  </w:footnote>
  <w:footnote w:id="3">
    <w:p w:rsidR="007B7FAB" w:rsidRPr="003B257F" w:rsidRDefault="007B7FAB" w:rsidP="00A65DBD">
      <w:pPr>
        <w:rPr>
          <w:rFonts w:ascii="Arial" w:hAnsi="Arial" w:cs="Arial"/>
          <w:i/>
          <w:sz w:val="18"/>
          <w:szCs w:val="18"/>
        </w:rPr>
      </w:pPr>
      <w:r w:rsidRPr="003B257F">
        <w:rPr>
          <w:rStyle w:val="Odkaznapoznmkupodiarou"/>
          <w:rFonts w:ascii="Arial" w:hAnsi="Arial" w:cs="Arial"/>
          <w:i/>
          <w:sz w:val="18"/>
          <w:szCs w:val="18"/>
        </w:rPr>
        <w:footnoteRef/>
      </w:r>
      <w:r w:rsidRPr="003B257F">
        <w:rPr>
          <w:rFonts w:ascii="Arial" w:hAnsi="Arial" w:cs="Arial"/>
          <w:i/>
          <w:sz w:val="18"/>
          <w:szCs w:val="18"/>
        </w:rPr>
        <w:t xml:space="preserve"> </w:t>
      </w:r>
      <w:hyperlink r:id="rId3" w:history="1">
        <w:r w:rsidRPr="003B257F">
          <w:rPr>
            <w:rStyle w:val="Hypertextovprepojenie"/>
            <w:rFonts w:ascii="Arial" w:hAnsi="Arial" w:cs="Arial"/>
            <w:i/>
            <w:sz w:val="18"/>
            <w:szCs w:val="18"/>
          </w:rPr>
          <w:t>http://eur-lex.europa.eu/legal-content/SK/TXT/PDF/?uri=CELEX:32007R1322&amp;from=EN</w:t>
        </w:r>
      </w:hyperlink>
    </w:p>
    <w:p w:rsidR="007B7FAB" w:rsidRPr="003B257F" w:rsidRDefault="007B7FAB" w:rsidP="00A65DBD">
      <w:pPr>
        <w:pStyle w:val="Textpoznmkypodiarou"/>
        <w:rPr>
          <w:rFonts w:ascii="Arial" w:hAnsi="Arial" w:cs="Arial"/>
          <w:i/>
          <w:sz w:val="6"/>
          <w:szCs w:val="6"/>
        </w:rPr>
      </w:pPr>
    </w:p>
  </w:footnote>
  <w:footnote w:id="4">
    <w:p w:rsidR="007B7FAB" w:rsidRPr="003B257F" w:rsidRDefault="007B7FAB" w:rsidP="00A65DBD">
      <w:pPr>
        <w:rPr>
          <w:rFonts w:ascii="Arial" w:hAnsi="Arial" w:cs="Arial"/>
          <w:i/>
          <w:sz w:val="18"/>
          <w:szCs w:val="18"/>
        </w:rPr>
      </w:pPr>
      <w:r w:rsidRPr="003B257F">
        <w:rPr>
          <w:rStyle w:val="Odkaznapoznmkupodiarou"/>
          <w:rFonts w:ascii="Arial" w:hAnsi="Arial" w:cs="Arial"/>
          <w:i/>
          <w:sz w:val="18"/>
          <w:szCs w:val="18"/>
        </w:rPr>
        <w:footnoteRef/>
      </w:r>
      <w:r w:rsidRPr="003B257F">
        <w:rPr>
          <w:rFonts w:ascii="Arial" w:hAnsi="Arial" w:cs="Arial"/>
          <w:i/>
          <w:sz w:val="18"/>
          <w:szCs w:val="18"/>
        </w:rPr>
        <w:t xml:space="preserve"> </w:t>
      </w:r>
      <w:hyperlink r:id="rId4" w:history="1">
        <w:r w:rsidRPr="003B257F">
          <w:rPr>
            <w:rStyle w:val="Hypertextovprepojenie"/>
            <w:rFonts w:ascii="Arial" w:hAnsi="Arial" w:cs="Arial"/>
            <w:i/>
            <w:sz w:val="18"/>
            <w:szCs w:val="18"/>
          </w:rPr>
          <w:t>http://eur-lex.europa.eu/legal-content/SK/TXT/PDF/?uri=CELEX:32008R0010&amp;from=EN</w:t>
        </w:r>
      </w:hyperlink>
    </w:p>
    <w:p w:rsidR="007B7FAB" w:rsidRPr="003B257F" w:rsidRDefault="007B7FAB" w:rsidP="00A65DBD">
      <w:pPr>
        <w:pStyle w:val="Textpoznmkypodiarou"/>
        <w:rPr>
          <w:rFonts w:ascii="Arial" w:hAnsi="Arial" w:cs="Arial"/>
          <w:i/>
          <w:sz w:val="6"/>
          <w:szCs w:val="6"/>
          <w:lang w:val="sk-SK"/>
        </w:rPr>
      </w:pPr>
    </w:p>
  </w:footnote>
  <w:footnote w:id="5">
    <w:p w:rsidR="007B7FAB" w:rsidRPr="003B257F" w:rsidRDefault="007B7FAB" w:rsidP="00A65DBD">
      <w:pPr>
        <w:pStyle w:val="Textpoznmkypodiarou"/>
        <w:rPr>
          <w:rFonts w:ascii="Arial" w:hAnsi="Arial" w:cs="Arial"/>
          <w:i/>
          <w:sz w:val="18"/>
          <w:szCs w:val="18"/>
        </w:rPr>
      </w:pPr>
      <w:r w:rsidRPr="003B257F">
        <w:rPr>
          <w:rStyle w:val="Odkaznapoznmkupodiarou"/>
          <w:rFonts w:ascii="Arial" w:hAnsi="Arial" w:cs="Arial"/>
          <w:i/>
          <w:sz w:val="18"/>
          <w:szCs w:val="18"/>
        </w:rPr>
        <w:footnoteRef/>
      </w:r>
      <w:r w:rsidRPr="003B257F">
        <w:rPr>
          <w:rFonts w:ascii="Arial" w:hAnsi="Arial" w:cs="Arial"/>
          <w:i/>
          <w:sz w:val="18"/>
          <w:szCs w:val="18"/>
        </w:rPr>
        <w:t xml:space="preserve"> </w:t>
      </w:r>
      <w:hyperlink r:id="rId5" w:history="1">
        <w:r w:rsidRPr="003B257F">
          <w:rPr>
            <w:rStyle w:val="Hypertextovprepojenie"/>
            <w:rFonts w:ascii="Arial" w:hAnsi="Arial" w:cs="Arial"/>
            <w:i/>
            <w:sz w:val="18"/>
            <w:szCs w:val="18"/>
          </w:rPr>
          <w:t>http://eur-lex.europa.eu/legal-content/SK/TXT/PDF/?uri=CELEX:32011R0110&amp;from=EN</w:t>
        </w:r>
      </w:hyperlink>
    </w:p>
    <w:p w:rsidR="007B7FAB" w:rsidRPr="003B257F" w:rsidRDefault="007B7FAB" w:rsidP="00A65DBD">
      <w:pPr>
        <w:pStyle w:val="Textpoznmkypodiarou"/>
        <w:rPr>
          <w:rFonts w:ascii="Arial" w:hAnsi="Arial" w:cs="Arial"/>
          <w:i/>
          <w:sz w:val="6"/>
          <w:szCs w:val="6"/>
        </w:rPr>
      </w:pPr>
    </w:p>
  </w:footnote>
  <w:footnote w:id="6">
    <w:p w:rsidR="007B7FAB" w:rsidRPr="00995DD3" w:rsidRDefault="007B7FAB" w:rsidP="00A65DBD">
      <w:pPr>
        <w:pStyle w:val="Textpoznmkypodiarou"/>
        <w:rPr>
          <w:rFonts w:ascii="Arial" w:hAnsi="Arial" w:cs="Arial"/>
          <w:i/>
          <w:sz w:val="18"/>
          <w:szCs w:val="18"/>
        </w:rPr>
      </w:pPr>
      <w:r w:rsidRPr="003B257F">
        <w:rPr>
          <w:rStyle w:val="Odkaznapoznmkupodiarou"/>
          <w:rFonts w:ascii="Arial" w:hAnsi="Arial" w:cs="Arial"/>
          <w:i/>
          <w:sz w:val="18"/>
          <w:szCs w:val="18"/>
        </w:rPr>
        <w:footnoteRef/>
      </w:r>
      <w:r w:rsidRPr="003B257F">
        <w:rPr>
          <w:rFonts w:ascii="Arial" w:hAnsi="Arial" w:cs="Arial"/>
          <w:i/>
          <w:sz w:val="18"/>
          <w:szCs w:val="18"/>
        </w:rPr>
        <w:t xml:space="preserve"> </w:t>
      </w:r>
      <w:hyperlink r:id="rId6" w:history="1">
        <w:r w:rsidRPr="003B257F">
          <w:rPr>
            <w:rStyle w:val="Hypertextovprepojenie"/>
            <w:rFonts w:ascii="Arial" w:hAnsi="Arial" w:cs="Arial"/>
            <w:i/>
            <w:sz w:val="18"/>
            <w:szCs w:val="18"/>
          </w:rPr>
          <w:t>http://eur-lex.europa.eu/legal-content/SK/TXT/PDF/?uri=CELEX:32011R0263&amp;from=EN</w:t>
        </w:r>
      </w:hyperlink>
    </w:p>
    <w:p w:rsidR="007B7FAB" w:rsidRPr="00E60BC8" w:rsidRDefault="007B7FAB" w:rsidP="00A65DBD">
      <w:pPr>
        <w:pStyle w:val="Textpoznmkypodiarou"/>
        <w:rPr>
          <w:rFonts w:ascii="Arial Narrow" w:hAnsi="Arial Narrow"/>
          <w:i/>
          <w:sz w:val="18"/>
          <w:szCs w:val="18"/>
        </w:rPr>
      </w:pPr>
    </w:p>
    <w:p w:rsidR="007B7FAB" w:rsidRDefault="007B7FAB" w:rsidP="00A65DBD">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706"/>
    <w:multiLevelType w:val="hybridMultilevel"/>
    <w:tmpl w:val="302A068A"/>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0735BD0"/>
    <w:multiLevelType w:val="hybridMultilevel"/>
    <w:tmpl w:val="B37886DA"/>
    <w:lvl w:ilvl="0" w:tplc="95EC06AE">
      <w:start w:val="24"/>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3F0C7F"/>
    <w:multiLevelType w:val="hybridMultilevel"/>
    <w:tmpl w:val="B498C1A0"/>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E8E6785"/>
    <w:multiLevelType w:val="hybridMultilevel"/>
    <w:tmpl w:val="570003FE"/>
    <w:lvl w:ilvl="0" w:tplc="6484746C">
      <w:start w:val="4"/>
      <w:numFmt w:val="bullet"/>
      <w:lvlText w:val="-"/>
      <w:legacy w:legacy="1" w:legacySpace="120" w:legacyIndent="360"/>
      <w:lvlJc w:val="left"/>
      <w:pPr>
        <w:ind w:left="360" w:hanging="360"/>
      </w:pPr>
    </w:lvl>
    <w:lvl w:ilvl="1" w:tplc="041B0003" w:tentative="1">
      <w:start w:val="1"/>
      <w:numFmt w:val="bullet"/>
      <w:lvlText w:val="o"/>
      <w:lvlJc w:val="left"/>
      <w:pPr>
        <w:ind w:left="436" w:hanging="360"/>
      </w:pPr>
      <w:rPr>
        <w:rFonts w:ascii="Courier New" w:hAnsi="Courier New" w:cs="Courier New" w:hint="default"/>
      </w:rPr>
    </w:lvl>
    <w:lvl w:ilvl="2" w:tplc="041B0005" w:tentative="1">
      <w:start w:val="1"/>
      <w:numFmt w:val="bullet"/>
      <w:lvlText w:val=""/>
      <w:lvlJc w:val="left"/>
      <w:pPr>
        <w:ind w:left="1156" w:hanging="360"/>
      </w:pPr>
      <w:rPr>
        <w:rFonts w:ascii="Wingdings" w:hAnsi="Wingdings" w:hint="default"/>
      </w:rPr>
    </w:lvl>
    <w:lvl w:ilvl="3" w:tplc="041B0001" w:tentative="1">
      <w:start w:val="1"/>
      <w:numFmt w:val="bullet"/>
      <w:lvlText w:val=""/>
      <w:lvlJc w:val="left"/>
      <w:pPr>
        <w:ind w:left="1876" w:hanging="360"/>
      </w:pPr>
      <w:rPr>
        <w:rFonts w:ascii="Symbol" w:hAnsi="Symbol" w:hint="default"/>
      </w:rPr>
    </w:lvl>
    <w:lvl w:ilvl="4" w:tplc="041B0003" w:tentative="1">
      <w:start w:val="1"/>
      <w:numFmt w:val="bullet"/>
      <w:lvlText w:val="o"/>
      <w:lvlJc w:val="left"/>
      <w:pPr>
        <w:ind w:left="2596" w:hanging="360"/>
      </w:pPr>
      <w:rPr>
        <w:rFonts w:ascii="Courier New" w:hAnsi="Courier New" w:cs="Courier New" w:hint="default"/>
      </w:rPr>
    </w:lvl>
    <w:lvl w:ilvl="5" w:tplc="041B0005" w:tentative="1">
      <w:start w:val="1"/>
      <w:numFmt w:val="bullet"/>
      <w:lvlText w:val=""/>
      <w:lvlJc w:val="left"/>
      <w:pPr>
        <w:ind w:left="3316" w:hanging="360"/>
      </w:pPr>
      <w:rPr>
        <w:rFonts w:ascii="Wingdings" w:hAnsi="Wingdings" w:hint="default"/>
      </w:rPr>
    </w:lvl>
    <w:lvl w:ilvl="6" w:tplc="041B0001" w:tentative="1">
      <w:start w:val="1"/>
      <w:numFmt w:val="bullet"/>
      <w:lvlText w:val=""/>
      <w:lvlJc w:val="left"/>
      <w:pPr>
        <w:ind w:left="4036" w:hanging="360"/>
      </w:pPr>
      <w:rPr>
        <w:rFonts w:ascii="Symbol" w:hAnsi="Symbol" w:hint="default"/>
      </w:rPr>
    </w:lvl>
    <w:lvl w:ilvl="7" w:tplc="041B0003" w:tentative="1">
      <w:start w:val="1"/>
      <w:numFmt w:val="bullet"/>
      <w:lvlText w:val="o"/>
      <w:lvlJc w:val="left"/>
      <w:pPr>
        <w:ind w:left="4756" w:hanging="360"/>
      </w:pPr>
      <w:rPr>
        <w:rFonts w:ascii="Courier New" w:hAnsi="Courier New" w:cs="Courier New" w:hint="default"/>
      </w:rPr>
    </w:lvl>
    <w:lvl w:ilvl="8" w:tplc="041B0005" w:tentative="1">
      <w:start w:val="1"/>
      <w:numFmt w:val="bullet"/>
      <w:lvlText w:val=""/>
      <w:lvlJc w:val="left"/>
      <w:pPr>
        <w:ind w:left="5476" w:hanging="360"/>
      </w:pPr>
      <w:rPr>
        <w:rFonts w:ascii="Wingdings" w:hAnsi="Wingdings" w:hint="default"/>
      </w:rPr>
    </w:lvl>
  </w:abstractNum>
  <w:abstractNum w:abstractNumId="4" w15:restartNumberingAfterBreak="0">
    <w:nsid w:val="343F213F"/>
    <w:multiLevelType w:val="hybridMultilevel"/>
    <w:tmpl w:val="5A8C2DB4"/>
    <w:lvl w:ilvl="0" w:tplc="95EC06AE">
      <w:start w:val="24"/>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54E2F87"/>
    <w:multiLevelType w:val="hybridMultilevel"/>
    <w:tmpl w:val="312608BC"/>
    <w:lvl w:ilvl="0" w:tplc="95EC06AE">
      <w:start w:val="2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B7B242E"/>
    <w:multiLevelType w:val="hybridMultilevel"/>
    <w:tmpl w:val="5BA8925C"/>
    <w:lvl w:ilvl="0" w:tplc="95EC06AE">
      <w:start w:val="2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F302F1C"/>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625562"/>
    <w:multiLevelType w:val="hybridMultilevel"/>
    <w:tmpl w:val="A760BF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8C2263A"/>
    <w:multiLevelType w:val="hybridMultilevel"/>
    <w:tmpl w:val="7660B1C6"/>
    <w:lvl w:ilvl="0" w:tplc="95EC06AE">
      <w:start w:val="24"/>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
  </w:num>
  <w:num w:numId="4">
    <w:abstractNumId w:val="6"/>
  </w:num>
  <w:num w:numId="5">
    <w:abstractNumId w:val="4"/>
  </w:num>
  <w:num w:numId="6">
    <w:abstractNumId w:val="1"/>
  </w:num>
  <w:num w:numId="7">
    <w:abstractNumId w:val="9"/>
  </w:num>
  <w:num w:numId="8">
    <w:abstractNumId w:val="2"/>
  </w:num>
  <w:num w:numId="9">
    <w:abstractNumId w:val="5"/>
  </w:num>
  <w:num w:numId="10">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_AMO_UniqueIdentifier" w:val="4b0ce872-800a-458a-9845-5175b8c6b4a9"/>
  </w:docVars>
  <w:rsids>
    <w:rsidRoot w:val="002F2FF0"/>
    <w:rsid w:val="000006FE"/>
    <w:rsid w:val="0000070F"/>
    <w:rsid w:val="000008CD"/>
    <w:rsid w:val="00000D8C"/>
    <w:rsid w:val="0000102D"/>
    <w:rsid w:val="00001790"/>
    <w:rsid w:val="000028C3"/>
    <w:rsid w:val="00002BED"/>
    <w:rsid w:val="00002DCD"/>
    <w:rsid w:val="00003CE7"/>
    <w:rsid w:val="00004445"/>
    <w:rsid w:val="00004FD3"/>
    <w:rsid w:val="00005056"/>
    <w:rsid w:val="00005D78"/>
    <w:rsid w:val="000062DA"/>
    <w:rsid w:val="00006CEE"/>
    <w:rsid w:val="00006E47"/>
    <w:rsid w:val="00007BDF"/>
    <w:rsid w:val="0001132A"/>
    <w:rsid w:val="000113A7"/>
    <w:rsid w:val="00011A6E"/>
    <w:rsid w:val="00011B9B"/>
    <w:rsid w:val="00011EA1"/>
    <w:rsid w:val="000126A7"/>
    <w:rsid w:val="000128E8"/>
    <w:rsid w:val="00012DA5"/>
    <w:rsid w:val="00013476"/>
    <w:rsid w:val="00013B62"/>
    <w:rsid w:val="00014FE4"/>
    <w:rsid w:val="00015433"/>
    <w:rsid w:val="0001589F"/>
    <w:rsid w:val="00016CF7"/>
    <w:rsid w:val="00016F1F"/>
    <w:rsid w:val="000200D7"/>
    <w:rsid w:val="000201D2"/>
    <w:rsid w:val="000206A0"/>
    <w:rsid w:val="00020723"/>
    <w:rsid w:val="0002077C"/>
    <w:rsid w:val="000208C8"/>
    <w:rsid w:val="00020906"/>
    <w:rsid w:val="0002090A"/>
    <w:rsid w:val="00020D49"/>
    <w:rsid w:val="00020ECA"/>
    <w:rsid w:val="00021185"/>
    <w:rsid w:val="00021298"/>
    <w:rsid w:val="0002155C"/>
    <w:rsid w:val="00021DC5"/>
    <w:rsid w:val="000224AC"/>
    <w:rsid w:val="00022520"/>
    <w:rsid w:val="000228BC"/>
    <w:rsid w:val="00022BC5"/>
    <w:rsid w:val="000230A0"/>
    <w:rsid w:val="00023A99"/>
    <w:rsid w:val="00024B0E"/>
    <w:rsid w:val="00024B3D"/>
    <w:rsid w:val="00025831"/>
    <w:rsid w:val="00026D50"/>
    <w:rsid w:val="00026E9E"/>
    <w:rsid w:val="00027733"/>
    <w:rsid w:val="000278F7"/>
    <w:rsid w:val="00027B52"/>
    <w:rsid w:val="00030651"/>
    <w:rsid w:val="00031661"/>
    <w:rsid w:val="00031A6E"/>
    <w:rsid w:val="00031DD0"/>
    <w:rsid w:val="00031DD5"/>
    <w:rsid w:val="00031F67"/>
    <w:rsid w:val="000321F1"/>
    <w:rsid w:val="00032D6B"/>
    <w:rsid w:val="00032E00"/>
    <w:rsid w:val="000337B1"/>
    <w:rsid w:val="00033EF6"/>
    <w:rsid w:val="00033F79"/>
    <w:rsid w:val="000341BD"/>
    <w:rsid w:val="0003453D"/>
    <w:rsid w:val="000349D7"/>
    <w:rsid w:val="00035219"/>
    <w:rsid w:val="00035351"/>
    <w:rsid w:val="00035C12"/>
    <w:rsid w:val="0003659F"/>
    <w:rsid w:val="00036ABC"/>
    <w:rsid w:val="00036ED5"/>
    <w:rsid w:val="000378FD"/>
    <w:rsid w:val="00037BAA"/>
    <w:rsid w:val="00037CB1"/>
    <w:rsid w:val="00040099"/>
    <w:rsid w:val="0004072A"/>
    <w:rsid w:val="000408EA"/>
    <w:rsid w:val="00040912"/>
    <w:rsid w:val="000409D6"/>
    <w:rsid w:val="00040AED"/>
    <w:rsid w:val="00040EEF"/>
    <w:rsid w:val="0004138E"/>
    <w:rsid w:val="000414EC"/>
    <w:rsid w:val="000418BE"/>
    <w:rsid w:val="00041B02"/>
    <w:rsid w:val="00041B12"/>
    <w:rsid w:val="00041DFC"/>
    <w:rsid w:val="000421A2"/>
    <w:rsid w:val="00042515"/>
    <w:rsid w:val="000426CE"/>
    <w:rsid w:val="0004317B"/>
    <w:rsid w:val="000433E7"/>
    <w:rsid w:val="0004471A"/>
    <w:rsid w:val="00044B83"/>
    <w:rsid w:val="00045686"/>
    <w:rsid w:val="00045DE3"/>
    <w:rsid w:val="0004770F"/>
    <w:rsid w:val="00047ABA"/>
    <w:rsid w:val="00050688"/>
    <w:rsid w:val="00050B99"/>
    <w:rsid w:val="00051F02"/>
    <w:rsid w:val="0005285E"/>
    <w:rsid w:val="00052A72"/>
    <w:rsid w:val="000532F0"/>
    <w:rsid w:val="00053904"/>
    <w:rsid w:val="00053A0B"/>
    <w:rsid w:val="00053AA0"/>
    <w:rsid w:val="00053B6F"/>
    <w:rsid w:val="000542FC"/>
    <w:rsid w:val="00055845"/>
    <w:rsid w:val="000559EF"/>
    <w:rsid w:val="000562F8"/>
    <w:rsid w:val="0005687A"/>
    <w:rsid w:val="00056A45"/>
    <w:rsid w:val="00056D63"/>
    <w:rsid w:val="0005701E"/>
    <w:rsid w:val="000575B4"/>
    <w:rsid w:val="000577EC"/>
    <w:rsid w:val="0006048C"/>
    <w:rsid w:val="0006054C"/>
    <w:rsid w:val="00060AD1"/>
    <w:rsid w:val="00060DA6"/>
    <w:rsid w:val="000610D6"/>
    <w:rsid w:val="000610D7"/>
    <w:rsid w:val="00061297"/>
    <w:rsid w:val="00061A5E"/>
    <w:rsid w:val="00061B07"/>
    <w:rsid w:val="00061E12"/>
    <w:rsid w:val="0006324A"/>
    <w:rsid w:val="00063717"/>
    <w:rsid w:val="00063CD7"/>
    <w:rsid w:val="00063D6C"/>
    <w:rsid w:val="00064644"/>
    <w:rsid w:val="0006498A"/>
    <w:rsid w:val="00064BDB"/>
    <w:rsid w:val="00064D3E"/>
    <w:rsid w:val="00065ED5"/>
    <w:rsid w:val="000664A3"/>
    <w:rsid w:val="000664B2"/>
    <w:rsid w:val="00066500"/>
    <w:rsid w:val="000666AA"/>
    <w:rsid w:val="00066868"/>
    <w:rsid w:val="0006696C"/>
    <w:rsid w:val="00066A29"/>
    <w:rsid w:val="00066AA3"/>
    <w:rsid w:val="00067843"/>
    <w:rsid w:val="0006796B"/>
    <w:rsid w:val="0006797F"/>
    <w:rsid w:val="00067E80"/>
    <w:rsid w:val="00070CB0"/>
    <w:rsid w:val="000716AE"/>
    <w:rsid w:val="0007170F"/>
    <w:rsid w:val="000718FB"/>
    <w:rsid w:val="00071FF8"/>
    <w:rsid w:val="00072472"/>
    <w:rsid w:val="0007278E"/>
    <w:rsid w:val="0007279B"/>
    <w:rsid w:val="000727F0"/>
    <w:rsid w:val="00072A1F"/>
    <w:rsid w:val="00072B69"/>
    <w:rsid w:val="0007304B"/>
    <w:rsid w:val="0007308B"/>
    <w:rsid w:val="00074552"/>
    <w:rsid w:val="000751E6"/>
    <w:rsid w:val="0007591C"/>
    <w:rsid w:val="00075C75"/>
    <w:rsid w:val="00076003"/>
    <w:rsid w:val="00076763"/>
    <w:rsid w:val="0007736E"/>
    <w:rsid w:val="0007752A"/>
    <w:rsid w:val="00077837"/>
    <w:rsid w:val="00077A6F"/>
    <w:rsid w:val="0008013C"/>
    <w:rsid w:val="0008053D"/>
    <w:rsid w:val="000807BC"/>
    <w:rsid w:val="00080BA8"/>
    <w:rsid w:val="00080DBB"/>
    <w:rsid w:val="00080EBC"/>
    <w:rsid w:val="00081311"/>
    <w:rsid w:val="0008133A"/>
    <w:rsid w:val="0008164F"/>
    <w:rsid w:val="000823A3"/>
    <w:rsid w:val="000823CC"/>
    <w:rsid w:val="00082B26"/>
    <w:rsid w:val="00082FC5"/>
    <w:rsid w:val="0008313D"/>
    <w:rsid w:val="00083646"/>
    <w:rsid w:val="00083C1D"/>
    <w:rsid w:val="00083E19"/>
    <w:rsid w:val="00083F0F"/>
    <w:rsid w:val="000848F1"/>
    <w:rsid w:val="00084B63"/>
    <w:rsid w:val="00084C0F"/>
    <w:rsid w:val="00084EB6"/>
    <w:rsid w:val="00085004"/>
    <w:rsid w:val="0008517A"/>
    <w:rsid w:val="00086354"/>
    <w:rsid w:val="00086516"/>
    <w:rsid w:val="000868E4"/>
    <w:rsid w:val="000874D1"/>
    <w:rsid w:val="00087620"/>
    <w:rsid w:val="00087BBF"/>
    <w:rsid w:val="00087CF1"/>
    <w:rsid w:val="00087CF6"/>
    <w:rsid w:val="00090225"/>
    <w:rsid w:val="0009075B"/>
    <w:rsid w:val="00091907"/>
    <w:rsid w:val="000919D0"/>
    <w:rsid w:val="000921EC"/>
    <w:rsid w:val="000925CD"/>
    <w:rsid w:val="000931F1"/>
    <w:rsid w:val="00093908"/>
    <w:rsid w:val="00093A81"/>
    <w:rsid w:val="00093CDC"/>
    <w:rsid w:val="000949E3"/>
    <w:rsid w:val="00094B75"/>
    <w:rsid w:val="00094D2F"/>
    <w:rsid w:val="00095237"/>
    <w:rsid w:val="00095D4E"/>
    <w:rsid w:val="00097665"/>
    <w:rsid w:val="00097B91"/>
    <w:rsid w:val="00097CB2"/>
    <w:rsid w:val="00097EE1"/>
    <w:rsid w:val="000A000D"/>
    <w:rsid w:val="000A03DA"/>
    <w:rsid w:val="000A0B8E"/>
    <w:rsid w:val="000A18C3"/>
    <w:rsid w:val="000A2341"/>
    <w:rsid w:val="000A2605"/>
    <w:rsid w:val="000A2DB1"/>
    <w:rsid w:val="000A3637"/>
    <w:rsid w:val="000A36E9"/>
    <w:rsid w:val="000A3733"/>
    <w:rsid w:val="000A380A"/>
    <w:rsid w:val="000A41FA"/>
    <w:rsid w:val="000A4430"/>
    <w:rsid w:val="000A4A56"/>
    <w:rsid w:val="000A4C18"/>
    <w:rsid w:val="000A5226"/>
    <w:rsid w:val="000A5396"/>
    <w:rsid w:val="000A6613"/>
    <w:rsid w:val="000A73A3"/>
    <w:rsid w:val="000B0900"/>
    <w:rsid w:val="000B0D1F"/>
    <w:rsid w:val="000B0DF9"/>
    <w:rsid w:val="000B16F9"/>
    <w:rsid w:val="000B2BCC"/>
    <w:rsid w:val="000B2BE9"/>
    <w:rsid w:val="000B3092"/>
    <w:rsid w:val="000B3369"/>
    <w:rsid w:val="000B33CA"/>
    <w:rsid w:val="000B34E1"/>
    <w:rsid w:val="000B38F2"/>
    <w:rsid w:val="000B39D9"/>
    <w:rsid w:val="000B3B28"/>
    <w:rsid w:val="000B3B2E"/>
    <w:rsid w:val="000B3B41"/>
    <w:rsid w:val="000B4030"/>
    <w:rsid w:val="000B45AC"/>
    <w:rsid w:val="000B4797"/>
    <w:rsid w:val="000B4816"/>
    <w:rsid w:val="000B4CD2"/>
    <w:rsid w:val="000B503D"/>
    <w:rsid w:val="000B52BE"/>
    <w:rsid w:val="000B5DCE"/>
    <w:rsid w:val="000B61C5"/>
    <w:rsid w:val="000B62C4"/>
    <w:rsid w:val="000B62DC"/>
    <w:rsid w:val="000B6AA3"/>
    <w:rsid w:val="000B7443"/>
    <w:rsid w:val="000B76D6"/>
    <w:rsid w:val="000C04D7"/>
    <w:rsid w:val="000C0821"/>
    <w:rsid w:val="000C0CB1"/>
    <w:rsid w:val="000C0D54"/>
    <w:rsid w:val="000C0FAE"/>
    <w:rsid w:val="000C108C"/>
    <w:rsid w:val="000C11B2"/>
    <w:rsid w:val="000C1EAA"/>
    <w:rsid w:val="000C210F"/>
    <w:rsid w:val="000C21F1"/>
    <w:rsid w:val="000C2DAF"/>
    <w:rsid w:val="000C3C19"/>
    <w:rsid w:val="000C3E4C"/>
    <w:rsid w:val="000C5D18"/>
    <w:rsid w:val="000C5F83"/>
    <w:rsid w:val="000C6216"/>
    <w:rsid w:val="000C64B9"/>
    <w:rsid w:val="000C64CD"/>
    <w:rsid w:val="000C64D3"/>
    <w:rsid w:val="000C6873"/>
    <w:rsid w:val="000C7C79"/>
    <w:rsid w:val="000C7EE5"/>
    <w:rsid w:val="000D0051"/>
    <w:rsid w:val="000D0315"/>
    <w:rsid w:val="000D0529"/>
    <w:rsid w:val="000D05D9"/>
    <w:rsid w:val="000D0652"/>
    <w:rsid w:val="000D0B22"/>
    <w:rsid w:val="000D1075"/>
    <w:rsid w:val="000D14B1"/>
    <w:rsid w:val="000D14B8"/>
    <w:rsid w:val="000D18F6"/>
    <w:rsid w:val="000D1AD6"/>
    <w:rsid w:val="000D1CE2"/>
    <w:rsid w:val="000D1E85"/>
    <w:rsid w:val="000D2050"/>
    <w:rsid w:val="000D23A4"/>
    <w:rsid w:val="000D2CC8"/>
    <w:rsid w:val="000D38CF"/>
    <w:rsid w:val="000D3CA8"/>
    <w:rsid w:val="000D3DCF"/>
    <w:rsid w:val="000D4005"/>
    <w:rsid w:val="000D4260"/>
    <w:rsid w:val="000D4343"/>
    <w:rsid w:val="000D4C6A"/>
    <w:rsid w:val="000D4F22"/>
    <w:rsid w:val="000D53AE"/>
    <w:rsid w:val="000D5535"/>
    <w:rsid w:val="000D6DCA"/>
    <w:rsid w:val="000D6F2F"/>
    <w:rsid w:val="000D7107"/>
    <w:rsid w:val="000D74B4"/>
    <w:rsid w:val="000D7588"/>
    <w:rsid w:val="000D775D"/>
    <w:rsid w:val="000D7947"/>
    <w:rsid w:val="000D7C4D"/>
    <w:rsid w:val="000D7E21"/>
    <w:rsid w:val="000E0B97"/>
    <w:rsid w:val="000E10C2"/>
    <w:rsid w:val="000E1183"/>
    <w:rsid w:val="000E1209"/>
    <w:rsid w:val="000E1F50"/>
    <w:rsid w:val="000E225F"/>
    <w:rsid w:val="000E284D"/>
    <w:rsid w:val="000E303B"/>
    <w:rsid w:val="000E375A"/>
    <w:rsid w:val="000E4678"/>
    <w:rsid w:val="000E49A1"/>
    <w:rsid w:val="000E49C8"/>
    <w:rsid w:val="000E4BB6"/>
    <w:rsid w:val="000E4EBA"/>
    <w:rsid w:val="000E5C64"/>
    <w:rsid w:val="000E6230"/>
    <w:rsid w:val="000E674B"/>
    <w:rsid w:val="000E68E5"/>
    <w:rsid w:val="000E6DDA"/>
    <w:rsid w:val="000E6F57"/>
    <w:rsid w:val="000E75A8"/>
    <w:rsid w:val="000E7EAD"/>
    <w:rsid w:val="000E7FA5"/>
    <w:rsid w:val="000F029C"/>
    <w:rsid w:val="000F02AB"/>
    <w:rsid w:val="000F0321"/>
    <w:rsid w:val="000F13C6"/>
    <w:rsid w:val="000F1CE0"/>
    <w:rsid w:val="000F1E81"/>
    <w:rsid w:val="000F2576"/>
    <w:rsid w:val="000F263A"/>
    <w:rsid w:val="000F2AF6"/>
    <w:rsid w:val="000F2D2B"/>
    <w:rsid w:val="000F363B"/>
    <w:rsid w:val="000F3A1C"/>
    <w:rsid w:val="000F3E85"/>
    <w:rsid w:val="000F3EF3"/>
    <w:rsid w:val="000F3F12"/>
    <w:rsid w:val="000F4C7C"/>
    <w:rsid w:val="000F4ECA"/>
    <w:rsid w:val="000F513B"/>
    <w:rsid w:val="000F57EC"/>
    <w:rsid w:val="000F5968"/>
    <w:rsid w:val="000F5C60"/>
    <w:rsid w:val="000F605E"/>
    <w:rsid w:val="000F62F9"/>
    <w:rsid w:val="000F6581"/>
    <w:rsid w:val="000F680E"/>
    <w:rsid w:val="000F69CD"/>
    <w:rsid w:val="000F6FD8"/>
    <w:rsid w:val="000F74EC"/>
    <w:rsid w:val="000F7A5E"/>
    <w:rsid w:val="000F7B42"/>
    <w:rsid w:val="001002D3"/>
    <w:rsid w:val="00100B2E"/>
    <w:rsid w:val="00100C01"/>
    <w:rsid w:val="00100C7B"/>
    <w:rsid w:val="0010160B"/>
    <w:rsid w:val="00101A01"/>
    <w:rsid w:val="00101AF5"/>
    <w:rsid w:val="00101B5C"/>
    <w:rsid w:val="00101C8A"/>
    <w:rsid w:val="00101C9B"/>
    <w:rsid w:val="001024C2"/>
    <w:rsid w:val="0010260D"/>
    <w:rsid w:val="0010350C"/>
    <w:rsid w:val="00103634"/>
    <w:rsid w:val="00103FAD"/>
    <w:rsid w:val="0010407F"/>
    <w:rsid w:val="001046D0"/>
    <w:rsid w:val="00104C6B"/>
    <w:rsid w:val="00104EC2"/>
    <w:rsid w:val="00104FD5"/>
    <w:rsid w:val="00104FF6"/>
    <w:rsid w:val="0010505F"/>
    <w:rsid w:val="001053E5"/>
    <w:rsid w:val="00105608"/>
    <w:rsid w:val="0010580A"/>
    <w:rsid w:val="00105948"/>
    <w:rsid w:val="00105A99"/>
    <w:rsid w:val="00105D60"/>
    <w:rsid w:val="0010666C"/>
    <w:rsid w:val="00106F81"/>
    <w:rsid w:val="001075FA"/>
    <w:rsid w:val="001076EF"/>
    <w:rsid w:val="00107F61"/>
    <w:rsid w:val="001104E1"/>
    <w:rsid w:val="00110831"/>
    <w:rsid w:val="00110D7B"/>
    <w:rsid w:val="00111117"/>
    <w:rsid w:val="0011135D"/>
    <w:rsid w:val="001113DE"/>
    <w:rsid w:val="0011145A"/>
    <w:rsid w:val="00111D6E"/>
    <w:rsid w:val="001128B8"/>
    <w:rsid w:val="00113682"/>
    <w:rsid w:val="001137A6"/>
    <w:rsid w:val="00113ED6"/>
    <w:rsid w:val="00113FD7"/>
    <w:rsid w:val="00114276"/>
    <w:rsid w:val="00116327"/>
    <w:rsid w:val="00116468"/>
    <w:rsid w:val="001168FD"/>
    <w:rsid w:val="00116BE5"/>
    <w:rsid w:val="00116EFF"/>
    <w:rsid w:val="00116F43"/>
    <w:rsid w:val="00117819"/>
    <w:rsid w:val="00117CC9"/>
    <w:rsid w:val="0012036A"/>
    <w:rsid w:val="00120429"/>
    <w:rsid w:val="001205A5"/>
    <w:rsid w:val="001207D4"/>
    <w:rsid w:val="00120AAA"/>
    <w:rsid w:val="00120B69"/>
    <w:rsid w:val="00120CCE"/>
    <w:rsid w:val="0012116C"/>
    <w:rsid w:val="00121556"/>
    <w:rsid w:val="00121607"/>
    <w:rsid w:val="0012227D"/>
    <w:rsid w:val="0012247D"/>
    <w:rsid w:val="0012256C"/>
    <w:rsid w:val="00123332"/>
    <w:rsid w:val="001239F1"/>
    <w:rsid w:val="00123AB8"/>
    <w:rsid w:val="00123EFF"/>
    <w:rsid w:val="00123FCA"/>
    <w:rsid w:val="00125316"/>
    <w:rsid w:val="0012560C"/>
    <w:rsid w:val="0012565C"/>
    <w:rsid w:val="00125834"/>
    <w:rsid w:val="001258EA"/>
    <w:rsid w:val="00125A85"/>
    <w:rsid w:val="001263AC"/>
    <w:rsid w:val="00126C1D"/>
    <w:rsid w:val="00126E4B"/>
    <w:rsid w:val="00126EA6"/>
    <w:rsid w:val="0012719C"/>
    <w:rsid w:val="001272BB"/>
    <w:rsid w:val="00127A0B"/>
    <w:rsid w:val="00130057"/>
    <w:rsid w:val="001304F2"/>
    <w:rsid w:val="00130B10"/>
    <w:rsid w:val="00130B70"/>
    <w:rsid w:val="00131E2A"/>
    <w:rsid w:val="00131FEE"/>
    <w:rsid w:val="001322D0"/>
    <w:rsid w:val="001327FF"/>
    <w:rsid w:val="00132B16"/>
    <w:rsid w:val="00133017"/>
    <w:rsid w:val="0013371E"/>
    <w:rsid w:val="00133A2B"/>
    <w:rsid w:val="00134628"/>
    <w:rsid w:val="00134B7C"/>
    <w:rsid w:val="00134FB3"/>
    <w:rsid w:val="00135380"/>
    <w:rsid w:val="00135907"/>
    <w:rsid w:val="00135C6B"/>
    <w:rsid w:val="00136618"/>
    <w:rsid w:val="00136B65"/>
    <w:rsid w:val="00136D1D"/>
    <w:rsid w:val="00137171"/>
    <w:rsid w:val="001374BB"/>
    <w:rsid w:val="001376AE"/>
    <w:rsid w:val="00137ADE"/>
    <w:rsid w:val="00140678"/>
    <w:rsid w:val="00140DB2"/>
    <w:rsid w:val="00140E96"/>
    <w:rsid w:val="00141F2A"/>
    <w:rsid w:val="00142227"/>
    <w:rsid w:val="00142854"/>
    <w:rsid w:val="00142D42"/>
    <w:rsid w:val="00143159"/>
    <w:rsid w:val="00143528"/>
    <w:rsid w:val="00144278"/>
    <w:rsid w:val="0014430D"/>
    <w:rsid w:val="00144D15"/>
    <w:rsid w:val="0014595C"/>
    <w:rsid w:val="00146435"/>
    <w:rsid w:val="00146F00"/>
    <w:rsid w:val="001473EE"/>
    <w:rsid w:val="00147A76"/>
    <w:rsid w:val="00150164"/>
    <w:rsid w:val="001504E1"/>
    <w:rsid w:val="00150524"/>
    <w:rsid w:val="001512CD"/>
    <w:rsid w:val="00151725"/>
    <w:rsid w:val="00151F52"/>
    <w:rsid w:val="00151FFD"/>
    <w:rsid w:val="001521A0"/>
    <w:rsid w:val="00152746"/>
    <w:rsid w:val="00152A39"/>
    <w:rsid w:val="00152BC2"/>
    <w:rsid w:val="00152DA1"/>
    <w:rsid w:val="001532A2"/>
    <w:rsid w:val="00153AAC"/>
    <w:rsid w:val="00153EAC"/>
    <w:rsid w:val="001541FB"/>
    <w:rsid w:val="00154A04"/>
    <w:rsid w:val="00154ED1"/>
    <w:rsid w:val="00154F52"/>
    <w:rsid w:val="00155019"/>
    <w:rsid w:val="00155F70"/>
    <w:rsid w:val="001562BB"/>
    <w:rsid w:val="001568D5"/>
    <w:rsid w:val="00156D03"/>
    <w:rsid w:val="001575CB"/>
    <w:rsid w:val="00157EDA"/>
    <w:rsid w:val="0016033A"/>
    <w:rsid w:val="001611DA"/>
    <w:rsid w:val="00161365"/>
    <w:rsid w:val="001618D3"/>
    <w:rsid w:val="00162355"/>
    <w:rsid w:val="001637CC"/>
    <w:rsid w:val="0016380F"/>
    <w:rsid w:val="0016393B"/>
    <w:rsid w:val="00163A82"/>
    <w:rsid w:val="00163E3A"/>
    <w:rsid w:val="00163F6E"/>
    <w:rsid w:val="0016513C"/>
    <w:rsid w:val="0016539D"/>
    <w:rsid w:val="00165973"/>
    <w:rsid w:val="00166579"/>
    <w:rsid w:val="0016698A"/>
    <w:rsid w:val="001677FE"/>
    <w:rsid w:val="00167A6C"/>
    <w:rsid w:val="0017058B"/>
    <w:rsid w:val="001706F9"/>
    <w:rsid w:val="001707C5"/>
    <w:rsid w:val="00170C3C"/>
    <w:rsid w:val="00170E57"/>
    <w:rsid w:val="00170F50"/>
    <w:rsid w:val="001714CC"/>
    <w:rsid w:val="00171634"/>
    <w:rsid w:val="00171662"/>
    <w:rsid w:val="001719C4"/>
    <w:rsid w:val="00171AE9"/>
    <w:rsid w:val="00171F3B"/>
    <w:rsid w:val="00172E46"/>
    <w:rsid w:val="00173583"/>
    <w:rsid w:val="00174588"/>
    <w:rsid w:val="001757D2"/>
    <w:rsid w:val="00175ADE"/>
    <w:rsid w:val="00175F38"/>
    <w:rsid w:val="0017600E"/>
    <w:rsid w:val="00176547"/>
    <w:rsid w:val="0017693A"/>
    <w:rsid w:val="0017727B"/>
    <w:rsid w:val="0017730C"/>
    <w:rsid w:val="001777C2"/>
    <w:rsid w:val="00177A83"/>
    <w:rsid w:val="00177D43"/>
    <w:rsid w:val="001801F9"/>
    <w:rsid w:val="00180281"/>
    <w:rsid w:val="0018034F"/>
    <w:rsid w:val="00180600"/>
    <w:rsid w:val="00180AA2"/>
    <w:rsid w:val="00181730"/>
    <w:rsid w:val="00182977"/>
    <w:rsid w:val="00182DBB"/>
    <w:rsid w:val="00183017"/>
    <w:rsid w:val="00183419"/>
    <w:rsid w:val="00183619"/>
    <w:rsid w:val="00183789"/>
    <w:rsid w:val="00184013"/>
    <w:rsid w:val="0018481E"/>
    <w:rsid w:val="00184D5D"/>
    <w:rsid w:val="00185731"/>
    <w:rsid w:val="00185A1D"/>
    <w:rsid w:val="00186902"/>
    <w:rsid w:val="001869F5"/>
    <w:rsid w:val="00186EB2"/>
    <w:rsid w:val="00186FA2"/>
    <w:rsid w:val="001871C0"/>
    <w:rsid w:val="0018750D"/>
    <w:rsid w:val="00190142"/>
    <w:rsid w:val="00190167"/>
    <w:rsid w:val="0019018F"/>
    <w:rsid w:val="0019055C"/>
    <w:rsid w:val="00190949"/>
    <w:rsid w:val="00191622"/>
    <w:rsid w:val="00191A36"/>
    <w:rsid w:val="00191AF7"/>
    <w:rsid w:val="00191C0D"/>
    <w:rsid w:val="00191C7A"/>
    <w:rsid w:val="00191D13"/>
    <w:rsid w:val="00192BE6"/>
    <w:rsid w:val="00193243"/>
    <w:rsid w:val="001934BF"/>
    <w:rsid w:val="001934EE"/>
    <w:rsid w:val="00193998"/>
    <w:rsid w:val="00194757"/>
    <w:rsid w:val="00194B6E"/>
    <w:rsid w:val="001953E8"/>
    <w:rsid w:val="001959B0"/>
    <w:rsid w:val="00195A38"/>
    <w:rsid w:val="00196347"/>
    <w:rsid w:val="001969D5"/>
    <w:rsid w:val="00196AF7"/>
    <w:rsid w:val="00196DBA"/>
    <w:rsid w:val="0019733E"/>
    <w:rsid w:val="0019761F"/>
    <w:rsid w:val="001978BC"/>
    <w:rsid w:val="001A02D2"/>
    <w:rsid w:val="001A0568"/>
    <w:rsid w:val="001A064A"/>
    <w:rsid w:val="001A0B08"/>
    <w:rsid w:val="001A0C95"/>
    <w:rsid w:val="001A1B50"/>
    <w:rsid w:val="001A24AB"/>
    <w:rsid w:val="001A2E0B"/>
    <w:rsid w:val="001A2E3F"/>
    <w:rsid w:val="001A32DB"/>
    <w:rsid w:val="001A351F"/>
    <w:rsid w:val="001A36C6"/>
    <w:rsid w:val="001A36F6"/>
    <w:rsid w:val="001A3A7C"/>
    <w:rsid w:val="001A51B5"/>
    <w:rsid w:val="001A5339"/>
    <w:rsid w:val="001A5423"/>
    <w:rsid w:val="001A55A4"/>
    <w:rsid w:val="001A5769"/>
    <w:rsid w:val="001A5857"/>
    <w:rsid w:val="001A5B0F"/>
    <w:rsid w:val="001A5BDF"/>
    <w:rsid w:val="001A6692"/>
    <w:rsid w:val="001A6C44"/>
    <w:rsid w:val="001A7059"/>
    <w:rsid w:val="001A74DA"/>
    <w:rsid w:val="001A781A"/>
    <w:rsid w:val="001A782E"/>
    <w:rsid w:val="001A78C8"/>
    <w:rsid w:val="001B016E"/>
    <w:rsid w:val="001B0666"/>
    <w:rsid w:val="001B081E"/>
    <w:rsid w:val="001B093B"/>
    <w:rsid w:val="001B0DDB"/>
    <w:rsid w:val="001B23C4"/>
    <w:rsid w:val="001B2B60"/>
    <w:rsid w:val="001B427A"/>
    <w:rsid w:val="001B439D"/>
    <w:rsid w:val="001B44F4"/>
    <w:rsid w:val="001B4B0C"/>
    <w:rsid w:val="001B4B5C"/>
    <w:rsid w:val="001B5056"/>
    <w:rsid w:val="001B5343"/>
    <w:rsid w:val="001B5751"/>
    <w:rsid w:val="001B57CC"/>
    <w:rsid w:val="001B5E07"/>
    <w:rsid w:val="001B61AC"/>
    <w:rsid w:val="001B663A"/>
    <w:rsid w:val="001B6E4A"/>
    <w:rsid w:val="001B714F"/>
    <w:rsid w:val="001B75E5"/>
    <w:rsid w:val="001B76BD"/>
    <w:rsid w:val="001B7767"/>
    <w:rsid w:val="001B77AC"/>
    <w:rsid w:val="001B798E"/>
    <w:rsid w:val="001C01E4"/>
    <w:rsid w:val="001C04D5"/>
    <w:rsid w:val="001C04F5"/>
    <w:rsid w:val="001C0AA4"/>
    <w:rsid w:val="001C0DC9"/>
    <w:rsid w:val="001C144B"/>
    <w:rsid w:val="001C1B64"/>
    <w:rsid w:val="001C1E81"/>
    <w:rsid w:val="001C1F6C"/>
    <w:rsid w:val="001C216F"/>
    <w:rsid w:val="001C255F"/>
    <w:rsid w:val="001C29D6"/>
    <w:rsid w:val="001C347C"/>
    <w:rsid w:val="001C4013"/>
    <w:rsid w:val="001C407B"/>
    <w:rsid w:val="001C40D4"/>
    <w:rsid w:val="001C46C9"/>
    <w:rsid w:val="001C47EC"/>
    <w:rsid w:val="001C4CB5"/>
    <w:rsid w:val="001C51BD"/>
    <w:rsid w:val="001C5D5B"/>
    <w:rsid w:val="001C6A07"/>
    <w:rsid w:val="001C6C84"/>
    <w:rsid w:val="001C77C9"/>
    <w:rsid w:val="001C7C58"/>
    <w:rsid w:val="001C7E7F"/>
    <w:rsid w:val="001C7EF7"/>
    <w:rsid w:val="001C7FD4"/>
    <w:rsid w:val="001D07CC"/>
    <w:rsid w:val="001D0A4B"/>
    <w:rsid w:val="001D0C6F"/>
    <w:rsid w:val="001D0DFD"/>
    <w:rsid w:val="001D0F24"/>
    <w:rsid w:val="001D113B"/>
    <w:rsid w:val="001D1524"/>
    <w:rsid w:val="001D1982"/>
    <w:rsid w:val="001D19E8"/>
    <w:rsid w:val="001D22BE"/>
    <w:rsid w:val="001D2328"/>
    <w:rsid w:val="001D2ABB"/>
    <w:rsid w:val="001D2C0D"/>
    <w:rsid w:val="001D2D8A"/>
    <w:rsid w:val="001D3846"/>
    <w:rsid w:val="001D3B63"/>
    <w:rsid w:val="001D41F7"/>
    <w:rsid w:val="001D5B34"/>
    <w:rsid w:val="001D6921"/>
    <w:rsid w:val="001D6D18"/>
    <w:rsid w:val="001D726C"/>
    <w:rsid w:val="001D744E"/>
    <w:rsid w:val="001D7783"/>
    <w:rsid w:val="001D7A76"/>
    <w:rsid w:val="001D7E67"/>
    <w:rsid w:val="001E080E"/>
    <w:rsid w:val="001E0E87"/>
    <w:rsid w:val="001E0FC9"/>
    <w:rsid w:val="001E10DF"/>
    <w:rsid w:val="001E158A"/>
    <w:rsid w:val="001E1774"/>
    <w:rsid w:val="001E1FD3"/>
    <w:rsid w:val="001E2759"/>
    <w:rsid w:val="001E299D"/>
    <w:rsid w:val="001E3EEF"/>
    <w:rsid w:val="001E44EE"/>
    <w:rsid w:val="001E4D96"/>
    <w:rsid w:val="001E4FA9"/>
    <w:rsid w:val="001E59A4"/>
    <w:rsid w:val="001E5F33"/>
    <w:rsid w:val="001E6055"/>
    <w:rsid w:val="001E68AC"/>
    <w:rsid w:val="001E7079"/>
    <w:rsid w:val="001F06FA"/>
    <w:rsid w:val="001F0924"/>
    <w:rsid w:val="001F10D5"/>
    <w:rsid w:val="001F10FF"/>
    <w:rsid w:val="001F13B6"/>
    <w:rsid w:val="001F17FE"/>
    <w:rsid w:val="001F1ADD"/>
    <w:rsid w:val="001F1DD6"/>
    <w:rsid w:val="001F1F8A"/>
    <w:rsid w:val="001F2552"/>
    <w:rsid w:val="001F291E"/>
    <w:rsid w:val="001F3325"/>
    <w:rsid w:val="001F354B"/>
    <w:rsid w:val="001F43E9"/>
    <w:rsid w:val="001F4EC3"/>
    <w:rsid w:val="001F555A"/>
    <w:rsid w:val="001F592D"/>
    <w:rsid w:val="001F6520"/>
    <w:rsid w:val="001F6807"/>
    <w:rsid w:val="001F6877"/>
    <w:rsid w:val="001F76F0"/>
    <w:rsid w:val="002004B4"/>
    <w:rsid w:val="00200A50"/>
    <w:rsid w:val="00200EEA"/>
    <w:rsid w:val="002019CE"/>
    <w:rsid w:val="00201F16"/>
    <w:rsid w:val="00202673"/>
    <w:rsid w:val="00202E10"/>
    <w:rsid w:val="0020343B"/>
    <w:rsid w:val="0020351B"/>
    <w:rsid w:val="00203AB6"/>
    <w:rsid w:val="00203D38"/>
    <w:rsid w:val="002040FE"/>
    <w:rsid w:val="0020510C"/>
    <w:rsid w:val="0020541A"/>
    <w:rsid w:val="00205939"/>
    <w:rsid w:val="00205B41"/>
    <w:rsid w:val="002063E0"/>
    <w:rsid w:val="002068AD"/>
    <w:rsid w:val="002069CD"/>
    <w:rsid w:val="00206A1E"/>
    <w:rsid w:val="00206EC1"/>
    <w:rsid w:val="00206ED6"/>
    <w:rsid w:val="00207038"/>
    <w:rsid w:val="002078EF"/>
    <w:rsid w:val="00207ACD"/>
    <w:rsid w:val="00207FB7"/>
    <w:rsid w:val="002101FD"/>
    <w:rsid w:val="002103DA"/>
    <w:rsid w:val="00210478"/>
    <w:rsid w:val="00210759"/>
    <w:rsid w:val="00210926"/>
    <w:rsid w:val="00210CA3"/>
    <w:rsid w:val="0021103C"/>
    <w:rsid w:val="00211546"/>
    <w:rsid w:val="00212695"/>
    <w:rsid w:val="0021297C"/>
    <w:rsid w:val="002129AA"/>
    <w:rsid w:val="00212EA0"/>
    <w:rsid w:val="00212F66"/>
    <w:rsid w:val="002134F0"/>
    <w:rsid w:val="0021415C"/>
    <w:rsid w:val="002141A0"/>
    <w:rsid w:val="00214325"/>
    <w:rsid w:val="00214756"/>
    <w:rsid w:val="002147B2"/>
    <w:rsid w:val="00215255"/>
    <w:rsid w:val="00215C38"/>
    <w:rsid w:val="00215F56"/>
    <w:rsid w:val="002162D6"/>
    <w:rsid w:val="00216341"/>
    <w:rsid w:val="00216542"/>
    <w:rsid w:val="00217529"/>
    <w:rsid w:val="00217695"/>
    <w:rsid w:val="00217988"/>
    <w:rsid w:val="00217A50"/>
    <w:rsid w:val="00217FBF"/>
    <w:rsid w:val="00220E93"/>
    <w:rsid w:val="0022131C"/>
    <w:rsid w:val="00221353"/>
    <w:rsid w:val="00221E7B"/>
    <w:rsid w:val="00221ECF"/>
    <w:rsid w:val="0022259A"/>
    <w:rsid w:val="002227B1"/>
    <w:rsid w:val="00222823"/>
    <w:rsid w:val="002231A4"/>
    <w:rsid w:val="002237A0"/>
    <w:rsid w:val="0022393A"/>
    <w:rsid w:val="00223BA8"/>
    <w:rsid w:val="00223DAC"/>
    <w:rsid w:val="00224AEA"/>
    <w:rsid w:val="00224B4E"/>
    <w:rsid w:val="002251BB"/>
    <w:rsid w:val="00225F83"/>
    <w:rsid w:val="0022601A"/>
    <w:rsid w:val="00226854"/>
    <w:rsid w:val="00226DC5"/>
    <w:rsid w:val="00227496"/>
    <w:rsid w:val="002278ED"/>
    <w:rsid w:val="0023090C"/>
    <w:rsid w:val="00231155"/>
    <w:rsid w:val="002314D2"/>
    <w:rsid w:val="00231AA0"/>
    <w:rsid w:val="0023204A"/>
    <w:rsid w:val="002323DF"/>
    <w:rsid w:val="0023264E"/>
    <w:rsid w:val="00232CD9"/>
    <w:rsid w:val="00232FC2"/>
    <w:rsid w:val="00234493"/>
    <w:rsid w:val="00234737"/>
    <w:rsid w:val="002347D2"/>
    <w:rsid w:val="002347E4"/>
    <w:rsid w:val="0023538D"/>
    <w:rsid w:val="00235C30"/>
    <w:rsid w:val="00235DFC"/>
    <w:rsid w:val="00236287"/>
    <w:rsid w:val="0023694F"/>
    <w:rsid w:val="00236C9F"/>
    <w:rsid w:val="00236E0E"/>
    <w:rsid w:val="002370F2"/>
    <w:rsid w:val="00240206"/>
    <w:rsid w:val="0024044B"/>
    <w:rsid w:val="002408C1"/>
    <w:rsid w:val="00240B18"/>
    <w:rsid w:val="00241229"/>
    <w:rsid w:val="00241464"/>
    <w:rsid w:val="00241A27"/>
    <w:rsid w:val="00241B0A"/>
    <w:rsid w:val="00241BA1"/>
    <w:rsid w:val="00241E31"/>
    <w:rsid w:val="0024263E"/>
    <w:rsid w:val="00242F54"/>
    <w:rsid w:val="002430C9"/>
    <w:rsid w:val="00243664"/>
    <w:rsid w:val="00243C31"/>
    <w:rsid w:val="00243C35"/>
    <w:rsid w:val="00243E7E"/>
    <w:rsid w:val="00243ED5"/>
    <w:rsid w:val="00244410"/>
    <w:rsid w:val="00244694"/>
    <w:rsid w:val="00244947"/>
    <w:rsid w:val="00244EEA"/>
    <w:rsid w:val="00244F15"/>
    <w:rsid w:val="00244F46"/>
    <w:rsid w:val="00245198"/>
    <w:rsid w:val="002452FC"/>
    <w:rsid w:val="002453C2"/>
    <w:rsid w:val="00245B2D"/>
    <w:rsid w:val="00245D82"/>
    <w:rsid w:val="0024609A"/>
    <w:rsid w:val="00246719"/>
    <w:rsid w:val="00246850"/>
    <w:rsid w:val="00246A16"/>
    <w:rsid w:val="002472B8"/>
    <w:rsid w:val="0024749A"/>
    <w:rsid w:val="0024792A"/>
    <w:rsid w:val="00250467"/>
    <w:rsid w:val="002505C9"/>
    <w:rsid w:val="0025062D"/>
    <w:rsid w:val="00250AC8"/>
    <w:rsid w:val="00251145"/>
    <w:rsid w:val="00251D46"/>
    <w:rsid w:val="00252419"/>
    <w:rsid w:val="002525AF"/>
    <w:rsid w:val="00252D31"/>
    <w:rsid w:val="00252EAF"/>
    <w:rsid w:val="00253405"/>
    <w:rsid w:val="0025350B"/>
    <w:rsid w:val="00253F20"/>
    <w:rsid w:val="0025406D"/>
    <w:rsid w:val="002543C0"/>
    <w:rsid w:val="00254421"/>
    <w:rsid w:val="002544BE"/>
    <w:rsid w:val="0025452D"/>
    <w:rsid w:val="002549A7"/>
    <w:rsid w:val="00254D4A"/>
    <w:rsid w:val="0025603B"/>
    <w:rsid w:val="002562B6"/>
    <w:rsid w:val="002565EE"/>
    <w:rsid w:val="00256761"/>
    <w:rsid w:val="00256CB9"/>
    <w:rsid w:val="00256D72"/>
    <w:rsid w:val="0025703E"/>
    <w:rsid w:val="002572AE"/>
    <w:rsid w:val="00257613"/>
    <w:rsid w:val="00257AC2"/>
    <w:rsid w:val="00257DB9"/>
    <w:rsid w:val="002605DD"/>
    <w:rsid w:val="00260EFB"/>
    <w:rsid w:val="0026117B"/>
    <w:rsid w:val="00261412"/>
    <w:rsid w:val="002617C0"/>
    <w:rsid w:val="002617F2"/>
    <w:rsid w:val="00261CC4"/>
    <w:rsid w:val="002620E1"/>
    <w:rsid w:val="002629C9"/>
    <w:rsid w:val="00262A6F"/>
    <w:rsid w:val="00262BCD"/>
    <w:rsid w:val="00263176"/>
    <w:rsid w:val="00263F17"/>
    <w:rsid w:val="002642BA"/>
    <w:rsid w:val="002642D8"/>
    <w:rsid w:val="002643F9"/>
    <w:rsid w:val="002645F0"/>
    <w:rsid w:val="002646C9"/>
    <w:rsid w:val="00264A66"/>
    <w:rsid w:val="002652D9"/>
    <w:rsid w:val="002652EB"/>
    <w:rsid w:val="00265F32"/>
    <w:rsid w:val="00265FDF"/>
    <w:rsid w:val="00266E2F"/>
    <w:rsid w:val="002671A9"/>
    <w:rsid w:val="002671CC"/>
    <w:rsid w:val="002673C9"/>
    <w:rsid w:val="0026746E"/>
    <w:rsid w:val="002676AA"/>
    <w:rsid w:val="002707E9"/>
    <w:rsid w:val="002707FF"/>
    <w:rsid w:val="00270BF6"/>
    <w:rsid w:val="00270DAF"/>
    <w:rsid w:val="0027203E"/>
    <w:rsid w:val="0027222C"/>
    <w:rsid w:val="00272AA3"/>
    <w:rsid w:val="00272CD6"/>
    <w:rsid w:val="00272FE7"/>
    <w:rsid w:val="002746CD"/>
    <w:rsid w:val="00274F88"/>
    <w:rsid w:val="0027562E"/>
    <w:rsid w:val="002756B4"/>
    <w:rsid w:val="0027580D"/>
    <w:rsid w:val="002758D6"/>
    <w:rsid w:val="0027601D"/>
    <w:rsid w:val="002761DD"/>
    <w:rsid w:val="002763CF"/>
    <w:rsid w:val="00276C2A"/>
    <w:rsid w:val="0027745F"/>
    <w:rsid w:val="002775FB"/>
    <w:rsid w:val="00277AF3"/>
    <w:rsid w:val="00277DCE"/>
    <w:rsid w:val="00280526"/>
    <w:rsid w:val="0028074F"/>
    <w:rsid w:val="00280A4B"/>
    <w:rsid w:val="002811E3"/>
    <w:rsid w:val="00281C82"/>
    <w:rsid w:val="00281E64"/>
    <w:rsid w:val="00281F94"/>
    <w:rsid w:val="00282445"/>
    <w:rsid w:val="002827F3"/>
    <w:rsid w:val="0028285A"/>
    <w:rsid w:val="002828F6"/>
    <w:rsid w:val="002829A0"/>
    <w:rsid w:val="00282BD8"/>
    <w:rsid w:val="002834B5"/>
    <w:rsid w:val="0028388A"/>
    <w:rsid w:val="00283B25"/>
    <w:rsid w:val="002840FD"/>
    <w:rsid w:val="00284210"/>
    <w:rsid w:val="00284224"/>
    <w:rsid w:val="00284A8E"/>
    <w:rsid w:val="00284BB2"/>
    <w:rsid w:val="00284C04"/>
    <w:rsid w:val="00285303"/>
    <w:rsid w:val="0028580D"/>
    <w:rsid w:val="00285BD7"/>
    <w:rsid w:val="0028668A"/>
    <w:rsid w:val="00286773"/>
    <w:rsid w:val="0028692E"/>
    <w:rsid w:val="00287297"/>
    <w:rsid w:val="0029068A"/>
    <w:rsid w:val="0029074D"/>
    <w:rsid w:val="00290A74"/>
    <w:rsid w:val="00290AFA"/>
    <w:rsid w:val="00290C04"/>
    <w:rsid w:val="00290C2E"/>
    <w:rsid w:val="00290EAA"/>
    <w:rsid w:val="002918C3"/>
    <w:rsid w:val="00291A4C"/>
    <w:rsid w:val="00291F68"/>
    <w:rsid w:val="002922B9"/>
    <w:rsid w:val="002923E5"/>
    <w:rsid w:val="00293110"/>
    <w:rsid w:val="002932E7"/>
    <w:rsid w:val="002935E4"/>
    <w:rsid w:val="002939AC"/>
    <w:rsid w:val="00293D47"/>
    <w:rsid w:val="0029468B"/>
    <w:rsid w:val="0029473C"/>
    <w:rsid w:val="00294D98"/>
    <w:rsid w:val="00294E3B"/>
    <w:rsid w:val="0029520D"/>
    <w:rsid w:val="0029581F"/>
    <w:rsid w:val="00295F33"/>
    <w:rsid w:val="0029604F"/>
    <w:rsid w:val="00297192"/>
    <w:rsid w:val="002971EF"/>
    <w:rsid w:val="00297243"/>
    <w:rsid w:val="002973AD"/>
    <w:rsid w:val="002973E6"/>
    <w:rsid w:val="002976FC"/>
    <w:rsid w:val="00297D58"/>
    <w:rsid w:val="002A00B5"/>
    <w:rsid w:val="002A06F4"/>
    <w:rsid w:val="002A090F"/>
    <w:rsid w:val="002A1845"/>
    <w:rsid w:val="002A1A25"/>
    <w:rsid w:val="002A20AE"/>
    <w:rsid w:val="002A20ED"/>
    <w:rsid w:val="002A2675"/>
    <w:rsid w:val="002A2C7F"/>
    <w:rsid w:val="002A2E99"/>
    <w:rsid w:val="002A2F18"/>
    <w:rsid w:val="002A2FDE"/>
    <w:rsid w:val="002A3083"/>
    <w:rsid w:val="002A3127"/>
    <w:rsid w:val="002A3225"/>
    <w:rsid w:val="002A3829"/>
    <w:rsid w:val="002A44BA"/>
    <w:rsid w:val="002A4686"/>
    <w:rsid w:val="002A4946"/>
    <w:rsid w:val="002A4CCF"/>
    <w:rsid w:val="002A4DE7"/>
    <w:rsid w:val="002A513B"/>
    <w:rsid w:val="002A5885"/>
    <w:rsid w:val="002A60F7"/>
    <w:rsid w:val="002A770D"/>
    <w:rsid w:val="002A7727"/>
    <w:rsid w:val="002A7DBC"/>
    <w:rsid w:val="002A7F72"/>
    <w:rsid w:val="002B04C7"/>
    <w:rsid w:val="002B0C25"/>
    <w:rsid w:val="002B0D1C"/>
    <w:rsid w:val="002B0EA5"/>
    <w:rsid w:val="002B0FBE"/>
    <w:rsid w:val="002B13BA"/>
    <w:rsid w:val="002B15BF"/>
    <w:rsid w:val="002B204E"/>
    <w:rsid w:val="002B2256"/>
    <w:rsid w:val="002B2DF2"/>
    <w:rsid w:val="002B2E6E"/>
    <w:rsid w:val="002B3018"/>
    <w:rsid w:val="002B371F"/>
    <w:rsid w:val="002B3B71"/>
    <w:rsid w:val="002B3F0F"/>
    <w:rsid w:val="002B417D"/>
    <w:rsid w:val="002B422C"/>
    <w:rsid w:val="002B46F8"/>
    <w:rsid w:val="002B4933"/>
    <w:rsid w:val="002B5156"/>
    <w:rsid w:val="002B5382"/>
    <w:rsid w:val="002B53A1"/>
    <w:rsid w:val="002B6787"/>
    <w:rsid w:val="002B6854"/>
    <w:rsid w:val="002B6D43"/>
    <w:rsid w:val="002B6E1D"/>
    <w:rsid w:val="002B737C"/>
    <w:rsid w:val="002B745C"/>
    <w:rsid w:val="002B793F"/>
    <w:rsid w:val="002B7E72"/>
    <w:rsid w:val="002C03E3"/>
    <w:rsid w:val="002C0BB9"/>
    <w:rsid w:val="002C0F8D"/>
    <w:rsid w:val="002C1094"/>
    <w:rsid w:val="002C1E82"/>
    <w:rsid w:val="002C2635"/>
    <w:rsid w:val="002C3124"/>
    <w:rsid w:val="002C31EA"/>
    <w:rsid w:val="002C331B"/>
    <w:rsid w:val="002C39F5"/>
    <w:rsid w:val="002C3EF2"/>
    <w:rsid w:val="002C43AC"/>
    <w:rsid w:val="002C4624"/>
    <w:rsid w:val="002C5434"/>
    <w:rsid w:val="002C566B"/>
    <w:rsid w:val="002C5C56"/>
    <w:rsid w:val="002C5DCC"/>
    <w:rsid w:val="002C6072"/>
    <w:rsid w:val="002C6448"/>
    <w:rsid w:val="002C6AF4"/>
    <w:rsid w:val="002C6CC2"/>
    <w:rsid w:val="002C6CDD"/>
    <w:rsid w:val="002C7269"/>
    <w:rsid w:val="002C76AD"/>
    <w:rsid w:val="002C7811"/>
    <w:rsid w:val="002C7818"/>
    <w:rsid w:val="002D057D"/>
    <w:rsid w:val="002D0AAB"/>
    <w:rsid w:val="002D16F9"/>
    <w:rsid w:val="002D1F2C"/>
    <w:rsid w:val="002D29B0"/>
    <w:rsid w:val="002D2AAC"/>
    <w:rsid w:val="002D2C57"/>
    <w:rsid w:val="002D2E8E"/>
    <w:rsid w:val="002D3C47"/>
    <w:rsid w:val="002D3EAB"/>
    <w:rsid w:val="002D3EDD"/>
    <w:rsid w:val="002D53C5"/>
    <w:rsid w:val="002D54A6"/>
    <w:rsid w:val="002D600B"/>
    <w:rsid w:val="002D6423"/>
    <w:rsid w:val="002D67DF"/>
    <w:rsid w:val="002D6851"/>
    <w:rsid w:val="002D6ADF"/>
    <w:rsid w:val="002D6B17"/>
    <w:rsid w:val="002D6B60"/>
    <w:rsid w:val="002D6BE9"/>
    <w:rsid w:val="002D7071"/>
    <w:rsid w:val="002D768A"/>
    <w:rsid w:val="002D76AC"/>
    <w:rsid w:val="002D76DC"/>
    <w:rsid w:val="002D78AA"/>
    <w:rsid w:val="002D79C6"/>
    <w:rsid w:val="002D7A59"/>
    <w:rsid w:val="002E01F1"/>
    <w:rsid w:val="002E076E"/>
    <w:rsid w:val="002E0914"/>
    <w:rsid w:val="002E0EEE"/>
    <w:rsid w:val="002E11E9"/>
    <w:rsid w:val="002E1AB1"/>
    <w:rsid w:val="002E1B9B"/>
    <w:rsid w:val="002E1D5B"/>
    <w:rsid w:val="002E1FC7"/>
    <w:rsid w:val="002E1FFE"/>
    <w:rsid w:val="002E26A0"/>
    <w:rsid w:val="002E29C9"/>
    <w:rsid w:val="002E35F0"/>
    <w:rsid w:val="002E382D"/>
    <w:rsid w:val="002E3883"/>
    <w:rsid w:val="002E395A"/>
    <w:rsid w:val="002E3AA6"/>
    <w:rsid w:val="002E42CE"/>
    <w:rsid w:val="002E46DC"/>
    <w:rsid w:val="002E495A"/>
    <w:rsid w:val="002E5E7D"/>
    <w:rsid w:val="002E6DBA"/>
    <w:rsid w:val="002E725B"/>
    <w:rsid w:val="002E758C"/>
    <w:rsid w:val="002E77AD"/>
    <w:rsid w:val="002E7959"/>
    <w:rsid w:val="002E7F1E"/>
    <w:rsid w:val="002F04A4"/>
    <w:rsid w:val="002F1217"/>
    <w:rsid w:val="002F162A"/>
    <w:rsid w:val="002F17E8"/>
    <w:rsid w:val="002F1EE2"/>
    <w:rsid w:val="002F241F"/>
    <w:rsid w:val="002F2914"/>
    <w:rsid w:val="002F2CFD"/>
    <w:rsid w:val="002F2FF0"/>
    <w:rsid w:val="002F36B9"/>
    <w:rsid w:val="002F3E4F"/>
    <w:rsid w:val="002F3ED0"/>
    <w:rsid w:val="002F43F9"/>
    <w:rsid w:val="002F4E6E"/>
    <w:rsid w:val="002F4F25"/>
    <w:rsid w:val="002F5739"/>
    <w:rsid w:val="002F5781"/>
    <w:rsid w:val="002F57FA"/>
    <w:rsid w:val="002F60D1"/>
    <w:rsid w:val="002F6818"/>
    <w:rsid w:val="002F6E17"/>
    <w:rsid w:val="002F720B"/>
    <w:rsid w:val="002F76B8"/>
    <w:rsid w:val="002F7973"/>
    <w:rsid w:val="00300DEC"/>
    <w:rsid w:val="0030144B"/>
    <w:rsid w:val="0030189B"/>
    <w:rsid w:val="0030211B"/>
    <w:rsid w:val="0030252E"/>
    <w:rsid w:val="00303685"/>
    <w:rsid w:val="00303CFD"/>
    <w:rsid w:val="00303FF4"/>
    <w:rsid w:val="00304613"/>
    <w:rsid w:val="00304AF1"/>
    <w:rsid w:val="00304B40"/>
    <w:rsid w:val="00304E09"/>
    <w:rsid w:val="0030547B"/>
    <w:rsid w:val="0030589C"/>
    <w:rsid w:val="00305DDC"/>
    <w:rsid w:val="003067E3"/>
    <w:rsid w:val="00307743"/>
    <w:rsid w:val="00307B0E"/>
    <w:rsid w:val="003105F1"/>
    <w:rsid w:val="00310B74"/>
    <w:rsid w:val="00310BA0"/>
    <w:rsid w:val="00311408"/>
    <w:rsid w:val="003116DE"/>
    <w:rsid w:val="003118F6"/>
    <w:rsid w:val="00311935"/>
    <w:rsid w:val="00312B32"/>
    <w:rsid w:val="0031311F"/>
    <w:rsid w:val="0031316C"/>
    <w:rsid w:val="003137B6"/>
    <w:rsid w:val="00313D5C"/>
    <w:rsid w:val="00314307"/>
    <w:rsid w:val="0031439E"/>
    <w:rsid w:val="00314532"/>
    <w:rsid w:val="00314A49"/>
    <w:rsid w:val="00314D16"/>
    <w:rsid w:val="00315023"/>
    <w:rsid w:val="00315113"/>
    <w:rsid w:val="0031557F"/>
    <w:rsid w:val="00315C39"/>
    <w:rsid w:val="003160AF"/>
    <w:rsid w:val="00316300"/>
    <w:rsid w:val="003164E2"/>
    <w:rsid w:val="003165A7"/>
    <w:rsid w:val="003172A7"/>
    <w:rsid w:val="00317458"/>
    <w:rsid w:val="003174A6"/>
    <w:rsid w:val="003177E3"/>
    <w:rsid w:val="0031789B"/>
    <w:rsid w:val="003205D4"/>
    <w:rsid w:val="00320759"/>
    <w:rsid w:val="0032080A"/>
    <w:rsid w:val="00320890"/>
    <w:rsid w:val="00320B0B"/>
    <w:rsid w:val="00320D42"/>
    <w:rsid w:val="00320F86"/>
    <w:rsid w:val="003213C0"/>
    <w:rsid w:val="00321B49"/>
    <w:rsid w:val="00321D63"/>
    <w:rsid w:val="00322057"/>
    <w:rsid w:val="003220AF"/>
    <w:rsid w:val="00322191"/>
    <w:rsid w:val="003221D7"/>
    <w:rsid w:val="003222F6"/>
    <w:rsid w:val="00322511"/>
    <w:rsid w:val="003228DB"/>
    <w:rsid w:val="00322E4A"/>
    <w:rsid w:val="00323807"/>
    <w:rsid w:val="00323B49"/>
    <w:rsid w:val="0032475A"/>
    <w:rsid w:val="00324B4C"/>
    <w:rsid w:val="00324D4A"/>
    <w:rsid w:val="00325090"/>
    <w:rsid w:val="003256DA"/>
    <w:rsid w:val="00325BE4"/>
    <w:rsid w:val="00326125"/>
    <w:rsid w:val="0032637A"/>
    <w:rsid w:val="00326985"/>
    <w:rsid w:val="00326B12"/>
    <w:rsid w:val="003272A8"/>
    <w:rsid w:val="003279DE"/>
    <w:rsid w:val="00331080"/>
    <w:rsid w:val="003312FB"/>
    <w:rsid w:val="0033131A"/>
    <w:rsid w:val="003314B9"/>
    <w:rsid w:val="00331791"/>
    <w:rsid w:val="00331ADE"/>
    <w:rsid w:val="00331D69"/>
    <w:rsid w:val="0033216E"/>
    <w:rsid w:val="003322F5"/>
    <w:rsid w:val="0033286D"/>
    <w:rsid w:val="00332D29"/>
    <w:rsid w:val="003330ED"/>
    <w:rsid w:val="0033330B"/>
    <w:rsid w:val="00333815"/>
    <w:rsid w:val="0033383E"/>
    <w:rsid w:val="00333DBB"/>
    <w:rsid w:val="00334D26"/>
    <w:rsid w:val="00334E25"/>
    <w:rsid w:val="003351FB"/>
    <w:rsid w:val="003353F8"/>
    <w:rsid w:val="00335A26"/>
    <w:rsid w:val="00336009"/>
    <w:rsid w:val="003362FF"/>
    <w:rsid w:val="00336789"/>
    <w:rsid w:val="00336BEE"/>
    <w:rsid w:val="0033712D"/>
    <w:rsid w:val="00337E2C"/>
    <w:rsid w:val="00337F5F"/>
    <w:rsid w:val="0034045B"/>
    <w:rsid w:val="00340602"/>
    <w:rsid w:val="00340639"/>
    <w:rsid w:val="00340985"/>
    <w:rsid w:val="00340BFA"/>
    <w:rsid w:val="00341777"/>
    <w:rsid w:val="003425B9"/>
    <w:rsid w:val="003428CE"/>
    <w:rsid w:val="00342A28"/>
    <w:rsid w:val="00342ABE"/>
    <w:rsid w:val="00342AF4"/>
    <w:rsid w:val="00342D3A"/>
    <w:rsid w:val="003442D8"/>
    <w:rsid w:val="00344A51"/>
    <w:rsid w:val="003467F7"/>
    <w:rsid w:val="0034688D"/>
    <w:rsid w:val="00346DDF"/>
    <w:rsid w:val="00347387"/>
    <w:rsid w:val="00347477"/>
    <w:rsid w:val="00347D16"/>
    <w:rsid w:val="00347F48"/>
    <w:rsid w:val="0035017B"/>
    <w:rsid w:val="0035048E"/>
    <w:rsid w:val="003506AC"/>
    <w:rsid w:val="00351A45"/>
    <w:rsid w:val="00351B5C"/>
    <w:rsid w:val="00351D3B"/>
    <w:rsid w:val="00352034"/>
    <w:rsid w:val="00352071"/>
    <w:rsid w:val="00352664"/>
    <w:rsid w:val="00352F93"/>
    <w:rsid w:val="00352FC3"/>
    <w:rsid w:val="003532B7"/>
    <w:rsid w:val="00353738"/>
    <w:rsid w:val="0035384E"/>
    <w:rsid w:val="00353FB1"/>
    <w:rsid w:val="003548B7"/>
    <w:rsid w:val="00354D77"/>
    <w:rsid w:val="003562D7"/>
    <w:rsid w:val="00356BF4"/>
    <w:rsid w:val="00357F04"/>
    <w:rsid w:val="00360ADD"/>
    <w:rsid w:val="00360FC8"/>
    <w:rsid w:val="00361C30"/>
    <w:rsid w:val="00362FEC"/>
    <w:rsid w:val="00363889"/>
    <w:rsid w:val="00363A78"/>
    <w:rsid w:val="00363D3B"/>
    <w:rsid w:val="00363D49"/>
    <w:rsid w:val="00364211"/>
    <w:rsid w:val="0036423A"/>
    <w:rsid w:val="00364368"/>
    <w:rsid w:val="0036444B"/>
    <w:rsid w:val="003644A3"/>
    <w:rsid w:val="00364955"/>
    <w:rsid w:val="00365318"/>
    <w:rsid w:val="003659B4"/>
    <w:rsid w:val="00365A3C"/>
    <w:rsid w:val="00365F88"/>
    <w:rsid w:val="00366B76"/>
    <w:rsid w:val="0036711F"/>
    <w:rsid w:val="00367A97"/>
    <w:rsid w:val="00367F3A"/>
    <w:rsid w:val="00370075"/>
    <w:rsid w:val="00370885"/>
    <w:rsid w:val="00370CB5"/>
    <w:rsid w:val="00370F02"/>
    <w:rsid w:val="00370FAE"/>
    <w:rsid w:val="00371254"/>
    <w:rsid w:val="003716EC"/>
    <w:rsid w:val="003717FD"/>
    <w:rsid w:val="00372326"/>
    <w:rsid w:val="00372935"/>
    <w:rsid w:val="00372940"/>
    <w:rsid w:val="00372E49"/>
    <w:rsid w:val="003732F4"/>
    <w:rsid w:val="0037380B"/>
    <w:rsid w:val="00373852"/>
    <w:rsid w:val="003741E8"/>
    <w:rsid w:val="00375471"/>
    <w:rsid w:val="00375610"/>
    <w:rsid w:val="00375711"/>
    <w:rsid w:val="0037594C"/>
    <w:rsid w:val="003763AA"/>
    <w:rsid w:val="003766DB"/>
    <w:rsid w:val="003769A4"/>
    <w:rsid w:val="003769BF"/>
    <w:rsid w:val="00376B6E"/>
    <w:rsid w:val="003805CF"/>
    <w:rsid w:val="00380738"/>
    <w:rsid w:val="00380BF0"/>
    <w:rsid w:val="00380D74"/>
    <w:rsid w:val="003815DD"/>
    <w:rsid w:val="00381738"/>
    <w:rsid w:val="003817CC"/>
    <w:rsid w:val="003817DD"/>
    <w:rsid w:val="003818FD"/>
    <w:rsid w:val="003826AF"/>
    <w:rsid w:val="00382E2B"/>
    <w:rsid w:val="00382FDA"/>
    <w:rsid w:val="00383016"/>
    <w:rsid w:val="00384392"/>
    <w:rsid w:val="003844DB"/>
    <w:rsid w:val="003845E3"/>
    <w:rsid w:val="00384D03"/>
    <w:rsid w:val="003855ED"/>
    <w:rsid w:val="00385930"/>
    <w:rsid w:val="003859D2"/>
    <w:rsid w:val="003859F0"/>
    <w:rsid w:val="00385BCF"/>
    <w:rsid w:val="00386436"/>
    <w:rsid w:val="0038671A"/>
    <w:rsid w:val="003872A8"/>
    <w:rsid w:val="003901B3"/>
    <w:rsid w:val="00390771"/>
    <w:rsid w:val="00390DC8"/>
    <w:rsid w:val="0039136E"/>
    <w:rsid w:val="00391FAB"/>
    <w:rsid w:val="0039200B"/>
    <w:rsid w:val="003921E3"/>
    <w:rsid w:val="0039280E"/>
    <w:rsid w:val="00392956"/>
    <w:rsid w:val="00392A58"/>
    <w:rsid w:val="00393A8A"/>
    <w:rsid w:val="00393C13"/>
    <w:rsid w:val="0039464A"/>
    <w:rsid w:val="00394929"/>
    <w:rsid w:val="00394A05"/>
    <w:rsid w:val="003951B8"/>
    <w:rsid w:val="00395E57"/>
    <w:rsid w:val="00396A00"/>
    <w:rsid w:val="00396E66"/>
    <w:rsid w:val="00397197"/>
    <w:rsid w:val="00397D88"/>
    <w:rsid w:val="003A0A7C"/>
    <w:rsid w:val="003A1BB1"/>
    <w:rsid w:val="003A1BCC"/>
    <w:rsid w:val="003A213E"/>
    <w:rsid w:val="003A22D8"/>
    <w:rsid w:val="003A2849"/>
    <w:rsid w:val="003A299B"/>
    <w:rsid w:val="003A29D4"/>
    <w:rsid w:val="003A2F94"/>
    <w:rsid w:val="003A326D"/>
    <w:rsid w:val="003A362A"/>
    <w:rsid w:val="003A3983"/>
    <w:rsid w:val="003A3CF2"/>
    <w:rsid w:val="003A3FE4"/>
    <w:rsid w:val="003A433C"/>
    <w:rsid w:val="003A4A42"/>
    <w:rsid w:val="003A4E59"/>
    <w:rsid w:val="003A66B0"/>
    <w:rsid w:val="003A6759"/>
    <w:rsid w:val="003A6954"/>
    <w:rsid w:val="003A6E2C"/>
    <w:rsid w:val="003A7030"/>
    <w:rsid w:val="003A7687"/>
    <w:rsid w:val="003B0234"/>
    <w:rsid w:val="003B0569"/>
    <w:rsid w:val="003B05C3"/>
    <w:rsid w:val="003B10DA"/>
    <w:rsid w:val="003B116C"/>
    <w:rsid w:val="003B1644"/>
    <w:rsid w:val="003B233E"/>
    <w:rsid w:val="003B257F"/>
    <w:rsid w:val="003B25B3"/>
    <w:rsid w:val="003B27F4"/>
    <w:rsid w:val="003B285B"/>
    <w:rsid w:val="003B2FF0"/>
    <w:rsid w:val="003B32B4"/>
    <w:rsid w:val="003B3391"/>
    <w:rsid w:val="003B35E2"/>
    <w:rsid w:val="003B3660"/>
    <w:rsid w:val="003B45AB"/>
    <w:rsid w:val="003B4877"/>
    <w:rsid w:val="003B4921"/>
    <w:rsid w:val="003B4B12"/>
    <w:rsid w:val="003B4F6E"/>
    <w:rsid w:val="003B5085"/>
    <w:rsid w:val="003B50F8"/>
    <w:rsid w:val="003B5C01"/>
    <w:rsid w:val="003B5CBD"/>
    <w:rsid w:val="003B5E1D"/>
    <w:rsid w:val="003B6564"/>
    <w:rsid w:val="003B6898"/>
    <w:rsid w:val="003B7DCF"/>
    <w:rsid w:val="003C0412"/>
    <w:rsid w:val="003C0CC5"/>
    <w:rsid w:val="003C10F1"/>
    <w:rsid w:val="003C12D8"/>
    <w:rsid w:val="003C13D4"/>
    <w:rsid w:val="003C17C6"/>
    <w:rsid w:val="003C1BD2"/>
    <w:rsid w:val="003C254C"/>
    <w:rsid w:val="003C2F96"/>
    <w:rsid w:val="003C324B"/>
    <w:rsid w:val="003C3435"/>
    <w:rsid w:val="003C37D5"/>
    <w:rsid w:val="003C38C4"/>
    <w:rsid w:val="003C40D8"/>
    <w:rsid w:val="003C4106"/>
    <w:rsid w:val="003C496A"/>
    <w:rsid w:val="003C4B60"/>
    <w:rsid w:val="003C4C5D"/>
    <w:rsid w:val="003C4D46"/>
    <w:rsid w:val="003C4E56"/>
    <w:rsid w:val="003C53ED"/>
    <w:rsid w:val="003C5441"/>
    <w:rsid w:val="003C55CC"/>
    <w:rsid w:val="003C5AD2"/>
    <w:rsid w:val="003C7607"/>
    <w:rsid w:val="003C7C77"/>
    <w:rsid w:val="003C7D52"/>
    <w:rsid w:val="003C7F32"/>
    <w:rsid w:val="003D05B8"/>
    <w:rsid w:val="003D0C12"/>
    <w:rsid w:val="003D0CA9"/>
    <w:rsid w:val="003D0CFD"/>
    <w:rsid w:val="003D13F8"/>
    <w:rsid w:val="003D176D"/>
    <w:rsid w:val="003D1AD2"/>
    <w:rsid w:val="003D1B4F"/>
    <w:rsid w:val="003D225F"/>
    <w:rsid w:val="003D2490"/>
    <w:rsid w:val="003D2FA8"/>
    <w:rsid w:val="003D32BF"/>
    <w:rsid w:val="003D3401"/>
    <w:rsid w:val="003D37B0"/>
    <w:rsid w:val="003D380B"/>
    <w:rsid w:val="003D3A51"/>
    <w:rsid w:val="003D3B4B"/>
    <w:rsid w:val="003D3E88"/>
    <w:rsid w:val="003D4285"/>
    <w:rsid w:val="003D4884"/>
    <w:rsid w:val="003D51A3"/>
    <w:rsid w:val="003D525C"/>
    <w:rsid w:val="003D6B8B"/>
    <w:rsid w:val="003D780B"/>
    <w:rsid w:val="003D7AC6"/>
    <w:rsid w:val="003D7BD5"/>
    <w:rsid w:val="003E049F"/>
    <w:rsid w:val="003E05ED"/>
    <w:rsid w:val="003E09ED"/>
    <w:rsid w:val="003E09F6"/>
    <w:rsid w:val="003E0AFD"/>
    <w:rsid w:val="003E0F61"/>
    <w:rsid w:val="003E12CF"/>
    <w:rsid w:val="003E1793"/>
    <w:rsid w:val="003E1950"/>
    <w:rsid w:val="003E1C3E"/>
    <w:rsid w:val="003E1D62"/>
    <w:rsid w:val="003E226C"/>
    <w:rsid w:val="003E22C1"/>
    <w:rsid w:val="003E283B"/>
    <w:rsid w:val="003E3260"/>
    <w:rsid w:val="003E3D24"/>
    <w:rsid w:val="003E3E4C"/>
    <w:rsid w:val="003E4131"/>
    <w:rsid w:val="003E4264"/>
    <w:rsid w:val="003E555F"/>
    <w:rsid w:val="003E55BF"/>
    <w:rsid w:val="003E694B"/>
    <w:rsid w:val="003E699F"/>
    <w:rsid w:val="003E6FB3"/>
    <w:rsid w:val="003E78D8"/>
    <w:rsid w:val="003F002D"/>
    <w:rsid w:val="003F0765"/>
    <w:rsid w:val="003F102B"/>
    <w:rsid w:val="003F143C"/>
    <w:rsid w:val="003F1734"/>
    <w:rsid w:val="003F2134"/>
    <w:rsid w:val="003F234E"/>
    <w:rsid w:val="003F2C1D"/>
    <w:rsid w:val="003F3317"/>
    <w:rsid w:val="003F3421"/>
    <w:rsid w:val="003F36A0"/>
    <w:rsid w:val="003F3731"/>
    <w:rsid w:val="003F3C12"/>
    <w:rsid w:val="003F3E42"/>
    <w:rsid w:val="003F3E6F"/>
    <w:rsid w:val="003F4AD1"/>
    <w:rsid w:val="003F4AD8"/>
    <w:rsid w:val="003F4C79"/>
    <w:rsid w:val="003F51C1"/>
    <w:rsid w:val="003F5506"/>
    <w:rsid w:val="003F565D"/>
    <w:rsid w:val="003F5695"/>
    <w:rsid w:val="003F60C6"/>
    <w:rsid w:val="003F6CC8"/>
    <w:rsid w:val="003F717F"/>
    <w:rsid w:val="003F72AB"/>
    <w:rsid w:val="003F7995"/>
    <w:rsid w:val="003F7E44"/>
    <w:rsid w:val="0040017B"/>
    <w:rsid w:val="004001EE"/>
    <w:rsid w:val="004011D6"/>
    <w:rsid w:val="004017B3"/>
    <w:rsid w:val="00401DEF"/>
    <w:rsid w:val="004021FA"/>
    <w:rsid w:val="00402287"/>
    <w:rsid w:val="004023DB"/>
    <w:rsid w:val="00402C98"/>
    <w:rsid w:val="00403233"/>
    <w:rsid w:val="0040372B"/>
    <w:rsid w:val="0040391D"/>
    <w:rsid w:val="00404133"/>
    <w:rsid w:val="004041FC"/>
    <w:rsid w:val="0040467F"/>
    <w:rsid w:val="004046FF"/>
    <w:rsid w:val="004047CF"/>
    <w:rsid w:val="004048D2"/>
    <w:rsid w:val="00404C5D"/>
    <w:rsid w:val="00405948"/>
    <w:rsid w:val="00405DEB"/>
    <w:rsid w:val="004066FD"/>
    <w:rsid w:val="00406D0B"/>
    <w:rsid w:val="00406F65"/>
    <w:rsid w:val="00407103"/>
    <w:rsid w:val="0040785F"/>
    <w:rsid w:val="00407868"/>
    <w:rsid w:val="00407C4C"/>
    <w:rsid w:val="00407D18"/>
    <w:rsid w:val="00410609"/>
    <w:rsid w:val="0041111A"/>
    <w:rsid w:val="00411302"/>
    <w:rsid w:val="004115D5"/>
    <w:rsid w:val="00411934"/>
    <w:rsid w:val="004119A3"/>
    <w:rsid w:val="00411D8B"/>
    <w:rsid w:val="00411DE6"/>
    <w:rsid w:val="00412044"/>
    <w:rsid w:val="0041278F"/>
    <w:rsid w:val="0041289D"/>
    <w:rsid w:val="00412A82"/>
    <w:rsid w:val="0041301E"/>
    <w:rsid w:val="00413204"/>
    <w:rsid w:val="004134B4"/>
    <w:rsid w:val="00413980"/>
    <w:rsid w:val="004152C0"/>
    <w:rsid w:val="00415ACB"/>
    <w:rsid w:val="00415B71"/>
    <w:rsid w:val="00415D4B"/>
    <w:rsid w:val="00416242"/>
    <w:rsid w:val="00416C04"/>
    <w:rsid w:val="004175C6"/>
    <w:rsid w:val="0041794C"/>
    <w:rsid w:val="00417C79"/>
    <w:rsid w:val="00417DF3"/>
    <w:rsid w:val="0042078F"/>
    <w:rsid w:val="0042080C"/>
    <w:rsid w:val="00421136"/>
    <w:rsid w:val="00421570"/>
    <w:rsid w:val="00421C36"/>
    <w:rsid w:val="00422268"/>
    <w:rsid w:val="0042242C"/>
    <w:rsid w:val="0042276E"/>
    <w:rsid w:val="00422F5F"/>
    <w:rsid w:val="00423663"/>
    <w:rsid w:val="00423D41"/>
    <w:rsid w:val="00425193"/>
    <w:rsid w:val="004253F1"/>
    <w:rsid w:val="004254A9"/>
    <w:rsid w:val="00425604"/>
    <w:rsid w:val="00425861"/>
    <w:rsid w:val="0042756A"/>
    <w:rsid w:val="004277DD"/>
    <w:rsid w:val="00427994"/>
    <w:rsid w:val="004279C0"/>
    <w:rsid w:val="00430225"/>
    <w:rsid w:val="00430573"/>
    <w:rsid w:val="00430E24"/>
    <w:rsid w:val="00430E95"/>
    <w:rsid w:val="00430F37"/>
    <w:rsid w:val="00430F6C"/>
    <w:rsid w:val="004313D0"/>
    <w:rsid w:val="0043187D"/>
    <w:rsid w:val="00431941"/>
    <w:rsid w:val="0043210B"/>
    <w:rsid w:val="004329A1"/>
    <w:rsid w:val="00433292"/>
    <w:rsid w:val="0043334A"/>
    <w:rsid w:val="004334A1"/>
    <w:rsid w:val="00433CA1"/>
    <w:rsid w:val="00434000"/>
    <w:rsid w:val="00434218"/>
    <w:rsid w:val="0043435C"/>
    <w:rsid w:val="004346B3"/>
    <w:rsid w:val="00434A41"/>
    <w:rsid w:val="00435527"/>
    <w:rsid w:val="00435CE0"/>
    <w:rsid w:val="00435F10"/>
    <w:rsid w:val="0043607D"/>
    <w:rsid w:val="00436938"/>
    <w:rsid w:val="00436A24"/>
    <w:rsid w:val="00436B09"/>
    <w:rsid w:val="00436BBB"/>
    <w:rsid w:val="00436F7B"/>
    <w:rsid w:val="004371A8"/>
    <w:rsid w:val="004376EA"/>
    <w:rsid w:val="00437862"/>
    <w:rsid w:val="00437D3C"/>
    <w:rsid w:val="00437DBF"/>
    <w:rsid w:val="004406BC"/>
    <w:rsid w:val="004409B3"/>
    <w:rsid w:val="00440AB3"/>
    <w:rsid w:val="00441D5A"/>
    <w:rsid w:val="00442710"/>
    <w:rsid w:val="004428CF"/>
    <w:rsid w:val="00442FFB"/>
    <w:rsid w:val="004434CD"/>
    <w:rsid w:val="00443660"/>
    <w:rsid w:val="00443960"/>
    <w:rsid w:val="004445E4"/>
    <w:rsid w:val="00445D83"/>
    <w:rsid w:val="00445D9F"/>
    <w:rsid w:val="00447154"/>
    <w:rsid w:val="004473C0"/>
    <w:rsid w:val="00447695"/>
    <w:rsid w:val="004476DD"/>
    <w:rsid w:val="004479F0"/>
    <w:rsid w:val="00447E54"/>
    <w:rsid w:val="00450B43"/>
    <w:rsid w:val="00450F8B"/>
    <w:rsid w:val="0045136C"/>
    <w:rsid w:val="00452013"/>
    <w:rsid w:val="004524D6"/>
    <w:rsid w:val="00452743"/>
    <w:rsid w:val="004529A3"/>
    <w:rsid w:val="004538CE"/>
    <w:rsid w:val="00453EC7"/>
    <w:rsid w:val="00455697"/>
    <w:rsid w:val="00455C72"/>
    <w:rsid w:val="004560D4"/>
    <w:rsid w:val="00456477"/>
    <w:rsid w:val="0045672A"/>
    <w:rsid w:val="0045677D"/>
    <w:rsid w:val="0045689E"/>
    <w:rsid w:val="004570C1"/>
    <w:rsid w:val="00460909"/>
    <w:rsid w:val="00460994"/>
    <w:rsid w:val="00460D13"/>
    <w:rsid w:val="004610AF"/>
    <w:rsid w:val="004614F6"/>
    <w:rsid w:val="004615D8"/>
    <w:rsid w:val="00461997"/>
    <w:rsid w:val="00462490"/>
    <w:rsid w:val="00462653"/>
    <w:rsid w:val="0046375C"/>
    <w:rsid w:val="00464E1C"/>
    <w:rsid w:val="004656BA"/>
    <w:rsid w:val="00465BF0"/>
    <w:rsid w:val="00465DE3"/>
    <w:rsid w:val="004660E6"/>
    <w:rsid w:val="00466D17"/>
    <w:rsid w:val="0046732E"/>
    <w:rsid w:val="004674C2"/>
    <w:rsid w:val="004678E8"/>
    <w:rsid w:val="0047036A"/>
    <w:rsid w:val="00470650"/>
    <w:rsid w:val="00470DC6"/>
    <w:rsid w:val="00470DE5"/>
    <w:rsid w:val="00470EBB"/>
    <w:rsid w:val="00471902"/>
    <w:rsid w:val="00471F7B"/>
    <w:rsid w:val="0047230D"/>
    <w:rsid w:val="004724D0"/>
    <w:rsid w:val="00472ACF"/>
    <w:rsid w:val="00474294"/>
    <w:rsid w:val="00474BF7"/>
    <w:rsid w:val="00474C6E"/>
    <w:rsid w:val="00474E5B"/>
    <w:rsid w:val="00475178"/>
    <w:rsid w:val="00475466"/>
    <w:rsid w:val="00475CE8"/>
    <w:rsid w:val="0047625E"/>
    <w:rsid w:val="00476429"/>
    <w:rsid w:val="00476B48"/>
    <w:rsid w:val="00477331"/>
    <w:rsid w:val="0047739D"/>
    <w:rsid w:val="004776B8"/>
    <w:rsid w:val="00477896"/>
    <w:rsid w:val="00477FD3"/>
    <w:rsid w:val="0048060D"/>
    <w:rsid w:val="00480ACC"/>
    <w:rsid w:val="004816F2"/>
    <w:rsid w:val="00481D95"/>
    <w:rsid w:val="0048244A"/>
    <w:rsid w:val="004824C5"/>
    <w:rsid w:val="00482575"/>
    <w:rsid w:val="004828A0"/>
    <w:rsid w:val="00482A34"/>
    <w:rsid w:val="00482E61"/>
    <w:rsid w:val="004836B5"/>
    <w:rsid w:val="004839A3"/>
    <w:rsid w:val="004839F3"/>
    <w:rsid w:val="00483C7C"/>
    <w:rsid w:val="00483E3B"/>
    <w:rsid w:val="0048428A"/>
    <w:rsid w:val="00484303"/>
    <w:rsid w:val="00484B39"/>
    <w:rsid w:val="00485500"/>
    <w:rsid w:val="0048709C"/>
    <w:rsid w:val="00487D4C"/>
    <w:rsid w:val="00487F63"/>
    <w:rsid w:val="004900E2"/>
    <w:rsid w:val="0049027B"/>
    <w:rsid w:val="004908E6"/>
    <w:rsid w:val="0049171F"/>
    <w:rsid w:val="004917E2"/>
    <w:rsid w:val="00491823"/>
    <w:rsid w:val="00491873"/>
    <w:rsid w:val="004918AE"/>
    <w:rsid w:val="00491DF3"/>
    <w:rsid w:val="00492A86"/>
    <w:rsid w:val="00492CB8"/>
    <w:rsid w:val="00492F0E"/>
    <w:rsid w:val="00492FC9"/>
    <w:rsid w:val="004930ED"/>
    <w:rsid w:val="00493302"/>
    <w:rsid w:val="00493587"/>
    <w:rsid w:val="00493C82"/>
    <w:rsid w:val="00493D01"/>
    <w:rsid w:val="0049405F"/>
    <w:rsid w:val="00494AFE"/>
    <w:rsid w:val="00494BBC"/>
    <w:rsid w:val="00494C7F"/>
    <w:rsid w:val="00494D7F"/>
    <w:rsid w:val="00494DFB"/>
    <w:rsid w:val="00494E47"/>
    <w:rsid w:val="00494FE0"/>
    <w:rsid w:val="004952A2"/>
    <w:rsid w:val="00495AA6"/>
    <w:rsid w:val="00495B84"/>
    <w:rsid w:val="00496388"/>
    <w:rsid w:val="00496A47"/>
    <w:rsid w:val="00496B0A"/>
    <w:rsid w:val="004975F8"/>
    <w:rsid w:val="00497FDE"/>
    <w:rsid w:val="004A123A"/>
    <w:rsid w:val="004A1F24"/>
    <w:rsid w:val="004A225E"/>
    <w:rsid w:val="004A2313"/>
    <w:rsid w:val="004A3860"/>
    <w:rsid w:val="004A3B0F"/>
    <w:rsid w:val="004A496B"/>
    <w:rsid w:val="004A52F1"/>
    <w:rsid w:val="004A559B"/>
    <w:rsid w:val="004A598D"/>
    <w:rsid w:val="004A5A4B"/>
    <w:rsid w:val="004A5FF0"/>
    <w:rsid w:val="004A6313"/>
    <w:rsid w:val="004A67BC"/>
    <w:rsid w:val="004A6B8F"/>
    <w:rsid w:val="004A6CA4"/>
    <w:rsid w:val="004A6F3A"/>
    <w:rsid w:val="004A7303"/>
    <w:rsid w:val="004A7557"/>
    <w:rsid w:val="004A775F"/>
    <w:rsid w:val="004A7E4D"/>
    <w:rsid w:val="004B05DC"/>
    <w:rsid w:val="004B07D3"/>
    <w:rsid w:val="004B0B58"/>
    <w:rsid w:val="004B0E41"/>
    <w:rsid w:val="004B0EB8"/>
    <w:rsid w:val="004B15B5"/>
    <w:rsid w:val="004B280D"/>
    <w:rsid w:val="004B3275"/>
    <w:rsid w:val="004B3340"/>
    <w:rsid w:val="004B33A2"/>
    <w:rsid w:val="004B39F1"/>
    <w:rsid w:val="004B3AB8"/>
    <w:rsid w:val="004B3ACA"/>
    <w:rsid w:val="004B3F41"/>
    <w:rsid w:val="004B4E53"/>
    <w:rsid w:val="004B4FB9"/>
    <w:rsid w:val="004B520C"/>
    <w:rsid w:val="004B5F76"/>
    <w:rsid w:val="004B65C1"/>
    <w:rsid w:val="004B67AA"/>
    <w:rsid w:val="004B67B1"/>
    <w:rsid w:val="004B693D"/>
    <w:rsid w:val="004B6AB4"/>
    <w:rsid w:val="004B6C15"/>
    <w:rsid w:val="004B75DD"/>
    <w:rsid w:val="004B76B0"/>
    <w:rsid w:val="004B79C7"/>
    <w:rsid w:val="004B7D25"/>
    <w:rsid w:val="004C0B66"/>
    <w:rsid w:val="004C0EF9"/>
    <w:rsid w:val="004C1158"/>
    <w:rsid w:val="004C11B1"/>
    <w:rsid w:val="004C1484"/>
    <w:rsid w:val="004C1848"/>
    <w:rsid w:val="004C1938"/>
    <w:rsid w:val="004C1E36"/>
    <w:rsid w:val="004C2231"/>
    <w:rsid w:val="004C2456"/>
    <w:rsid w:val="004C266F"/>
    <w:rsid w:val="004C287C"/>
    <w:rsid w:val="004C31A7"/>
    <w:rsid w:val="004C437F"/>
    <w:rsid w:val="004C448B"/>
    <w:rsid w:val="004C4C17"/>
    <w:rsid w:val="004C4F9F"/>
    <w:rsid w:val="004C5305"/>
    <w:rsid w:val="004C5384"/>
    <w:rsid w:val="004C5574"/>
    <w:rsid w:val="004C58BC"/>
    <w:rsid w:val="004C5C32"/>
    <w:rsid w:val="004C65C2"/>
    <w:rsid w:val="004C6823"/>
    <w:rsid w:val="004C691F"/>
    <w:rsid w:val="004C7027"/>
    <w:rsid w:val="004C7852"/>
    <w:rsid w:val="004C7C50"/>
    <w:rsid w:val="004C7CB1"/>
    <w:rsid w:val="004D1D69"/>
    <w:rsid w:val="004D1DF6"/>
    <w:rsid w:val="004D24E2"/>
    <w:rsid w:val="004D2A5E"/>
    <w:rsid w:val="004D2CB9"/>
    <w:rsid w:val="004D2EC9"/>
    <w:rsid w:val="004D3271"/>
    <w:rsid w:val="004D3301"/>
    <w:rsid w:val="004D341B"/>
    <w:rsid w:val="004D37EF"/>
    <w:rsid w:val="004D422D"/>
    <w:rsid w:val="004D4747"/>
    <w:rsid w:val="004D495D"/>
    <w:rsid w:val="004D4CA2"/>
    <w:rsid w:val="004D4D0C"/>
    <w:rsid w:val="004D6179"/>
    <w:rsid w:val="004D6240"/>
    <w:rsid w:val="004D6905"/>
    <w:rsid w:val="004D75AC"/>
    <w:rsid w:val="004D7952"/>
    <w:rsid w:val="004D7FDE"/>
    <w:rsid w:val="004E0010"/>
    <w:rsid w:val="004E01C4"/>
    <w:rsid w:val="004E05C6"/>
    <w:rsid w:val="004E06BF"/>
    <w:rsid w:val="004E0BAF"/>
    <w:rsid w:val="004E0BD1"/>
    <w:rsid w:val="004E0C7B"/>
    <w:rsid w:val="004E0F1F"/>
    <w:rsid w:val="004E20F6"/>
    <w:rsid w:val="004E2177"/>
    <w:rsid w:val="004E2991"/>
    <w:rsid w:val="004E2F3F"/>
    <w:rsid w:val="004E3F10"/>
    <w:rsid w:val="004E4687"/>
    <w:rsid w:val="004E488E"/>
    <w:rsid w:val="004E4ED0"/>
    <w:rsid w:val="004E4ED4"/>
    <w:rsid w:val="004E5C83"/>
    <w:rsid w:val="004E5D89"/>
    <w:rsid w:val="004E6EC9"/>
    <w:rsid w:val="004E723F"/>
    <w:rsid w:val="004F010A"/>
    <w:rsid w:val="004F0209"/>
    <w:rsid w:val="004F0386"/>
    <w:rsid w:val="004F0451"/>
    <w:rsid w:val="004F0606"/>
    <w:rsid w:val="004F0A69"/>
    <w:rsid w:val="004F0B69"/>
    <w:rsid w:val="004F141A"/>
    <w:rsid w:val="004F1866"/>
    <w:rsid w:val="004F1C67"/>
    <w:rsid w:val="004F1DC2"/>
    <w:rsid w:val="004F2CED"/>
    <w:rsid w:val="004F3212"/>
    <w:rsid w:val="004F39C9"/>
    <w:rsid w:val="004F4025"/>
    <w:rsid w:val="004F4053"/>
    <w:rsid w:val="004F41AD"/>
    <w:rsid w:val="004F45DA"/>
    <w:rsid w:val="004F476A"/>
    <w:rsid w:val="004F484C"/>
    <w:rsid w:val="004F4ABE"/>
    <w:rsid w:val="004F4AE8"/>
    <w:rsid w:val="004F51D5"/>
    <w:rsid w:val="004F5338"/>
    <w:rsid w:val="004F5491"/>
    <w:rsid w:val="004F5495"/>
    <w:rsid w:val="004F718F"/>
    <w:rsid w:val="004F7918"/>
    <w:rsid w:val="005018F1"/>
    <w:rsid w:val="0050218C"/>
    <w:rsid w:val="00502637"/>
    <w:rsid w:val="00502D21"/>
    <w:rsid w:val="00502E9D"/>
    <w:rsid w:val="0050308D"/>
    <w:rsid w:val="00503589"/>
    <w:rsid w:val="005037A0"/>
    <w:rsid w:val="00503C35"/>
    <w:rsid w:val="00503C74"/>
    <w:rsid w:val="005045B9"/>
    <w:rsid w:val="005049B2"/>
    <w:rsid w:val="00504C5E"/>
    <w:rsid w:val="00504D6E"/>
    <w:rsid w:val="00504F6A"/>
    <w:rsid w:val="00505118"/>
    <w:rsid w:val="005056CA"/>
    <w:rsid w:val="00505E7B"/>
    <w:rsid w:val="00506173"/>
    <w:rsid w:val="0050625F"/>
    <w:rsid w:val="00506267"/>
    <w:rsid w:val="00506653"/>
    <w:rsid w:val="00506E36"/>
    <w:rsid w:val="005072A8"/>
    <w:rsid w:val="00507803"/>
    <w:rsid w:val="00510287"/>
    <w:rsid w:val="00510542"/>
    <w:rsid w:val="00510674"/>
    <w:rsid w:val="00510873"/>
    <w:rsid w:val="00510D0E"/>
    <w:rsid w:val="00510EA0"/>
    <w:rsid w:val="00510F18"/>
    <w:rsid w:val="00511399"/>
    <w:rsid w:val="005115AF"/>
    <w:rsid w:val="00511770"/>
    <w:rsid w:val="00511D13"/>
    <w:rsid w:val="0051243E"/>
    <w:rsid w:val="00512A11"/>
    <w:rsid w:val="00512CC1"/>
    <w:rsid w:val="00513082"/>
    <w:rsid w:val="0051328D"/>
    <w:rsid w:val="0051351A"/>
    <w:rsid w:val="00513758"/>
    <w:rsid w:val="0051425D"/>
    <w:rsid w:val="0051442D"/>
    <w:rsid w:val="00514500"/>
    <w:rsid w:val="00514581"/>
    <w:rsid w:val="00515657"/>
    <w:rsid w:val="005158D5"/>
    <w:rsid w:val="00515BDF"/>
    <w:rsid w:val="00515C04"/>
    <w:rsid w:val="005167B7"/>
    <w:rsid w:val="0051704A"/>
    <w:rsid w:val="00517360"/>
    <w:rsid w:val="00517743"/>
    <w:rsid w:val="00517E8C"/>
    <w:rsid w:val="00520167"/>
    <w:rsid w:val="00520809"/>
    <w:rsid w:val="005209B3"/>
    <w:rsid w:val="00521535"/>
    <w:rsid w:val="0052169C"/>
    <w:rsid w:val="00521999"/>
    <w:rsid w:val="00522286"/>
    <w:rsid w:val="00522F91"/>
    <w:rsid w:val="0052313A"/>
    <w:rsid w:val="005237A6"/>
    <w:rsid w:val="005237F4"/>
    <w:rsid w:val="00523A2B"/>
    <w:rsid w:val="00524408"/>
    <w:rsid w:val="00524509"/>
    <w:rsid w:val="00524545"/>
    <w:rsid w:val="005247AF"/>
    <w:rsid w:val="005248ED"/>
    <w:rsid w:val="00524C98"/>
    <w:rsid w:val="005259C2"/>
    <w:rsid w:val="00525CEF"/>
    <w:rsid w:val="005260A6"/>
    <w:rsid w:val="0052648D"/>
    <w:rsid w:val="00526DCC"/>
    <w:rsid w:val="00526EB6"/>
    <w:rsid w:val="005271B1"/>
    <w:rsid w:val="00527A48"/>
    <w:rsid w:val="00527CE9"/>
    <w:rsid w:val="00530307"/>
    <w:rsid w:val="0053049D"/>
    <w:rsid w:val="005308BF"/>
    <w:rsid w:val="00530AA7"/>
    <w:rsid w:val="00530AE7"/>
    <w:rsid w:val="00530AEF"/>
    <w:rsid w:val="00530E66"/>
    <w:rsid w:val="005316CD"/>
    <w:rsid w:val="00531982"/>
    <w:rsid w:val="00531FF9"/>
    <w:rsid w:val="00532364"/>
    <w:rsid w:val="0053245E"/>
    <w:rsid w:val="00532461"/>
    <w:rsid w:val="00532683"/>
    <w:rsid w:val="00532E64"/>
    <w:rsid w:val="00532F38"/>
    <w:rsid w:val="005335DF"/>
    <w:rsid w:val="00533E36"/>
    <w:rsid w:val="00533E89"/>
    <w:rsid w:val="00533F57"/>
    <w:rsid w:val="0053406A"/>
    <w:rsid w:val="0053441E"/>
    <w:rsid w:val="00534B73"/>
    <w:rsid w:val="00534C70"/>
    <w:rsid w:val="00535228"/>
    <w:rsid w:val="00535523"/>
    <w:rsid w:val="005358B9"/>
    <w:rsid w:val="00535B54"/>
    <w:rsid w:val="00536087"/>
    <w:rsid w:val="00537B82"/>
    <w:rsid w:val="00540289"/>
    <w:rsid w:val="00540313"/>
    <w:rsid w:val="005403CD"/>
    <w:rsid w:val="00540E1F"/>
    <w:rsid w:val="005419A2"/>
    <w:rsid w:val="00541B40"/>
    <w:rsid w:val="005431A3"/>
    <w:rsid w:val="0054348E"/>
    <w:rsid w:val="00543C68"/>
    <w:rsid w:val="0054494D"/>
    <w:rsid w:val="00544BED"/>
    <w:rsid w:val="00544E07"/>
    <w:rsid w:val="00545563"/>
    <w:rsid w:val="0054577D"/>
    <w:rsid w:val="00545E33"/>
    <w:rsid w:val="005462C3"/>
    <w:rsid w:val="0054683A"/>
    <w:rsid w:val="00546B6D"/>
    <w:rsid w:val="00546CBE"/>
    <w:rsid w:val="00547D35"/>
    <w:rsid w:val="00550512"/>
    <w:rsid w:val="00550864"/>
    <w:rsid w:val="00551030"/>
    <w:rsid w:val="00551DD3"/>
    <w:rsid w:val="005521A1"/>
    <w:rsid w:val="0055236C"/>
    <w:rsid w:val="00552598"/>
    <w:rsid w:val="005529B4"/>
    <w:rsid w:val="005529B5"/>
    <w:rsid w:val="00553340"/>
    <w:rsid w:val="005534CA"/>
    <w:rsid w:val="00553943"/>
    <w:rsid w:val="00553CB4"/>
    <w:rsid w:val="00553F85"/>
    <w:rsid w:val="00554074"/>
    <w:rsid w:val="00554155"/>
    <w:rsid w:val="0055452D"/>
    <w:rsid w:val="00554989"/>
    <w:rsid w:val="0055687E"/>
    <w:rsid w:val="00556A48"/>
    <w:rsid w:val="005602BC"/>
    <w:rsid w:val="005602C5"/>
    <w:rsid w:val="00560442"/>
    <w:rsid w:val="0056081B"/>
    <w:rsid w:val="0056102F"/>
    <w:rsid w:val="00561091"/>
    <w:rsid w:val="0056116C"/>
    <w:rsid w:val="00561779"/>
    <w:rsid w:val="00562B8B"/>
    <w:rsid w:val="005630B6"/>
    <w:rsid w:val="00563A2C"/>
    <w:rsid w:val="00563F46"/>
    <w:rsid w:val="005641B1"/>
    <w:rsid w:val="00564584"/>
    <w:rsid w:val="005648FD"/>
    <w:rsid w:val="00564C73"/>
    <w:rsid w:val="00564D63"/>
    <w:rsid w:val="00564DFC"/>
    <w:rsid w:val="0056506F"/>
    <w:rsid w:val="00565657"/>
    <w:rsid w:val="00565F79"/>
    <w:rsid w:val="00566155"/>
    <w:rsid w:val="005665D9"/>
    <w:rsid w:val="00566E63"/>
    <w:rsid w:val="00567482"/>
    <w:rsid w:val="005674D3"/>
    <w:rsid w:val="00570199"/>
    <w:rsid w:val="00570508"/>
    <w:rsid w:val="005706D9"/>
    <w:rsid w:val="00570CEF"/>
    <w:rsid w:val="0057185A"/>
    <w:rsid w:val="00571AD5"/>
    <w:rsid w:val="00571D18"/>
    <w:rsid w:val="00571E8A"/>
    <w:rsid w:val="0057202C"/>
    <w:rsid w:val="005720C5"/>
    <w:rsid w:val="005747E6"/>
    <w:rsid w:val="0057484D"/>
    <w:rsid w:val="00574AE3"/>
    <w:rsid w:val="00574CE7"/>
    <w:rsid w:val="00574D25"/>
    <w:rsid w:val="0057566C"/>
    <w:rsid w:val="0057616B"/>
    <w:rsid w:val="00576E5E"/>
    <w:rsid w:val="00576FB0"/>
    <w:rsid w:val="0057711A"/>
    <w:rsid w:val="0057728B"/>
    <w:rsid w:val="00577D25"/>
    <w:rsid w:val="00580D43"/>
    <w:rsid w:val="00580ED0"/>
    <w:rsid w:val="00581124"/>
    <w:rsid w:val="005811DE"/>
    <w:rsid w:val="00581AA5"/>
    <w:rsid w:val="00581CE0"/>
    <w:rsid w:val="00581E05"/>
    <w:rsid w:val="00581F01"/>
    <w:rsid w:val="00582052"/>
    <w:rsid w:val="00582130"/>
    <w:rsid w:val="00582393"/>
    <w:rsid w:val="00582F6D"/>
    <w:rsid w:val="00583D18"/>
    <w:rsid w:val="00583E94"/>
    <w:rsid w:val="0058483D"/>
    <w:rsid w:val="00585109"/>
    <w:rsid w:val="005851B5"/>
    <w:rsid w:val="0058538E"/>
    <w:rsid w:val="005856E7"/>
    <w:rsid w:val="00585746"/>
    <w:rsid w:val="00585B00"/>
    <w:rsid w:val="00585B91"/>
    <w:rsid w:val="00585C0A"/>
    <w:rsid w:val="00585DD2"/>
    <w:rsid w:val="00586991"/>
    <w:rsid w:val="00586E68"/>
    <w:rsid w:val="005871F5"/>
    <w:rsid w:val="00587273"/>
    <w:rsid w:val="00587390"/>
    <w:rsid w:val="00587412"/>
    <w:rsid w:val="00587815"/>
    <w:rsid w:val="00587A19"/>
    <w:rsid w:val="005901E0"/>
    <w:rsid w:val="0059037C"/>
    <w:rsid w:val="0059079D"/>
    <w:rsid w:val="005907DC"/>
    <w:rsid w:val="00590CD4"/>
    <w:rsid w:val="00590CF4"/>
    <w:rsid w:val="005911ED"/>
    <w:rsid w:val="0059173E"/>
    <w:rsid w:val="005918F3"/>
    <w:rsid w:val="00591902"/>
    <w:rsid w:val="0059234D"/>
    <w:rsid w:val="005925F6"/>
    <w:rsid w:val="00592C7F"/>
    <w:rsid w:val="00592F05"/>
    <w:rsid w:val="00592F14"/>
    <w:rsid w:val="005930F1"/>
    <w:rsid w:val="00593885"/>
    <w:rsid w:val="00593B7A"/>
    <w:rsid w:val="005940BB"/>
    <w:rsid w:val="005954DD"/>
    <w:rsid w:val="00595C43"/>
    <w:rsid w:val="00595E9E"/>
    <w:rsid w:val="0059645E"/>
    <w:rsid w:val="00596DC2"/>
    <w:rsid w:val="0059707E"/>
    <w:rsid w:val="0059786E"/>
    <w:rsid w:val="00597F7F"/>
    <w:rsid w:val="005A0460"/>
    <w:rsid w:val="005A0816"/>
    <w:rsid w:val="005A08D1"/>
    <w:rsid w:val="005A0A08"/>
    <w:rsid w:val="005A0DE8"/>
    <w:rsid w:val="005A0E10"/>
    <w:rsid w:val="005A1042"/>
    <w:rsid w:val="005A1449"/>
    <w:rsid w:val="005A1691"/>
    <w:rsid w:val="005A2319"/>
    <w:rsid w:val="005A29D5"/>
    <w:rsid w:val="005A2B5F"/>
    <w:rsid w:val="005A3BD2"/>
    <w:rsid w:val="005A3C31"/>
    <w:rsid w:val="005A403B"/>
    <w:rsid w:val="005A4240"/>
    <w:rsid w:val="005A4875"/>
    <w:rsid w:val="005A493B"/>
    <w:rsid w:val="005A51BD"/>
    <w:rsid w:val="005A5363"/>
    <w:rsid w:val="005A5455"/>
    <w:rsid w:val="005A56C0"/>
    <w:rsid w:val="005A5725"/>
    <w:rsid w:val="005A58DC"/>
    <w:rsid w:val="005A676D"/>
    <w:rsid w:val="005A69D4"/>
    <w:rsid w:val="005A6ABC"/>
    <w:rsid w:val="005A7060"/>
    <w:rsid w:val="005B087F"/>
    <w:rsid w:val="005B0E95"/>
    <w:rsid w:val="005B0ED0"/>
    <w:rsid w:val="005B1094"/>
    <w:rsid w:val="005B128B"/>
    <w:rsid w:val="005B174A"/>
    <w:rsid w:val="005B1842"/>
    <w:rsid w:val="005B1ABC"/>
    <w:rsid w:val="005B1BA7"/>
    <w:rsid w:val="005B1C37"/>
    <w:rsid w:val="005B1DC9"/>
    <w:rsid w:val="005B204B"/>
    <w:rsid w:val="005B2EAB"/>
    <w:rsid w:val="005B2EB8"/>
    <w:rsid w:val="005B3097"/>
    <w:rsid w:val="005B30C4"/>
    <w:rsid w:val="005B327B"/>
    <w:rsid w:val="005B35B3"/>
    <w:rsid w:val="005B37D6"/>
    <w:rsid w:val="005B3E6E"/>
    <w:rsid w:val="005B485A"/>
    <w:rsid w:val="005B4D49"/>
    <w:rsid w:val="005B5046"/>
    <w:rsid w:val="005B5208"/>
    <w:rsid w:val="005B53A2"/>
    <w:rsid w:val="005B5693"/>
    <w:rsid w:val="005B651D"/>
    <w:rsid w:val="005B6639"/>
    <w:rsid w:val="005B6A5E"/>
    <w:rsid w:val="005B6D1A"/>
    <w:rsid w:val="005B7A95"/>
    <w:rsid w:val="005B7E86"/>
    <w:rsid w:val="005C003B"/>
    <w:rsid w:val="005C059F"/>
    <w:rsid w:val="005C0743"/>
    <w:rsid w:val="005C12E8"/>
    <w:rsid w:val="005C1C48"/>
    <w:rsid w:val="005C1E18"/>
    <w:rsid w:val="005C1FE2"/>
    <w:rsid w:val="005C21F0"/>
    <w:rsid w:val="005C22CE"/>
    <w:rsid w:val="005C2753"/>
    <w:rsid w:val="005C3B44"/>
    <w:rsid w:val="005C3F67"/>
    <w:rsid w:val="005C438F"/>
    <w:rsid w:val="005C538F"/>
    <w:rsid w:val="005C5E04"/>
    <w:rsid w:val="005C5E6E"/>
    <w:rsid w:val="005C6153"/>
    <w:rsid w:val="005C68A1"/>
    <w:rsid w:val="005C69D7"/>
    <w:rsid w:val="005C701E"/>
    <w:rsid w:val="005C7334"/>
    <w:rsid w:val="005C7B53"/>
    <w:rsid w:val="005C7BF6"/>
    <w:rsid w:val="005C7CB7"/>
    <w:rsid w:val="005D0147"/>
    <w:rsid w:val="005D017E"/>
    <w:rsid w:val="005D06D1"/>
    <w:rsid w:val="005D0FAE"/>
    <w:rsid w:val="005D117D"/>
    <w:rsid w:val="005D15DB"/>
    <w:rsid w:val="005D1F6B"/>
    <w:rsid w:val="005D24A9"/>
    <w:rsid w:val="005D28EA"/>
    <w:rsid w:val="005D2D62"/>
    <w:rsid w:val="005D3E83"/>
    <w:rsid w:val="005D4245"/>
    <w:rsid w:val="005D48A9"/>
    <w:rsid w:val="005D4ED8"/>
    <w:rsid w:val="005D525E"/>
    <w:rsid w:val="005D536E"/>
    <w:rsid w:val="005D57BD"/>
    <w:rsid w:val="005D5AB9"/>
    <w:rsid w:val="005D678C"/>
    <w:rsid w:val="005D68CD"/>
    <w:rsid w:val="005D73AA"/>
    <w:rsid w:val="005D7AE1"/>
    <w:rsid w:val="005D7E24"/>
    <w:rsid w:val="005E01EE"/>
    <w:rsid w:val="005E0C40"/>
    <w:rsid w:val="005E0E58"/>
    <w:rsid w:val="005E0EBF"/>
    <w:rsid w:val="005E1128"/>
    <w:rsid w:val="005E113F"/>
    <w:rsid w:val="005E11EA"/>
    <w:rsid w:val="005E1431"/>
    <w:rsid w:val="005E1723"/>
    <w:rsid w:val="005E1E6E"/>
    <w:rsid w:val="005E20DE"/>
    <w:rsid w:val="005E253B"/>
    <w:rsid w:val="005E2644"/>
    <w:rsid w:val="005E2A89"/>
    <w:rsid w:val="005E2DB7"/>
    <w:rsid w:val="005E2F6B"/>
    <w:rsid w:val="005E3622"/>
    <w:rsid w:val="005E3783"/>
    <w:rsid w:val="005E3E61"/>
    <w:rsid w:val="005E3FCA"/>
    <w:rsid w:val="005E4297"/>
    <w:rsid w:val="005E4439"/>
    <w:rsid w:val="005E4C5C"/>
    <w:rsid w:val="005E551E"/>
    <w:rsid w:val="005E5CC2"/>
    <w:rsid w:val="005E5FE3"/>
    <w:rsid w:val="005E6388"/>
    <w:rsid w:val="005E6505"/>
    <w:rsid w:val="005E6ABC"/>
    <w:rsid w:val="005E7E99"/>
    <w:rsid w:val="005F0308"/>
    <w:rsid w:val="005F0565"/>
    <w:rsid w:val="005F0BCB"/>
    <w:rsid w:val="005F0BF7"/>
    <w:rsid w:val="005F0F83"/>
    <w:rsid w:val="005F1E8D"/>
    <w:rsid w:val="005F1F92"/>
    <w:rsid w:val="005F25FB"/>
    <w:rsid w:val="005F2DE2"/>
    <w:rsid w:val="005F3078"/>
    <w:rsid w:val="005F40A4"/>
    <w:rsid w:val="005F47C8"/>
    <w:rsid w:val="005F51A0"/>
    <w:rsid w:val="005F5C46"/>
    <w:rsid w:val="005F5C54"/>
    <w:rsid w:val="005F5ED8"/>
    <w:rsid w:val="005F61CC"/>
    <w:rsid w:val="005F6470"/>
    <w:rsid w:val="005F6672"/>
    <w:rsid w:val="005F67FE"/>
    <w:rsid w:val="005F6DC8"/>
    <w:rsid w:val="005F70D5"/>
    <w:rsid w:val="005F7138"/>
    <w:rsid w:val="005F722D"/>
    <w:rsid w:val="005F74E8"/>
    <w:rsid w:val="005F7E34"/>
    <w:rsid w:val="006007FC"/>
    <w:rsid w:val="00600B13"/>
    <w:rsid w:val="0060128E"/>
    <w:rsid w:val="006012AE"/>
    <w:rsid w:val="0060151F"/>
    <w:rsid w:val="00601AB5"/>
    <w:rsid w:val="00602090"/>
    <w:rsid w:val="00602289"/>
    <w:rsid w:val="00602594"/>
    <w:rsid w:val="006031B7"/>
    <w:rsid w:val="006034D9"/>
    <w:rsid w:val="00603632"/>
    <w:rsid w:val="0060497E"/>
    <w:rsid w:val="00604AD0"/>
    <w:rsid w:val="00604AFC"/>
    <w:rsid w:val="00604C65"/>
    <w:rsid w:val="00604E06"/>
    <w:rsid w:val="0060500C"/>
    <w:rsid w:val="006052F5"/>
    <w:rsid w:val="0060541B"/>
    <w:rsid w:val="006058F7"/>
    <w:rsid w:val="00605D27"/>
    <w:rsid w:val="00606A78"/>
    <w:rsid w:val="00606BCE"/>
    <w:rsid w:val="006071F1"/>
    <w:rsid w:val="00607569"/>
    <w:rsid w:val="0061005A"/>
    <w:rsid w:val="00610C3D"/>
    <w:rsid w:val="006118B0"/>
    <w:rsid w:val="00611DE3"/>
    <w:rsid w:val="0061206D"/>
    <w:rsid w:val="006120CA"/>
    <w:rsid w:val="00612A20"/>
    <w:rsid w:val="00613490"/>
    <w:rsid w:val="00613600"/>
    <w:rsid w:val="0061375C"/>
    <w:rsid w:val="0061385A"/>
    <w:rsid w:val="00613E76"/>
    <w:rsid w:val="006144B1"/>
    <w:rsid w:val="006147DD"/>
    <w:rsid w:val="00614B77"/>
    <w:rsid w:val="00614ED8"/>
    <w:rsid w:val="00615372"/>
    <w:rsid w:val="006153CE"/>
    <w:rsid w:val="00615A32"/>
    <w:rsid w:val="00615E7B"/>
    <w:rsid w:val="00617148"/>
    <w:rsid w:val="006178E2"/>
    <w:rsid w:val="00617B72"/>
    <w:rsid w:val="00617C74"/>
    <w:rsid w:val="00620000"/>
    <w:rsid w:val="00620115"/>
    <w:rsid w:val="0062030A"/>
    <w:rsid w:val="00620D58"/>
    <w:rsid w:val="00620D9D"/>
    <w:rsid w:val="00620FCC"/>
    <w:rsid w:val="00621354"/>
    <w:rsid w:val="00621532"/>
    <w:rsid w:val="00621EED"/>
    <w:rsid w:val="00622748"/>
    <w:rsid w:val="00622995"/>
    <w:rsid w:val="00622AFB"/>
    <w:rsid w:val="00622EC0"/>
    <w:rsid w:val="006230ED"/>
    <w:rsid w:val="006231EB"/>
    <w:rsid w:val="0062396C"/>
    <w:rsid w:val="00623C71"/>
    <w:rsid w:val="00623EFC"/>
    <w:rsid w:val="00624871"/>
    <w:rsid w:val="00624B8F"/>
    <w:rsid w:val="006259F4"/>
    <w:rsid w:val="00625BAF"/>
    <w:rsid w:val="00625D9C"/>
    <w:rsid w:val="0062634D"/>
    <w:rsid w:val="00626384"/>
    <w:rsid w:val="00626727"/>
    <w:rsid w:val="006268D8"/>
    <w:rsid w:val="00626FD4"/>
    <w:rsid w:val="0062716E"/>
    <w:rsid w:val="0062790B"/>
    <w:rsid w:val="00627A8E"/>
    <w:rsid w:val="00630568"/>
    <w:rsid w:val="00630A0C"/>
    <w:rsid w:val="00630B03"/>
    <w:rsid w:val="00630BA5"/>
    <w:rsid w:val="00630C6D"/>
    <w:rsid w:val="00631CE2"/>
    <w:rsid w:val="00631E1E"/>
    <w:rsid w:val="00632480"/>
    <w:rsid w:val="006326FF"/>
    <w:rsid w:val="00633120"/>
    <w:rsid w:val="006339D3"/>
    <w:rsid w:val="00633E4D"/>
    <w:rsid w:val="00633E8F"/>
    <w:rsid w:val="00633F06"/>
    <w:rsid w:val="00634064"/>
    <w:rsid w:val="006341BA"/>
    <w:rsid w:val="00634451"/>
    <w:rsid w:val="00634E44"/>
    <w:rsid w:val="006350AF"/>
    <w:rsid w:val="006355E0"/>
    <w:rsid w:val="006357F5"/>
    <w:rsid w:val="00635BB9"/>
    <w:rsid w:val="006362E7"/>
    <w:rsid w:val="00636FCF"/>
    <w:rsid w:val="00637057"/>
    <w:rsid w:val="006374D7"/>
    <w:rsid w:val="006377F0"/>
    <w:rsid w:val="00637A97"/>
    <w:rsid w:val="00640342"/>
    <w:rsid w:val="006403D1"/>
    <w:rsid w:val="006407AC"/>
    <w:rsid w:val="006407D2"/>
    <w:rsid w:val="006427BB"/>
    <w:rsid w:val="00642C66"/>
    <w:rsid w:val="00643412"/>
    <w:rsid w:val="006434AB"/>
    <w:rsid w:val="00643E0D"/>
    <w:rsid w:val="006440A0"/>
    <w:rsid w:val="0064414A"/>
    <w:rsid w:val="006449F3"/>
    <w:rsid w:val="00644F75"/>
    <w:rsid w:val="00644F76"/>
    <w:rsid w:val="0064502C"/>
    <w:rsid w:val="00645139"/>
    <w:rsid w:val="006457E5"/>
    <w:rsid w:val="00645819"/>
    <w:rsid w:val="00645852"/>
    <w:rsid w:val="006459ED"/>
    <w:rsid w:val="00645DC3"/>
    <w:rsid w:val="00646383"/>
    <w:rsid w:val="006464FC"/>
    <w:rsid w:val="00646A89"/>
    <w:rsid w:val="00646BCB"/>
    <w:rsid w:val="00646DAA"/>
    <w:rsid w:val="00646DED"/>
    <w:rsid w:val="006473D1"/>
    <w:rsid w:val="00647AA7"/>
    <w:rsid w:val="00647C72"/>
    <w:rsid w:val="0065006F"/>
    <w:rsid w:val="006503DC"/>
    <w:rsid w:val="00650421"/>
    <w:rsid w:val="00650557"/>
    <w:rsid w:val="00650B59"/>
    <w:rsid w:val="006517A5"/>
    <w:rsid w:val="006518E3"/>
    <w:rsid w:val="00652000"/>
    <w:rsid w:val="0065211B"/>
    <w:rsid w:val="00652F71"/>
    <w:rsid w:val="00653670"/>
    <w:rsid w:val="00654028"/>
    <w:rsid w:val="00655055"/>
    <w:rsid w:val="0065554B"/>
    <w:rsid w:val="00655775"/>
    <w:rsid w:val="00655862"/>
    <w:rsid w:val="00655C8A"/>
    <w:rsid w:val="00656008"/>
    <w:rsid w:val="0065639E"/>
    <w:rsid w:val="00656641"/>
    <w:rsid w:val="006567BA"/>
    <w:rsid w:val="006570B4"/>
    <w:rsid w:val="0065766D"/>
    <w:rsid w:val="0066041D"/>
    <w:rsid w:val="0066080C"/>
    <w:rsid w:val="00660ACA"/>
    <w:rsid w:val="00661409"/>
    <w:rsid w:val="006616AA"/>
    <w:rsid w:val="00661E63"/>
    <w:rsid w:val="00661F28"/>
    <w:rsid w:val="0066206F"/>
    <w:rsid w:val="00662CA6"/>
    <w:rsid w:val="00663515"/>
    <w:rsid w:val="00663A1D"/>
    <w:rsid w:val="00664939"/>
    <w:rsid w:val="00664A59"/>
    <w:rsid w:val="00664DFA"/>
    <w:rsid w:val="00664E9E"/>
    <w:rsid w:val="00665589"/>
    <w:rsid w:val="0066584A"/>
    <w:rsid w:val="00665E45"/>
    <w:rsid w:val="0066660B"/>
    <w:rsid w:val="006668BB"/>
    <w:rsid w:val="0066695A"/>
    <w:rsid w:val="00666B3B"/>
    <w:rsid w:val="00666F8A"/>
    <w:rsid w:val="006673B0"/>
    <w:rsid w:val="00667AB4"/>
    <w:rsid w:val="00670058"/>
    <w:rsid w:val="006700DB"/>
    <w:rsid w:val="006701D2"/>
    <w:rsid w:val="00670251"/>
    <w:rsid w:val="0067175A"/>
    <w:rsid w:val="00671868"/>
    <w:rsid w:val="0067213D"/>
    <w:rsid w:val="0067274F"/>
    <w:rsid w:val="00673A72"/>
    <w:rsid w:val="0067418C"/>
    <w:rsid w:val="0067472B"/>
    <w:rsid w:val="006747DE"/>
    <w:rsid w:val="006747FA"/>
    <w:rsid w:val="00674896"/>
    <w:rsid w:val="00674AF7"/>
    <w:rsid w:val="00674B49"/>
    <w:rsid w:val="00675368"/>
    <w:rsid w:val="006758B0"/>
    <w:rsid w:val="00675B5A"/>
    <w:rsid w:val="00675DBC"/>
    <w:rsid w:val="006763EB"/>
    <w:rsid w:val="0067659C"/>
    <w:rsid w:val="0067663E"/>
    <w:rsid w:val="00676B3F"/>
    <w:rsid w:val="00676D2B"/>
    <w:rsid w:val="00676FB4"/>
    <w:rsid w:val="0067704F"/>
    <w:rsid w:val="00677754"/>
    <w:rsid w:val="006779FF"/>
    <w:rsid w:val="00677A8D"/>
    <w:rsid w:val="006806B2"/>
    <w:rsid w:val="00680901"/>
    <w:rsid w:val="00681088"/>
    <w:rsid w:val="00682422"/>
    <w:rsid w:val="00682936"/>
    <w:rsid w:val="00682BDA"/>
    <w:rsid w:val="00682C71"/>
    <w:rsid w:val="00682CE2"/>
    <w:rsid w:val="00683BF8"/>
    <w:rsid w:val="00683DAF"/>
    <w:rsid w:val="00684E2D"/>
    <w:rsid w:val="00685579"/>
    <w:rsid w:val="0068563E"/>
    <w:rsid w:val="006856EE"/>
    <w:rsid w:val="006857B4"/>
    <w:rsid w:val="006859A4"/>
    <w:rsid w:val="00685A7D"/>
    <w:rsid w:val="00686399"/>
    <w:rsid w:val="00686415"/>
    <w:rsid w:val="00686A9B"/>
    <w:rsid w:val="00686D72"/>
    <w:rsid w:val="006873C3"/>
    <w:rsid w:val="0068749D"/>
    <w:rsid w:val="006874C9"/>
    <w:rsid w:val="00687790"/>
    <w:rsid w:val="00687C72"/>
    <w:rsid w:val="00690B51"/>
    <w:rsid w:val="00690CB4"/>
    <w:rsid w:val="00690D51"/>
    <w:rsid w:val="00690F4C"/>
    <w:rsid w:val="006914B2"/>
    <w:rsid w:val="006919C5"/>
    <w:rsid w:val="00691C52"/>
    <w:rsid w:val="00691CB3"/>
    <w:rsid w:val="00692099"/>
    <w:rsid w:val="006921F1"/>
    <w:rsid w:val="00692783"/>
    <w:rsid w:val="006929B4"/>
    <w:rsid w:val="00692A33"/>
    <w:rsid w:val="00692F37"/>
    <w:rsid w:val="00692F96"/>
    <w:rsid w:val="006930EC"/>
    <w:rsid w:val="006934D4"/>
    <w:rsid w:val="00693998"/>
    <w:rsid w:val="006939DA"/>
    <w:rsid w:val="00693C16"/>
    <w:rsid w:val="00693E6E"/>
    <w:rsid w:val="006943DD"/>
    <w:rsid w:val="00694858"/>
    <w:rsid w:val="006948AC"/>
    <w:rsid w:val="00694A65"/>
    <w:rsid w:val="00695166"/>
    <w:rsid w:val="0069526A"/>
    <w:rsid w:val="006954EC"/>
    <w:rsid w:val="006959F0"/>
    <w:rsid w:val="00695A63"/>
    <w:rsid w:val="00695C81"/>
    <w:rsid w:val="00695C9D"/>
    <w:rsid w:val="00695E47"/>
    <w:rsid w:val="00695EEC"/>
    <w:rsid w:val="00696A79"/>
    <w:rsid w:val="00696AF8"/>
    <w:rsid w:val="00696DD6"/>
    <w:rsid w:val="00696F1E"/>
    <w:rsid w:val="00697062"/>
    <w:rsid w:val="006973A2"/>
    <w:rsid w:val="0069745E"/>
    <w:rsid w:val="006A00FC"/>
    <w:rsid w:val="006A034C"/>
    <w:rsid w:val="006A0E9F"/>
    <w:rsid w:val="006A1540"/>
    <w:rsid w:val="006A19A0"/>
    <w:rsid w:val="006A1B0E"/>
    <w:rsid w:val="006A2063"/>
    <w:rsid w:val="006A2165"/>
    <w:rsid w:val="006A2479"/>
    <w:rsid w:val="006A29BC"/>
    <w:rsid w:val="006A29F5"/>
    <w:rsid w:val="006A33F0"/>
    <w:rsid w:val="006A3758"/>
    <w:rsid w:val="006A390A"/>
    <w:rsid w:val="006A3E20"/>
    <w:rsid w:val="006A4797"/>
    <w:rsid w:val="006A4863"/>
    <w:rsid w:val="006A5027"/>
    <w:rsid w:val="006A55D6"/>
    <w:rsid w:val="006A5FA3"/>
    <w:rsid w:val="006A60CC"/>
    <w:rsid w:val="006A6450"/>
    <w:rsid w:val="006A6D99"/>
    <w:rsid w:val="006A6F2A"/>
    <w:rsid w:val="006A702E"/>
    <w:rsid w:val="006A7999"/>
    <w:rsid w:val="006B0A8F"/>
    <w:rsid w:val="006B0D02"/>
    <w:rsid w:val="006B120F"/>
    <w:rsid w:val="006B1625"/>
    <w:rsid w:val="006B2085"/>
    <w:rsid w:val="006B2108"/>
    <w:rsid w:val="006B23AF"/>
    <w:rsid w:val="006B247B"/>
    <w:rsid w:val="006B27D1"/>
    <w:rsid w:val="006B322D"/>
    <w:rsid w:val="006B444D"/>
    <w:rsid w:val="006B5238"/>
    <w:rsid w:val="006B53D9"/>
    <w:rsid w:val="006B6652"/>
    <w:rsid w:val="006B68C7"/>
    <w:rsid w:val="006B7196"/>
    <w:rsid w:val="006C0379"/>
    <w:rsid w:val="006C078F"/>
    <w:rsid w:val="006C307F"/>
    <w:rsid w:val="006C346A"/>
    <w:rsid w:val="006C3927"/>
    <w:rsid w:val="006C3B32"/>
    <w:rsid w:val="006C3EAF"/>
    <w:rsid w:val="006C417B"/>
    <w:rsid w:val="006C493D"/>
    <w:rsid w:val="006C5A0C"/>
    <w:rsid w:val="006C5ABA"/>
    <w:rsid w:val="006C5B97"/>
    <w:rsid w:val="006C608C"/>
    <w:rsid w:val="006C64B0"/>
    <w:rsid w:val="006C6BB3"/>
    <w:rsid w:val="006D02C9"/>
    <w:rsid w:val="006D075B"/>
    <w:rsid w:val="006D133D"/>
    <w:rsid w:val="006D16A7"/>
    <w:rsid w:val="006D1735"/>
    <w:rsid w:val="006D1975"/>
    <w:rsid w:val="006D2287"/>
    <w:rsid w:val="006D22B4"/>
    <w:rsid w:val="006D2516"/>
    <w:rsid w:val="006D2B32"/>
    <w:rsid w:val="006D3427"/>
    <w:rsid w:val="006D39E3"/>
    <w:rsid w:val="006D40E6"/>
    <w:rsid w:val="006D4132"/>
    <w:rsid w:val="006D42E4"/>
    <w:rsid w:val="006D45FB"/>
    <w:rsid w:val="006D4B8B"/>
    <w:rsid w:val="006D4DD0"/>
    <w:rsid w:val="006D4F6E"/>
    <w:rsid w:val="006D61F7"/>
    <w:rsid w:val="006D6662"/>
    <w:rsid w:val="006D750A"/>
    <w:rsid w:val="006D78BC"/>
    <w:rsid w:val="006D7D9E"/>
    <w:rsid w:val="006D7EF7"/>
    <w:rsid w:val="006E0FCC"/>
    <w:rsid w:val="006E1111"/>
    <w:rsid w:val="006E1347"/>
    <w:rsid w:val="006E146B"/>
    <w:rsid w:val="006E1914"/>
    <w:rsid w:val="006E1C1F"/>
    <w:rsid w:val="006E2B1B"/>
    <w:rsid w:val="006E2C6D"/>
    <w:rsid w:val="006E2F4A"/>
    <w:rsid w:val="006E302E"/>
    <w:rsid w:val="006E325A"/>
    <w:rsid w:val="006E36DF"/>
    <w:rsid w:val="006E3C15"/>
    <w:rsid w:val="006E3DCB"/>
    <w:rsid w:val="006E4314"/>
    <w:rsid w:val="006E4354"/>
    <w:rsid w:val="006E4EE0"/>
    <w:rsid w:val="006E4F76"/>
    <w:rsid w:val="006E54C7"/>
    <w:rsid w:val="006E5C63"/>
    <w:rsid w:val="006E604A"/>
    <w:rsid w:val="006E681C"/>
    <w:rsid w:val="006E71B8"/>
    <w:rsid w:val="006F077F"/>
    <w:rsid w:val="006F0AA2"/>
    <w:rsid w:val="006F0C04"/>
    <w:rsid w:val="006F0E60"/>
    <w:rsid w:val="006F23B1"/>
    <w:rsid w:val="006F3471"/>
    <w:rsid w:val="006F3AC6"/>
    <w:rsid w:val="006F3B36"/>
    <w:rsid w:val="006F3BEF"/>
    <w:rsid w:val="006F3FAD"/>
    <w:rsid w:val="006F4AA6"/>
    <w:rsid w:val="006F4D5F"/>
    <w:rsid w:val="006F513F"/>
    <w:rsid w:val="006F5390"/>
    <w:rsid w:val="006F58F2"/>
    <w:rsid w:val="006F5B1F"/>
    <w:rsid w:val="006F6CED"/>
    <w:rsid w:val="006F7001"/>
    <w:rsid w:val="006F715B"/>
    <w:rsid w:val="007005FD"/>
    <w:rsid w:val="00700CDE"/>
    <w:rsid w:val="007011D8"/>
    <w:rsid w:val="00701A7E"/>
    <w:rsid w:val="00702FDF"/>
    <w:rsid w:val="00703133"/>
    <w:rsid w:val="00703612"/>
    <w:rsid w:val="00703707"/>
    <w:rsid w:val="00704476"/>
    <w:rsid w:val="00704A64"/>
    <w:rsid w:val="00704C2E"/>
    <w:rsid w:val="007051B2"/>
    <w:rsid w:val="007059FD"/>
    <w:rsid w:val="0070642D"/>
    <w:rsid w:val="0070675D"/>
    <w:rsid w:val="00706A77"/>
    <w:rsid w:val="00706AE1"/>
    <w:rsid w:val="00707F70"/>
    <w:rsid w:val="007102EF"/>
    <w:rsid w:val="00710309"/>
    <w:rsid w:val="0071041C"/>
    <w:rsid w:val="0071137E"/>
    <w:rsid w:val="007116F8"/>
    <w:rsid w:val="00711A1F"/>
    <w:rsid w:val="00711B9A"/>
    <w:rsid w:val="00711C83"/>
    <w:rsid w:val="00712090"/>
    <w:rsid w:val="00712C46"/>
    <w:rsid w:val="00713244"/>
    <w:rsid w:val="007134A7"/>
    <w:rsid w:val="00713EC6"/>
    <w:rsid w:val="00714086"/>
    <w:rsid w:val="0071421A"/>
    <w:rsid w:val="007144AD"/>
    <w:rsid w:val="007147FD"/>
    <w:rsid w:val="0071571F"/>
    <w:rsid w:val="00715C4E"/>
    <w:rsid w:val="00715E6C"/>
    <w:rsid w:val="00715EEE"/>
    <w:rsid w:val="00715F9C"/>
    <w:rsid w:val="00717953"/>
    <w:rsid w:val="007201B5"/>
    <w:rsid w:val="00720511"/>
    <w:rsid w:val="00720894"/>
    <w:rsid w:val="0072157A"/>
    <w:rsid w:val="007215E1"/>
    <w:rsid w:val="00721BC4"/>
    <w:rsid w:val="007220EA"/>
    <w:rsid w:val="00722990"/>
    <w:rsid w:val="00722E65"/>
    <w:rsid w:val="00723E78"/>
    <w:rsid w:val="00725674"/>
    <w:rsid w:val="0072654A"/>
    <w:rsid w:val="007267B9"/>
    <w:rsid w:val="00727341"/>
    <w:rsid w:val="00727A55"/>
    <w:rsid w:val="007306A5"/>
    <w:rsid w:val="00730A36"/>
    <w:rsid w:val="007331C2"/>
    <w:rsid w:val="007335A2"/>
    <w:rsid w:val="00734AD4"/>
    <w:rsid w:val="007350F3"/>
    <w:rsid w:val="0073513E"/>
    <w:rsid w:val="007357CF"/>
    <w:rsid w:val="00735955"/>
    <w:rsid w:val="00736172"/>
    <w:rsid w:val="007361BF"/>
    <w:rsid w:val="00737814"/>
    <w:rsid w:val="0074056C"/>
    <w:rsid w:val="00740580"/>
    <w:rsid w:val="00740B9A"/>
    <w:rsid w:val="00740C15"/>
    <w:rsid w:val="00741070"/>
    <w:rsid w:val="0074153D"/>
    <w:rsid w:val="00741582"/>
    <w:rsid w:val="007420FB"/>
    <w:rsid w:val="00742DC7"/>
    <w:rsid w:val="0074325D"/>
    <w:rsid w:val="00743C75"/>
    <w:rsid w:val="00743DEE"/>
    <w:rsid w:val="007440A4"/>
    <w:rsid w:val="00744566"/>
    <w:rsid w:val="00744A10"/>
    <w:rsid w:val="00744A5C"/>
    <w:rsid w:val="00745425"/>
    <w:rsid w:val="00745C9A"/>
    <w:rsid w:val="0074623A"/>
    <w:rsid w:val="00746D10"/>
    <w:rsid w:val="00747A64"/>
    <w:rsid w:val="007502FA"/>
    <w:rsid w:val="00750A1E"/>
    <w:rsid w:val="00752100"/>
    <w:rsid w:val="007523D7"/>
    <w:rsid w:val="007527CA"/>
    <w:rsid w:val="00752AB8"/>
    <w:rsid w:val="00752D0D"/>
    <w:rsid w:val="00752FAB"/>
    <w:rsid w:val="00753DEB"/>
    <w:rsid w:val="00753FD0"/>
    <w:rsid w:val="007549A8"/>
    <w:rsid w:val="00754F83"/>
    <w:rsid w:val="00755080"/>
    <w:rsid w:val="00755664"/>
    <w:rsid w:val="00755681"/>
    <w:rsid w:val="007558C1"/>
    <w:rsid w:val="00756884"/>
    <w:rsid w:val="00756C84"/>
    <w:rsid w:val="00756D29"/>
    <w:rsid w:val="007570AF"/>
    <w:rsid w:val="00757509"/>
    <w:rsid w:val="0075753D"/>
    <w:rsid w:val="007575B3"/>
    <w:rsid w:val="0075777D"/>
    <w:rsid w:val="0075786C"/>
    <w:rsid w:val="00757B0D"/>
    <w:rsid w:val="00757DCC"/>
    <w:rsid w:val="00757E54"/>
    <w:rsid w:val="00760080"/>
    <w:rsid w:val="007601B9"/>
    <w:rsid w:val="00760627"/>
    <w:rsid w:val="00760926"/>
    <w:rsid w:val="007616A1"/>
    <w:rsid w:val="007618D3"/>
    <w:rsid w:val="00761F57"/>
    <w:rsid w:val="00762611"/>
    <w:rsid w:val="007627A4"/>
    <w:rsid w:val="00762E88"/>
    <w:rsid w:val="0076371E"/>
    <w:rsid w:val="00763BAA"/>
    <w:rsid w:val="007641F8"/>
    <w:rsid w:val="00764989"/>
    <w:rsid w:val="00764F18"/>
    <w:rsid w:val="0076500A"/>
    <w:rsid w:val="00765054"/>
    <w:rsid w:val="007655C8"/>
    <w:rsid w:val="0076581B"/>
    <w:rsid w:val="00765A99"/>
    <w:rsid w:val="00765C97"/>
    <w:rsid w:val="0076642D"/>
    <w:rsid w:val="007668E4"/>
    <w:rsid w:val="00766944"/>
    <w:rsid w:val="00766DDB"/>
    <w:rsid w:val="00766E36"/>
    <w:rsid w:val="00767170"/>
    <w:rsid w:val="00767AD2"/>
    <w:rsid w:val="00770994"/>
    <w:rsid w:val="00770CB5"/>
    <w:rsid w:val="007710C3"/>
    <w:rsid w:val="007718D3"/>
    <w:rsid w:val="00771EBB"/>
    <w:rsid w:val="00772347"/>
    <w:rsid w:val="0077242A"/>
    <w:rsid w:val="007726BD"/>
    <w:rsid w:val="0077283C"/>
    <w:rsid w:val="00772FCB"/>
    <w:rsid w:val="007740C1"/>
    <w:rsid w:val="0077413E"/>
    <w:rsid w:val="007744E4"/>
    <w:rsid w:val="007747D3"/>
    <w:rsid w:val="00774A89"/>
    <w:rsid w:val="00774A98"/>
    <w:rsid w:val="00774BB1"/>
    <w:rsid w:val="00774F20"/>
    <w:rsid w:val="00777831"/>
    <w:rsid w:val="00777DD4"/>
    <w:rsid w:val="00780007"/>
    <w:rsid w:val="0078005F"/>
    <w:rsid w:val="0078012A"/>
    <w:rsid w:val="0078031F"/>
    <w:rsid w:val="007807FC"/>
    <w:rsid w:val="00781144"/>
    <w:rsid w:val="00781732"/>
    <w:rsid w:val="00781EF3"/>
    <w:rsid w:val="007821B2"/>
    <w:rsid w:val="00782362"/>
    <w:rsid w:val="00783C59"/>
    <w:rsid w:val="007843E3"/>
    <w:rsid w:val="007845FD"/>
    <w:rsid w:val="007846BC"/>
    <w:rsid w:val="00784D45"/>
    <w:rsid w:val="00784E30"/>
    <w:rsid w:val="00785085"/>
    <w:rsid w:val="007850B0"/>
    <w:rsid w:val="00785E7D"/>
    <w:rsid w:val="00785FDD"/>
    <w:rsid w:val="00785FF0"/>
    <w:rsid w:val="00786339"/>
    <w:rsid w:val="007868D3"/>
    <w:rsid w:val="00786B32"/>
    <w:rsid w:val="00786C87"/>
    <w:rsid w:val="00787176"/>
    <w:rsid w:val="0078778F"/>
    <w:rsid w:val="007877D8"/>
    <w:rsid w:val="00787D15"/>
    <w:rsid w:val="00787DF8"/>
    <w:rsid w:val="007904AA"/>
    <w:rsid w:val="00790B68"/>
    <w:rsid w:val="00790E8A"/>
    <w:rsid w:val="00790EAB"/>
    <w:rsid w:val="00790FBB"/>
    <w:rsid w:val="007917DE"/>
    <w:rsid w:val="00791CAE"/>
    <w:rsid w:val="00791DF6"/>
    <w:rsid w:val="00792012"/>
    <w:rsid w:val="00792166"/>
    <w:rsid w:val="00792BDC"/>
    <w:rsid w:val="00793921"/>
    <w:rsid w:val="00793B66"/>
    <w:rsid w:val="00793C95"/>
    <w:rsid w:val="00793F89"/>
    <w:rsid w:val="00794254"/>
    <w:rsid w:val="00794544"/>
    <w:rsid w:val="00794650"/>
    <w:rsid w:val="00794D17"/>
    <w:rsid w:val="007952AE"/>
    <w:rsid w:val="007955C0"/>
    <w:rsid w:val="00795A1B"/>
    <w:rsid w:val="00795C89"/>
    <w:rsid w:val="00795CFE"/>
    <w:rsid w:val="00796B0E"/>
    <w:rsid w:val="00796C0C"/>
    <w:rsid w:val="007979DF"/>
    <w:rsid w:val="00797A2F"/>
    <w:rsid w:val="00797D46"/>
    <w:rsid w:val="00797E34"/>
    <w:rsid w:val="00797FE0"/>
    <w:rsid w:val="007A08B4"/>
    <w:rsid w:val="007A0BF8"/>
    <w:rsid w:val="007A1830"/>
    <w:rsid w:val="007A1BFF"/>
    <w:rsid w:val="007A1F7A"/>
    <w:rsid w:val="007A2E83"/>
    <w:rsid w:val="007A3037"/>
    <w:rsid w:val="007A324E"/>
    <w:rsid w:val="007A34F5"/>
    <w:rsid w:val="007A35D0"/>
    <w:rsid w:val="007A3D8D"/>
    <w:rsid w:val="007A3EF0"/>
    <w:rsid w:val="007A434E"/>
    <w:rsid w:val="007A496B"/>
    <w:rsid w:val="007A49B2"/>
    <w:rsid w:val="007A4D39"/>
    <w:rsid w:val="007A50E9"/>
    <w:rsid w:val="007A5A8F"/>
    <w:rsid w:val="007A5E5A"/>
    <w:rsid w:val="007A5E6C"/>
    <w:rsid w:val="007A6F4B"/>
    <w:rsid w:val="007A75D5"/>
    <w:rsid w:val="007A75EB"/>
    <w:rsid w:val="007A7ADF"/>
    <w:rsid w:val="007A7F95"/>
    <w:rsid w:val="007B0300"/>
    <w:rsid w:val="007B0A72"/>
    <w:rsid w:val="007B0C1F"/>
    <w:rsid w:val="007B1D74"/>
    <w:rsid w:val="007B2142"/>
    <w:rsid w:val="007B21EB"/>
    <w:rsid w:val="007B2613"/>
    <w:rsid w:val="007B35F5"/>
    <w:rsid w:val="007B3C3E"/>
    <w:rsid w:val="007B4187"/>
    <w:rsid w:val="007B466C"/>
    <w:rsid w:val="007B5246"/>
    <w:rsid w:val="007B5957"/>
    <w:rsid w:val="007B5AE9"/>
    <w:rsid w:val="007B5C26"/>
    <w:rsid w:val="007B6329"/>
    <w:rsid w:val="007B6470"/>
    <w:rsid w:val="007B71CB"/>
    <w:rsid w:val="007B7B70"/>
    <w:rsid w:val="007B7C5E"/>
    <w:rsid w:val="007B7FAB"/>
    <w:rsid w:val="007C0250"/>
    <w:rsid w:val="007C0448"/>
    <w:rsid w:val="007C0476"/>
    <w:rsid w:val="007C0E38"/>
    <w:rsid w:val="007C17BE"/>
    <w:rsid w:val="007C1915"/>
    <w:rsid w:val="007C1941"/>
    <w:rsid w:val="007C19C4"/>
    <w:rsid w:val="007C1C54"/>
    <w:rsid w:val="007C24AF"/>
    <w:rsid w:val="007C28A2"/>
    <w:rsid w:val="007C31B3"/>
    <w:rsid w:val="007C32EC"/>
    <w:rsid w:val="007C3590"/>
    <w:rsid w:val="007C392D"/>
    <w:rsid w:val="007C3ACE"/>
    <w:rsid w:val="007C4000"/>
    <w:rsid w:val="007C4724"/>
    <w:rsid w:val="007C48BA"/>
    <w:rsid w:val="007C4A14"/>
    <w:rsid w:val="007C4B86"/>
    <w:rsid w:val="007C4B8E"/>
    <w:rsid w:val="007C4D78"/>
    <w:rsid w:val="007C57BF"/>
    <w:rsid w:val="007C6286"/>
    <w:rsid w:val="007C6A51"/>
    <w:rsid w:val="007C6E60"/>
    <w:rsid w:val="007C7F3F"/>
    <w:rsid w:val="007D0125"/>
    <w:rsid w:val="007D019C"/>
    <w:rsid w:val="007D0685"/>
    <w:rsid w:val="007D1020"/>
    <w:rsid w:val="007D1146"/>
    <w:rsid w:val="007D239F"/>
    <w:rsid w:val="007D27B6"/>
    <w:rsid w:val="007D286A"/>
    <w:rsid w:val="007D2A46"/>
    <w:rsid w:val="007D3018"/>
    <w:rsid w:val="007D36BC"/>
    <w:rsid w:val="007D43E1"/>
    <w:rsid w:val="007D4ACD"/>
    <w:rsid w:val="007D4F1C"/>
    <w:rsid w:val="007D531F"/>
    <w:rsid w:val="007D5362"/>
    <w:rsid w:val="007D570A"/>
    <w:rsid w:val="007D5B9E"/>
    <w:rsid w:val="007D5DFD"/>
    <w:rsid w:val="007D5FF6"/>
    <w:rsid w:val="007D652D"/>
    <w:rsid w:val="007D6AF2"/>
    <w:rsid w:val="007D6C04"/>
    <w:rsid w:val="007D7507"/>
    <w:rsid w:val="007D7871"/>
    <w:rsid w:val="007D7951"/>
    <w:rsid w:val="007D7A96"/>
    <w:rsid w:val="007E043C"/>
    <w:rsid w:val="007E0CEC"/>
    <w:rsid w:val="007E0FC2"/>
    <w:rsid w:val="007E105D"/>
    <w:rsid w:val="007E1142"/>
    <w:rsid w:val="007E16D6"/>
    <w:rsid w:val="007E26A0"/>
    <w:rsid w:val="007E3031"/>
    <w:rsid w:val="007E315A"/>
    <w:rsid w:val="007E3188"/>
    <w:rsid w:val="007E31E5"/>
    <w:rsid w:val="007E402F"/>
    <w:rsid w:val="007E40C1"/>
    <w:rsid w:val="007E4C32"/>
    <w:rsid w:val="007E4E17"/>
    <w:rsid w:val="007E5108"/>
    <w:rsid w:val="007E5148"/>
    <w:rsid w:val="007E53C5"/>
    <w:rsid w:val="007E5AE8"/>
    <w:rsid w:val="007E5EE6"/>
    <w:rsid w:val="007E6359"/>
    <w:rsid w:val="007E6A79"/>
    <w:rsid w:val="007E7737"/>
    <w:rsid w:val="007E79B0"/>
    <w:rsid w:val="007E79FD"/>
    <w:rsid w:val="007F0261"/>
    <w:rsid w:val="007F0522"/>
    <w:rsid w:val="007F1405"/>
    <w:rsid w:val="007F165C"/>
    <w:rsid w:val="007F2049"/>
    <w:rsid w:val="007F2A79"/>
    <w:rsid w:val="007F2DC4"/>
    <w:rsid w:val="007F307F"/>
    <w:rsid w:val="007F315F"/>
    <w:rsid w:val="007F3473"/>
    <w:rsid w:val="007F37B1"/>
    <w:rsid w:val="007F388A"/>
    <w:rsid w:val="007F3A83"/>
    <w:rsid w:val="007F40A7"/>
    <w:rsid w:val="007F465B"/>
    <w:rsid w:val="007F4826"/>
    <w:rsid w:val="007F4B11"/>
    <w:rsid w:val="007F541B"/>
    <w:rsid w:val="007F550D"/>
    <w:rsid w:val="007F593D"/>
    <w:rsid w:val="007F5F4F"/>
    <w:rsid w:val="007F5F82"/>
    <w:rsid w:val="007F64F9"/>
    <w:rsid w:val="007F6A5E"/>
    <w:rsid w:val="008004AE"/>
    <w:rsid w:val="008010C1"/>
    <w:rsid w:val="008011E6"/>
    <w:rsid w:val="00802867"/>
    <w:rsid w:val="00802DBE"/>
    <w:rsid w:val="00803629"/>
    <w:rsid w:val="008037C6"/>
    <w:rsid w:val="00803DC8"/>
    <w:rsid w:val="00803E27"/>
    <w:rsid w:val="008043D4"/>
    <w:rsid w:val="00804BE3"/>
    <w:rsid w:val="00805570"/>
    <w:rsid w:val="00806701"/>
    <w:rsid w:val="00807039"/>
    <w:rsid w:val="00807DA5"/>
    <w:rsid w:val="008104C4"/>
    <w:rsid w:val="00810629"/>
    <w:rsid w:val="008108AB"/>
    <w:rsid w:val="00810D34"/>
    <w:rsid w:val="00810E59"/>
    <w:rsid w:val="00810EC1"/>
    <w:rsid w:val="008110ED"/>
    <w:rsid w:val="00812657"/>
    <w:rsid w:val="008129DD"/>
    <w:rsid w:val="00812A13"/>
    <w:rsid w:val="0081318C"/>
    <w:rsid w:val="00813482"/>
    <w:rsid w:val="0081361D"/>
    <w:rsid w:val="00813877"/>
    <w:rsid w:val="00813935"/>
    <w:rsid w:val="00813E49"/>
    <w:rsid w:val="00813F36"/>
    <w:rsid w:val="008150E4"/>
    <w:rsid w:val="00815481"/>
    <w:rsid w:val="008157F6"/>
    <w:rsid w:val="00815981"/>
    <w:rsid w:val="00816848"/>
    <w:rsid w:val="00816A09"/>
    <w:rsid w:val="008208D6"/>
    <w:rsid w:val="0082197F"/>
    <w:rsid w:val="008220B8"/>
    <w:rsid w:val="00822190"/>
    <w:rsid w:val="00822505"/>
    <w:rsid w:val="008226B7"/>
    <w:rsid w:val="00823599"/>
    <w:rsid w:val="00823867"/>
    <w:rsid w:val="00823968"/>
    <w:rsid w:val="00823E23"/>
    <w:rsid w:val="00823FD8"/>
    <w:rsid w:val="0082410C"/>
    <w:rsid w:val="00824351"/>
    <w:rsid w:val="00824511"/>
    <w:rsid w:val="008247CB"/>
    <w:rsid w:val="00824FFA"/>
    <w:rsid w:val="008252AB"/>
    <w:rsid w:val="00825DB2"/>
    <w:rsid w:val="00826A8E"/>
    <w:rsid w:val="00827544"/>
    <w:rsid w:val="00827683"/>
    <w:rsid w:val="00827881"/>
    <w:rsid w:val="00827F75"/>
    <w:rsid w:val="00830B50"/>
    <w:rsid w:val="0083185A"/>
    <w:rsid w:val="00831963"/>
    <w:rsid w:val="00831AFD"/>
    <w:rsid w:val="00831D79"/>
    <w:rsid w:val="008322D9"/>
    <w:rsid w:val="0083244F"/>
    <w:rsid w:val="00832548"/>
    <w:rsid w:val="00832834"/>
    <w:rsid w:val="008329E2"/>
    <w:rsid w:val="00832F3B"/>
    <w:rsid w:val="0083317F"/>
    <w:rsid w:val="00833795"/>
    <w:rsid w:val="00834055"/>
    <w:rsid w:val="00834804"/>
    <w:rsid w:val="00834960"/>
    <w:rsid w:val="00834E01"/>
    <w:rsid w:val="008352D9"/>
    <w:rsid w:val="00835456"/>
    <w:rsid w:val="008357A6"/>
    <w:rsid w:val="008357DD"/>
    <w:rsid w:val="00835B21"/>
    <w:rsid w:val="008364F2"/>
    <w:rsid w:val="00836AA6"/>
    <w:rsid w:val="0083701D"/>
    <w:rsid w:val="00837B0B"/>
    <w:rsid w:val="00837C33"/>
    <w:rsid w:val="0084084E"/>
    <w:rsid w:val="00840984"/>
    <w:rsid w:val="00840D2E"/>
    <w:rsid w:val="0084122E"/>
    <w:rsid w:val="00841C12"/>
    <w:rsid w:val="00842A0D"/>
    <w:rsid w:val="00842EC2"/>
    <w:rsid w:val="0084300D"/>
    <w:rsid w:val="00843779"/>
    <w:rsid w:val="00844586"/>
    <w:rsid w:val="008451DB"/>
    <w:rsid w:val="008451F7"/>
    <w:rsid w:val="0084555A"/>
    <w:rsid w:val="00846965"/>
    <w:rsid w:val="008475C7"/>
    <w:rsid w:val="0084784F"/>
    <w:rsid w:val="00847E4E"/>
    <w:rsid w:val="00850255"/>
    <w:rsid w:val="008503AE"/>
    <w:rsid w:val="00850477"/>
    <w:rsid w:val="00850AC4"/>
    <w:rsid w:val="00850AFF"/>
    <w:rsid w:val="00850D20"/>
    <w:rsid w:val="008511A4"/>
    <w:rsid w:val="00851770"/>
    <w:rsid w:val="00851CA5"/>
    <w:rsid w:val="00851DB1"/>
    <w:rsid w:val="00851F6D"/>
    <w:rsid w:val="00852BA2"/>
    <w:rsid w:val="00853043"/>
    <w:rsid w:val="0085310E"/>
    <w:rsid w:val="008532C0"/>
    <w:rsid w:val="0085335B"/>
    <w:rsid w:val="00853DD4"/>
    <w:rsid w:val="008545E4"/>
    <w:rsid w:val="00854613"/>
    <w:rsid w:val="008550EE"/>
    <w:rsid w:val="008557F6"/>
    <w:rsid w:val="0085639F"/>
    <w:rsid w:val="00856A69"/>
    <w:rsid w:val="00857D6A"/>
    <w:rsid w:val="00860687"/>
    <w:rsid w:val="00860906"/>
    <w:rsid w:val="008613AE"/>
    <w:rsid w:val="0086232C"/>
    <w:rsid w:val="0086268F"/>
    <w:rsid w:val="00862C64"/>
    <w:rsid w:val="008634E6"/>
    <w:rsid w:val="008635FB"/>
    <w:rsid w:val="00863AF3"/>
    <w:rsid w:val="0086402F"/>
    <w:rsid w:val="0086434D"/>
    <w:rsid w:val="00864A51"/>
    <w:rsid w:val="00864B8F"/>
    <w:rsid w:val="008651CC"/>
    <w:rsid w:val="00865270"/>
    <w:rsid w:val="00865632"/>
    <w:rsid w:val="00865829"/>
    <w:rsid w:val="0086600B"/>
    <w:rsid w:val="00866B0D"/>
    <w:rsid w:val="00866F51"/>
    <w:rsid w:val="00867908"/>
    <w:rsid w:val="00867C0E"/>
    <w:rsid w:val="00867E28"/>
    <w:rsid w:val="00870526"/>
    <w:rsid w:val="00871078"/>
    <w:rsid w:val="008712B8"/>
    <w:rsid w:val="00871315"/>
    <w:rsid w:val="00871B0F"/>
    <w:rsid w:val="00871C7A"/>
    <w:rsid w:val="00872024"/>
    <w:rsid w:val="00872207"/>
    <w:rsid w:val="00872C0C"/>
    <w:rsid w:val="00873AA8"/>
    <w:rsid w:val="008744BA"/>
    <w:rsid w:val="00874BFD"/>
    <w:rsid w:val="00874E3A"/>
    <w:rsid w:val="00875D8D"/>
    <w:rsid w:val="00875EDC"/>
    <w:rsid w:val="00876781"/>
    <w:rsid w:val="00876C55"/>
    <w:rsid w:val="008779D1"/>
    <w:rsid w:val="00877EBF"/>
    <w:rsid w:val="00880185"/>
    <w:rsid w:val="008811BF"/>
    <w:rsid w:val="008817F7"/>
    <w:rsid w:val="00882746"/>
    <w:rsid w:val="0088289F"/>
    <w:rsid w:val="00882A7C"/>
    <w:rsid w:val="00882DF1"/>
    <w:rsid w:val="008831E8"/>
    <w:rsid w:val="00883957"/>
    <w:rsid w:val="0088404B"/>
    <w:rsid w:val="00884BCB"/>
    <w:rsid w:val="00884D7F"/>
    <w:rsid w:val="00885057"/>
    <w:rsid w:val="0088563F"/>
    <w:rsid w:val="008857B6"/>
    <w:rsid w:val="0088647B"/>
    <w:rsid w:val="00886E7F"/>
    <w:rsid w:val="00887148"/>
    <w:rsid w:val="0088768C"/>
    <w:rsid w:val="00887E87"/>
    <w:rsid w:val="00887EB9"/>
    <w:rsid w:val="0089055D"/>
    <w:rsid w:val="00890587"/>
    <w:rsid w:val="008909C0"/>
    <w:rsid w:val="00890E29"/>
    <w:rsid w:val="00890EE9"/>
    <w:rsid w:val="00891585"/>
    <w:rsid w:val="00891A93"/>
    <w:rsid w:val="00891ADB"/>
    <w:rsid w:val="00891B5D"/>
    <w:rsid w:val="00891E12"/>
    <w:rsid w:val="00891E7A"/>
    <w:rsid w:val="00892114"/>
    <w:rsid w:val="00892962"/>
    <w:rsid w:val="00892C73"/>
    <w:rsid w:val="00892DFE"/>
    <w:rsid w:val="00893329"/>
    <w:rsid w:val="00893D2A"/>
    <w:rsid w:val="00893D51"/>
    <w:rsid w:val="00893F00"/>
    <w:rsid w:val="00893FCA"/>
    <w:rsid w:val="008943B9"/>
    <w:rsid w:val="00894518"/>
    <w:rsid w:val="00894BCB"/>
    <w:rsid w:val="0089536C"/>
    <w:rsid w:val="00895D20"/>
    <w:rsid w:val="008963A3"/>
    <w:rsid w:val="00896701"/>
    <w:rsid w:val="00896931"/>
    <w:rsid w:val="00896AC1"/>
    <w:rsid w:val="0089722D"/>
    <w:rsid w:val="00897678"/>
    <w:rsid w:val="00897690"/>
    <w:rsid w:val="00897DBC"/>
    <w:rsid w:val="00897DDC"/>
    <w:rsid w:val="00897E71"/>
    <w:rsid w:val="008A06BD"/>
    <w:rsid w:val="008A086E"/>
    <w:rsid w:val="008A111B"/>
    <w:rsid w:val="008A115B"/>
    <w:rsid w:val="008A14A2"/>
    <w:rsid w:val="008A1607"/>
    <w:rsid w:val="008A1819"/>
    <w:rsid w:val="008A1C35"/>
    <w:rsid w:val="008A27F1"/>
    <w:rsid w:val="008A2A06"/>
    <w:rsid w:val="008A4DD8"/>
    <w:rsid w:val="008A58D3"/>
    <w:rsid w:val="008A6126"/>
    <w:rsid w:val="008A61C5"/>
    <w:rsid w:val="008A6258"/>
    <w:rsid w:val="008A64FF"/>
    <w:rsid w:val="008A71FB"/>
    <w:rsid w:val="008A732B"/>
    <w:rsid w:val="008A7374"/>
    <w:rsid w:val="008A7562"/>
    <w:rsid w:val="008A75CA"/>
    <w:rsid w:val="008B012D"/>
    <w:rsid w:val="008B050E"/>
    <w:rsid w:val="008B1335"/>
    <w:rsid w:val="008B1521"/>
    <w:rsid w:val="008B1BE0"/>
    <w:rsid w:val="008B21CE"/>
    <w:rsid w:val="008B22F1"/>
    <w:rsid w:val="008B23B4"/>
    <w:rsid w:val="008B243E"/>
    <w:rsid w:val="008B2ABC"/>
    <w:rsid w:val="008B301E"/>
    <w:rsid w:val="008B353D"/>
    <w:rsid w:val="008B3829"/>
    <w:rsid w:val="008B3835"/>
    <w:rsid w:val="008B38E5"/>
    <w:rsid w:val="008B3C86"/>
    <w:rsid w:val="008B400D"/>
    <w:rsid w:val="008B4221"/>
    <w:rsid w:val="008B4820"/>
    <w:rsid w:val="008B4912"/>
    <w:rsid w:val="008B4971"/>
    <w:rsid w:val="008B4AAC"/>
    <w:rsid w:val="008B4D6E"/>
    <w:rsid w:val="008B4E53"/>
    <w:rsid w:val="008B52A1"/>
    <w:rsid w:val="008B5BD7"/>
    <w:rsid w:val="008B6AA6"/>
    <w:rsid w:val="008B6B18"/>
    <w:rsid w:val="008C0010"/>
    <w:rsid w:val="008C0674"/>
    <w:rsid w:val="008C06A5"/>
    <w:rsid w:val="008C0A5F"/>
    <w:rsid w:val="008C0C87"/>
    <w:rsid w:val="008C1377"/>
    <w:rsid w:val="008C1A58"/>
    <w:rsid w:val="008C1C4D"/>
    <w:rsid w:val="008C1DBC"/>
    <w:rsid w:val="008C1EB5"/>
    <w:rsid w:val="008C2330"/>
    <w:rsid w:val="008C263E"/>
    <w:rsid w:val="008C27FB"/>
    <w:rsid w:val="008C2819"/>
    <w:rsid w:val="008C3524"/>
    <w:rsid w:val="008C3538"/>
    <w:rsid w:val="008C355F"/>
    <w:rsid w:val="008C3C8B"/>
    <w:rsid w:val="008C4111"/>
    <w:rsid w:val="008C46F0"/>
    <w:rsid w:val="008C510B"/>
    <w:rsid w:val="008C52EB"/>
    <w:rsid w:val="008C5C47"/>
    <w:rsid w:val="008C5E2B"/>
    <w:rsid w:val="008C64FC"/>
    <w:rsid w:val="008C6A37"/>
    <w:rsid w:val="008C7367"/>
    <w:rsid w:val="008C75C9"/>
    <w:rsid w:val="008D03CC"/>
    <w:rsid w:val="008D0D72"/>
    <w:rsid w:val="008D0F43"/>
    <w:rsid w:val="008D1123"/>
    <w:rsid w:val="008D176D"/>
    <w:rsid w:val="008D1BF8"/>
    <w:rsid w:val="008D1C74"/>
    <w:rsid w:val="008D224A"/>
    <w:rsid w:val="008D29D2"/>
    <w:rsid w:val="008D49B3"/>
    <w:rsid w:val="008D4F0D"/>
    <w:rsid w:val="008D576D"/>
    <w:rsid w:val="008D584F"/>
    <w:rsid w:val="008D5E92"/>
    <w:rsid w:val="008D5F35"/>
    <w:rsid w:val="008D62E3"/>
    <w:rsid w:val="008D659B"/>
    <w:rsid w:val="008D7816"/>
    <w:rsid w:val="008D79F5"/>
    <w:rsid w:val="008E0302"/>
    <w:rsid w:val="008E030C"/>
    <w:rsid w:val="008E0B5A"/>
    <w:rsid w:val="008E1475"/>
    <w:rsid w:val="008E15C8"/>
    <w:rsid w:val="008E2170"/>
    <w:rsid w:val="008E2B42"/>
    <w:rsid w:val="008E30F8"/>
    <w:rsid w:val="008E42B8"/>
    <w:rsid w:val="008E5451"/>
    <w:rsid w:val="008E59CD"/>
    <w:rsid w:val="008E61CA"/>
    <w:rsid w:val="008E61D2"/>
    <w:rsid w:val="008E6643"/>
    <w:rsid w:val="008E665F"/>
    <w:rsid w:val="008E6861"/>
    <w:rsid w:val="008E776F"/>
    <w:rsid w:val="008F007C"/>
    <w:rsid w:val="008F074B"/>
    <w:rsid w:val="008F099C"/>
    <w:rsid w:val="008F108B"/>
    <w:rsid w:val="008F1AFD"/>
    <w:rsid w:val="008F1C9A"/>
    <w:rsid w:val="008F1D09"/>
    <w:rsid w:val="008F1FA9"/>
    <w:rsid w:val="008F26D7"/>
    <w:rsid w:val="008F273F"/>
    <w:rsid w:val="008F311E"/>
    <w:rsid w:val="008F3320"/>
    <w:rsid w:val="008F3D21"/>
    <w:rsid w:val="008F4755"/>
    <w:rsid w:val="008F4886"/>
    <w:rsid w:val="008F53F1"/>
    <w:rsid w:val="008F55C5"/>
    <w:rsid w:val="008F61E7"/>
    <w:rsid w:val="008F63FB"/>
    <w:rsid w:val="008F647A"/>
    <w:rsid w:val="008F64FE"/>
    <w:rsid w:val="008F659B"/>
    <w:rsid w:val="008F66EB"/>
    <w:rsid w:val="008F77DA"/>
    <w:rsid w:val="008F7C62"/>
    <w:rsid w:val="008F7E6A"/>
    <w:rsid w:val="008F7EC8"/>
    <w:rsid w:val="009010D4"/>
    <w:rsid w:val="009012CD"/>
    <w:rsid w:val="00902297"/>
    <w:rsid w:val="009024A4"/>
    <w:rsid w:val="00902C99"/>
    <w:rsid w:val="00903729"/>
    <w:rsid w:val="00903A14"/>
    <w:rsid w:val="00903A3C"/>
    <w:rsid w:val="00903F13"/>
    <w:rsid w:val="00904B95"/>
    <w:rsid w:val="00904D05"/>
    <w:rsid w:val="00905169"/>
    <w:rsid w:val="00905193"/>
    <w:rsid w:val="009056F5"/>
    <w:rsid w:val="0090578A"/>
    <w:rsid w:val="00905FE8"/>
    <w:rsid w:val="009060AC"/>
    <w:rsid w:val="00906275"/>
    <w:rsid w:val="0090664F"/>
    <w:rsid w:val="009070F9"/>
    <w:rsid w:val="00907A17"/>
    <w:rsid w:val="00907AFC"/>
    <w:rsid w:val="00907B78"/>
    <w:rsid w:val="00907BA5"/>
    <w:rsid w:val="0091019E"/>
    <w:rsid w:val="009106FE"/>
    <w:rsid w:val="009108DD"/>
    <w:rsid w:val="009109C9"/>
    <w:rsid w:val="0091136A"/>
    <w:rsid w:val="00911757"/>
    <w:rsid w:val="00911905"/>
    <w:rsid w:val="00912CF6"/>
    <w:rsid w:val="00913232"/>
    <w:rsid w:val="009132B5"/>
    <w:rsid w:val="00913601"/>
    <w:rsid w:val="00913DAE"/>
    <w:rsid w:val="00913F5E"/>
    <w:rsid w:val="00914722"/>
    <w:rsid w:val="00914BA3"/>
    <w:rsid w:val="0091598B"/>
    <w:rsid w:val="00916330"/>
    <w:rsid w:val="00916A24"/>
    <w:rsid w:val="00916A49"/>
    <w:rsid w:val="00916B9B"/>
    <w:rsid w:val="00916D8A"/>
    <w:rsid w:val="009172C2"/>
    <w:rsid w:val="0091783E"/>
    <w:rsid w:val="009201CB"/>
    <w:rsid w:val="00921187"/>
    <w:rsid w:val="009221D7"/>
    <w:rsid w:val="00922FC2"/>
    <w:rsid w:val="009235E1"/>
    <w:rsid w:val="00924D67"/>
    <w:rsid w:val="00925354"/>
    <w:rsid w:val="00925466"/>
    <w:rsid w:val="009254D0"/>
    <w:rsid w:val="009255DF"/>
    <w:rsid w:val="00926974"/>
    <w:rsid w:val="009274AD"/>
    <w:rsid w:val="009275F3"/>
    <w:rsid w:val="00927726"/>
    <w:rsid w:val="009306AD"/>
    <w:rsid w:val="00930B67"/>
    <w:rsid w:val="0093104C"/>
    <w:rsid w:val="009312CF"/>
    <w:rsid w:val="009320CE"/>
    <w:rsid w:val="00932B64"/>
    <w:rsid w:val="00933454"/>
    <w:rsid w:val="0093348C"/>
    <w:rsid w:val="009335E0"/>
    <w:rsid w:val="00933893"/>
    <w:rsid w:val="00933B60"/>
    <w:rsid w:val="00933C49"/>
    <w:rsid w:val="00933C60"/>
    <w:rsid w:val="009348DC"/>
    <w:rsid w:val="00935461"/>
    <w:rsid w:val="00935E05"/>
    <w:rsid w:val="009364B1"/>
    <w:rsid w:val="009366A4"/>
    <w:rsid w:val="00937029"/>
    <w:rsid w:val="009374FB"/>
    <w:rsid w:val="009377FB"/>
    <w:rsid w:val="0094016D"/>
    <w:rsid w:val="0094041D"/>
    <w:rsid w:val="0094108B"/>
    <w:rsid w:val="00941324"/>
    <w:rsid w:val="0094195D"/>
    <w:rsid w:val="00941B46"/>
    <w:rsid w:val="00942403"/>
    <w:rsid w:val="00942AAC"/>
    <w:rsid w:val="009431A3"/>
    <w:rsid w:val="00943348"/>
    <w:rsid w:val="0094345C"/>
    <w:rsid w:val="00943A94"/>
    <w:rsid w:val="00943B97"/>
    <w:rsid w:val="00943D52"/>
    <w:rsid w:val="00943E0F"/>
    <w:rsid w:val="0094423A"/>
    <w:rsid w:val="009443E4"/>
    <w:rsid w:val="0094455C"/>
    <w:rsid w:val="00944962"/>
    <w:rsid w:val="00944B62"/>
    <w:rsid w:val="00945306"/>
    <w:rsid w:val="0094551A"/>
    <w:rsid w:val="00945849"/>
    <w:rsid w:val="0094594C"/>
    <w:rsid w:val="00946097"/>
    <w:rsid w:val="00947A1B"/>
    <w:rsid w:val="00947EB1"/>
    <w:rsid w:val="00947F94"/>
    <w:rsid w:val="009501F9"/>
    <w:rsid w:val="00950230"/>
    <w:rsid w:val="0095027F"/>
    <w:rsid w:val="00950448"/>
    <w:rsid w:val="00950C3A"/>
    <w:rsid w:val="009514D5"/>
    <w:rsid w:val="00951598"/>
    <w:rsid w:val="0095195B"/>
    <w:rsid w:val="00951BB4"/>
    <w:rsid w:val="009522E3"/>
    <w:rsid w:val="009526B3"/>
    <w:rsid w:val="009529D2"/>
    <w:rsid w:val="00952E3A"/>
    <w:rsid w:val="00952E8F"/>
    <w:rsid w:val="00952E9F"/>
    <w:rsid w:val="00952FCC"/>
    <w:rsid w:val="00953026"/>
    <w:rsid w:val="009530CC"/>
    <w:rsid w:val="009531B0"/>
    <w:rsid w:val="00953270"/>
    <w:rsid w:val="009537C7"/>
    <w:rsid w:val="00954539"/>
    <w:rsid w:val="00954CA3"/>
    <w:rsid w:val="00954CEB"/>
    <w:rsid w:val="00955155"/>
    <w:rsid w:val="0095596A"/>
    <w:rsid w:val="00955B3D"/>
    <w:rsid w:val="00955C10"/>
    <w:rsid w:val="00955D64"/>
    <w:rsid w:val="0095600A"/>
    <w:rsid w:val="0095609A"/>
    <w:rsid w:val="009561C2"/>
    <w:rsid w:val="009578ED"/>
    <w:rsid w:val="00957E85"/>
    <w:rsid w:val="00957FC7"/>
    <w:rsid w:val="00960272"/>
    <w:rsid w:val="00960CB5"/>
    <w:rsid w:val="00960E05"/>
    <w:rsid w:val="00960F1E"/>
    <w:rsid w:val="00961D82"/>
    <w:rsid w:val="00962328"/>
    <w:rsid w:val="009627B1"/>
    <w:rsid w:val="00963664"/>
    <w:rsid w:val="00963EBE"/>
    <w:rsid w:val="0096402C"/>
    <w:rsid w:val="00964805"/>
    <w:rsid w:val="00964978"/>
    <w:rsid w:val="00964ECF"/>
    <w:rsid w:val="009651ED"/>
    <w:rsid w:val="00965281"/>
    <w:rsid w:val="00965F48"/>
    <w:rsid w:val="00966014"/>
    <w:rsid w:val="0096655C"/>
    <w:rsid w:val="009669F5"/>
    <w:rsid w:val="009670DD"/>
    <w:rsid w:val="0096749A"/>
    <w:rsid w:val="009706BD"/>
    <w:rsid w:val="0097124E"/>
    <w:rsid w:val="0097156D"/>
    <w:rsid w:val="00971B11"/>
    <w:rsid w:val="00971DB3"/>
    <w:rsid w:val="00971FA5"/>
    <w:rsid w:val="009723D2"/>
    <w:rsid w:val="009726FB"/>
    <w:rsid w:val="0097281B"/>
    <w:rsid w:val="0097290B"/>
    <w:rsid w:val="00972BCE"/>
    <w:rsid w:val="00972E62"/>
    <w:rsid w:val="009730AD"/>
    <w:rsid w:val="009730BF"/>
    <w:rsid w:val="009732FF"/>
    <w:rsid w:val="00973603"/>
    <w:rsid w:val="009738B0"/>
    <w:rsid w:val="00973B13"/>
    <w:rsid w:val="00973E90"/>
    <w:rsid w:val="00973F78"/>
    <w:rsid w:val="00974371"/>
    <w:rsid w:val="00974A65"/>
    <w:rsid w:val="00974E29"/>
    <w:rsid w:val="00974F76"/>
    <w:rsid w:val="009755CF"/>
    <w:rsid w:val="009758CE"/>
    <w:rsid w:val="00975D05"/>
    <w:rsid w:val="00976270"/>
    <w:rsid w:val="00976282"/>
    <w:rsid w:val="009762AE"/>
    <w:rsid w:val="00976EFC"/>
    <w:rsid w:val="00976F53"/>
    <w:rsid w:val="009777E8"/>
    <w:rsid w:val="0098008C"/>
    <w:rsid w:val="0098024C"/>
    <w:rsid w:val="00980528"/>
    <w:rsid w:val="00980709"/>
    <w:rsid w:val="00980D44"/>
    <w:rsid w:val="0098106F"/>
    <w:rsid w:val="00981A1C"/>
    <w:rsid w:val="009829A4"/>
    <w:rsid w:val="00982DF8"/>
    <w:rsid w:val="00983012"/>
    <w:rsid w:val="0098342D"/>
    <w:rsid w:val="009838E7"/>
    <w:rsid w:val="009839A7"/>
    <w:rsid w:val="00984A29"/>
    <w:rsid w:val="00985D40"/>
    <w:rsid w:val="00986A2F"/>
    <w:rsid w:val="00986A9B"/>
    <w:rsid w:val="00986C72"/>
    <w:rsid w:val="00986CC3"/>
    <w:rsid w:val="00987255"/>
    <w:rsid w:val="0098742A"/>
    <w:rsid w:val="00987BC2"/>
    <w:rsid w:val="0099028D"/>
    <w:rsid w:val="009905CC"/>
    <w:rsid w:val="00990B6C"/>
    <w:rsid w:val="00991823"/>
    <w:rsid w:val="0099198E"/>
    <w:rsid w:val="00991F2B"/>
    <w:rsid w:val="00992029"/>
    <w:rsid w:val="00993306"/>
    <w:rsid w:val="00993BBB"/>
    <w:rsid w:val="00993C7C"/>
    <w:rsid w:val="00993D7F"/>
    <w:rsid w:val="009945CF"/>
    <w:rsid w:val="00994742"/>
    <w:rsid w:val="009948C8"/>
    <w:rsid w:val="00994F32"/>
    <w:rsid w:val="00995200"/>
    <w:rsid w:val="009953E3"/>
    <w:rsid w:val="00995DD3"/>
    <w:rsid w:val="00995F49"/>
    <w:rsid w:val="0099749F"/>
    <w:rsid w:val="00997EAD"/>
    <w:rsid w:val="009A07F9"/>
    <w:rsid w:val="009A104E"/>
    <w:rsid w:val="009A105B"/>
    <w:rsid w:val="009A124D"/>
    <w:rsid w:val="009A142E"/>
    <w:rsid w:val="009A1480"/>
    <w:rsid w:val="009A1481"/>
    <w:rsid w:val="009A174C"/>
    <w:rsid w:val="009A1796"/>
    <w:rsid w:val="009A1986"/>
    <w:rsid w:val="009A1A65"/>
    <w:rsid w:val="009A1AA3"/>
    <w:rsid w:val="009A1E8A"/>
    <w:rsid w:val="009A1EB6"/>
    <w:rsid w:val="009A2D90"/>
    <w:rsid w:val="009A2F2B"/>
    <w:rsid w:val="009A34E7"/>
    <w:rsid w:val="009A3534"/>
    <w:rsid w:val="009A385D"/>
    <w:rsid w:val="009A38E7"/>
    <w:rsid w:val="009A3B6B"/>
    <w:rsid w:val="009A48B9"/>
    <w:rsid w:val="009A4AE2"/>
    <w:rsid w:val="009A4B24"/>
    <w:rsid w:val="009A4C5B"/>
    <w:rsid w:val="009A4F47"/>
    <w:rsid w:val="009A542D"/>
    <w:rsid w:val="009A5B27"/>
    <w:rsid w:val="009A6216"/>
    <w:rsid w:val="009A630A"/>
    <w:rsid w:val="009A66C4"/>
    <w:rsid w:val="009A6D25"/>
    <w:rsid w:val="009A6EBF"/>
    <w:rsid w:val="009A6EC2"/>
    <w:rsid w:val="009A70E2"/>
    <w:rsid w:val="009A7208"/>
    <w:rsid w:val="009A7B89"/>
    <w:rsid w:val="009A7F64"/>
    <w:rsid w:val="009B0421"/>
    <w:rsid w:val="009B0674"/>
    <w:rsid w:val="009B07ED"/>
    <w:rsid w:val="009B172B"/>
    <w:rsid w:val="009B19FA"/>
    <w:rsid w:val="009B1A40"/>
    <w:rsid w:val="009B1F8A"/>
    <w:rsid w:val="009B2415"/>
    <w:rsid w:val="009B24CE"/>
    <w:rsid w:val="009B2B99"/>
    <w:rsid w:val="009B2BAA"/>
    <w:rsid w:val="009B3178"/>
    <w:rsid w:val="009B3520"/>
    <w:rsid w:val="009B35CE"/>
    <w:rsid w:val="009B399C"/>
    <w:rsid w:val="009B3C6D"/>
    <w:rsid w:val="009B3F00"/>
    <w:rsid w:val="009B3F77"/>
    <w:rsid w:val="009B409B"/>
    <w:rsid w:val="009B5FBA"/>
    <w:rsid w:val="009B625E"/>
    <w:rsid w:val="009B6A7A"/>
    <w:rsid w:val="009B6A80"/>
    <w:rsid w:val="009B7299"/>
    <w:rsid w:val="009B7404"/>
    <w:rsid w:val="009B794C"/>
    <w:rsid w:val="009B7BD8"/>
    <w:rsid w:val="009B7F5F"/>
    <w:rsid w:val="009C0DA9"/>
    <w:rsid w:val="009C19A4"/>
    <w:rsid w:val="009C20CE"/>
    <w:rsid w:val="009C2316"/>
    <w:rsid w:val="009C29AF"/>
    <w:rsid w:val="009C2F13"/>
    <w:rsid w:val="009C2F3E"/>
    <w:rsid w:val="009C31FA"/>
    <w:rsid w:val="009C3A01"/>
    <w:rsid w:val="009C3C3F"/>
    <w:rsid w:val="009C3E1E"/>
    <w:rsid w:val="009C43E9"/>
    <w:rsid w:val="009C478A"/>
    <w:rsid w:val="009C4CC4"/>
    <w:rsid w:val="009C4F7B"/>
    <w:rsid w:val="009C5117"/>
    <w:rsid w:val="009C520B"/>
    <w:rsid w:val="009C531D"/>
    <w:rsid w:val="009C58A8"/>
    <w:rsid w:val="009C5DD3"/>
    <w:rsid w:val="009C601B"/>
    <w:rsid w:val="009C62F3"/>
    <w:rsid w:val="009C63A3"/>
    <w:rsid w:val="009C669C"/>
    <w:rsid w:val="009C6810"/>
    <w:rsid w:val="009C7FBD"/>
    <w:rsid w:val="009D0486"/>
    <w:rsid w:val="009D112D"/>
    <w:rsid w:val="009D11CC"/>
    <w:rsid w:val="009D1795"/>
    <w:rsid w:val="009D23D9"/>
    <w:rsid w:val="009D24DA"/>
    <w:rsid w:val="009D284F"/>
    <w:rsid w:val="009D28B5"/>
    <w:rsid w:val="009D2A07"/>
    <w:rsid w:val="009D363D"/>
    <w:rsid w:val="009D3AE7"/>
    <w:rsid w:val="009D4201"/>
    <w:rsid w:val="009D450A"/>
    <w:rsid w:val="009D45B5"/>
    <w:rsid w:val="009D4664"/>
    <w:rsid w:val="009D46F6"/>
    <w:rsid w:val="009D4864"/>
    <w:rsid w:val="009D4875"/>
    <w:rsid w:val="009D4D8D"/>
    <w:rsid w:val="009D4E24"/>
    <w:rsid w:val="009D5679"/>
    <w:rsid w:val="009D5D43"/>
    <w:rsid w:val="009D60EC"/>
    <w:rsid w:val="009D6AB4"/>
    <w:rsid w:val="009D7200"/>
    <w:rsid w:val="009D765C"/>
    <w:rsid w:val="009D7BDA"/>
    <w:rsid w:val="009D7C8E"/>
    <w:rsid w:val="009D7F19"/>
    <w:rsid w:val="009E009B"/>
    <w:rsid w:val="009E044A"/>
    <w:rsid w:val="009E0DF6"/>
    <w:rsid w:val="009E100C"/>
    <w:rsid w:val="009E10B6"/>
    <w:rsid w:val="009E12FA"/>
    <w:rsid w:val="009E152F"/>
    <w:rsid w:val="009E1F04"/>
    <w:rsid w:val="009E247C"/>
    <w:rsid w:val="009E3AF8"/>
    <w:rsid w:val="009E3D43"/>
    <w:rsid w:val="009E3D4A"/>
    <w:rsid w:val="009E40D6"/>
    <w:rsid w:val="009E40DA"/>
    <w:rsid w:val="009E4162"/>
    <w:rsid w:val="009E46CA"/>
    <w:rsid w:val="009E495E"/>
    <w:rsid w:val="009E4A3A"/>
    <w:rsid w:val="009E4B8B"/>
    <w:rsid w:val="009E4C51"/>
    <w:rsid w:val="009E4DD8"/>
    <w:rsid w:val="009E4FA6"/>
    <w:rsid w:val="009E6275"/>
    <w:rsid w:val="009E6333"/>
    <w:rsid w:val="009E6348"/>
    <w:rsid w:val="009E692D"/>
    <w:rsid w:val="009E6D7D"/>
    <w:rsid w:val="009E6DF3"/>
    <w:rsid w:val="009E6F6D"/>
    <w:rsid w:val="009E70D1"/>
    <w:rsid w:val="009E7700"/>
    <w:rsid w:val="009E7F83"/>
    <w:rsid w:val="009F0407"/>
    <w:rsid w:val="009F0D5E"/>
    <w:rsid w:val="009F0E59"/>
    <w:rsid w:val="009F1152"/>
    <w:rsid w:val="009F136D"/>
    <w:rsid w:val="009F13F1"/>
    <w:rsid w:val="009F19DA"/>
    <w:rsid w:val="009F1A95"/>
    <w:rsid w:val="009F1F9A"/>
    <w:rsid w:val="009F1FD4"/>
    <w:rsid w:val="009F2C15"/>
    <w:rsid w:val="009F2F00"/>
    <w:rsid w:val="009F35D9"/>
    <w:rsid w:val="009F487E"/>
    <w:rsid w:val="009F4BEC"/>
    <w:rsid w:val="009F4C04"/>
    <w:rsid w:val="009F4EF2"/>
    <w:rsid w:val="009F568E"/>
    <w:rsid w:val="009F56DA"/>
    <w:rsid w:val="009F5A17"/>
    <w:rsid w:val="009F5B38"/>
    <w:rsid w:val="009F6454"/>
    <w:rsid w:val="009F6835"/>
    <w:rsid w:val="009F6A67"/>
    <w:rsid w:val="009F6BDE"/>
    <w:rsid w:val="009F70CF"/>
    <w:rsid w:val="009F7410"/>
    <w:rsid w:val="009F7698"/>
    <w:rsid w:val="009F7BC7"/>
    <w:rsid w:val="00A0012F"/>
    <w:rsid w:val="00A00298"/>
    <w:rsid w:val="00A01A6B"/>
    <w:rsid w:val="00A01F17"/>
    <w:rsid w:val="00A023C6"/>
    <w:rsid w:val="00A0302B"/>
    <w:rsid w:val="00A03815"/>
    <w:rsid w:val="00A03824"/>
    <w:rsid w:val="00A03A1E"/>
    <w:rsid w:val="00A03E3E"/>
    <w:rsid w:val="00A0409A"/>
    <w:rsid w:val="00A053D3"/>
    <w:rsid w:val="00A05565"/>
    <w:rsid w:val="00A064C2"/>
    <w:rsid w:val="00A064F3"/>
    <w:rsid w:val="00A066A4"/>
    <w:rsid w:val="00A06E32"/>
    <w:rsid w:val="00A07112"/>
    <w:rsid w:val="00A07450"/>
    <w:rsid w:val="00A074B3"/>
    <w:rsid w:val="00A07DDB"/>
    <w:rsid w:val="00A07F79"/>
    <w:rsid w:val="00A07FEE"/>
    <w:rsid w:val="00A1052A"/>
    <w:rsid w:val="00A10878"/>
    <w:rsid w:val="00A111C6"/>
    <w:rsid w:val="00A118C5"/>
    <w:rsid w:val="00A11AC7"/>
    <w:rsid w:val="00A11DC6"/>
    <w:rsid w:val="00A12038"/>
    <w:rsid w:val="00A12331"/>
    <w:rsid w:val="00A124F0"/>
    <w:rsid w:val="00A1266F"/>
    <w:rsid w:val="00A12EAE"/>
    <w:rsid w:val="00A13130"/>
    <w:rsid w:val="00A1347C"/>
    <w:rsid w:val="00A13875"/>
    <w:rsid w:val="00A13A7F"/>
    <w:rsid w:val="00A13B23"/>
    <w:rsid w:val="00A14018"/>
    <w:rsid w:val="00A14139"/>
    <w:rsid w:val="00A141EA"/>
    <w:rsid w:val="00A1422E"/>
    <w:rsid w:val="00A1464F"/>
    <w:rsid w:val="00A146CB"/>
    <w:rsid w:val="00A147D9"/>
    <w:rsid w:val="00A14831"/>
    <w:rsid w:val="00A14BA2"/>
    <w:rsid w:val="00A1531A"/>
    <w:rsid w:val="00A15BC9"/>
    <w:rsid w:val="00A16895"/>
    <w:rsid w:val="00A16A67"/>
    <w:rsid w:val="00A16D05"/>
    <w:rsid w:val="00A16DE7"/>
    <w:rsid w:val="00A1719A"/>
    <w:rsid w:val="00A17287"/>
    <w:rsid w:val="00A176B5"/>
    <w:rsid w:val="00A17C78"/>
    <w:rsid w:val="00A204B8"/>
    <w:rsid w:val="00A207D3"/>
    <w:rsid w:val="00A20A3D"/>
    <w:rsid w:val="00A20BE3"/>
    <w:rsid w:val="00A20D2C"/>
    <w:rsid w:val="00A2127C"/>
    <w:rsid w:val="00A217B3"/>
    <w:rsid w:val="00A22028"/>
    <w:rsid w:val="00A225CB"/>
    <w:rsid w:val="00A2285F"/>
    <w:rsid w:val="00A22C5E"/>
    <w:rsid w:val="00A23028"/>
    <w:rsid w:val="00A236DD"/>
    <w:rsid w:val="00A23AB5"/>
    <w:rsid w:val="00A23E18"/>
    <w:rsid w:val="00A24000"/>
    <w:rsid w:val="00A24471"/>
    <w:rsid w:val="00A249C2"/>
    <w:rsid w:val="00A24D88"/>
    <w:rsid w:val="00A25256"/>
    <w:rsid w:val="00A25B5F"/>
    <w:rsid w:val="00A26460"/>
    <w:rsid w:val="00A27CCD"/>
    <w:rsid w:val="00A27DA1"/>
    <w:rsid w:val="00A301BE"/>
    <w:rsid w:val="00A30946"/>
    <w:rsid w:val="00A30AB9"/>
    <w:rsid w:val="00A30D61"/>
    <w:rsid w:val="00A317EB"/>
    <w:rsid w:val="00A3211B"/>
    <w:rsid w:val="00A32355"/>
    <w:rsid w:val="00A32440"/>
    <w:rsid w:val="00A32E31"/>
    <w:rsid w:val="00A32FED"/>
    <w:rsid w:val="00A33148"/>
    <w:rsid w:val="00A33C54"/>
    <w:rsid w:val="00A33FF9"/>
    <w:rsid w:val="00A34102"/>
    <w:rsid w:val="00A348DC"/>
    <w:rsid w:val="00A34942"/>
    <w:rsid w:val="00A34B84"/>
    <w:rsid w:val="00A35236"/>
    <w:rsid w:val="00A35477"/>
    <w:rsid w:val="00A35976"/>
    <w:rsid w:val="00A35BB5"/>
    <w:rsid w:val="00A35BE0"/>
    <w:rsid w:val="00A36254"/>
    <w:rsid w:val="00A3636E"/>
    <w:rsid w:val="00A363AB"/>
    <w:rsid w:val="00A36903"/>
    <w:rsid w:val="00A36F49"/>
    <w:rsid w:val="00A372F0"/>
    <w:rsid w:val="00A377F9"/>
    <w:rsid w:val="00A37939"/>
    <w:rsid w:val="00A37CC5"/>
    <w:rsid w:val="00A40032"/>
    <w:rsid w:val="00A400B9"/>
    <w:rsid w:val="00A402F7"/>
    <w:rsid w:val="00A40C35"/>
    <w:rsid w:val="00A40FF3"/>
    <w:rsid w:val="00A413E8"/>
    <w:rsid w:val="00A4178B"/>
    <w:rsid w:val="00A4204F"/>
    <w:rsid w:val="00A4228B"/>
    <w:rsid w:val="00A427B7"/>
    <w:rsid w:val="00A42867"/>
    <w:rsid w:val="00A4296A"/>
    <w:rsid w:val="00A42BC1"/>
    <w:rsid w:val="00A42C9D"/>
    <w:rsid w:val="00A42F09"/>
    <w:rsid w:val="00A42F0C"/>
    <w:rsid w:val="00A4322D"/>
    <w:rsid w:val="00A44F02"/>
    <w:rsid w:val="00A45056"/>
    <w:rsid w:val="00A45C43"/>
    <w:rsid w:val="00A46043"/>
    <w:rsid w:val="00A46562"/>
    <w:rsid w:val="00A4708C"/>
    <w:rsid w:val="00A47A9D"/>
    <w:rsid w:val="00A50148"/>
    <w:rsid w:val="00A50847"/>
    <w:rsid w:val="00A511A1"/>
    <w:rsid w:val="00A52365"/>
    <w:rsid w:val="00A528E2"/>
    <w:rsid w:val="00A532E8"/>
    <w:rsid w:val="00A54326"/>
    <w:rsid w:val="00A5448C"/>
    <w:rsid w:val="00A5448D"/>
    <w:rsid w:val="00A5495C"/>
    <w:rsid w:val="00A54A25"/>
    <w:rsid w:val="00A55410"/>
    <w:rsid w:val="00A55E05"/>
    <w:rsid w:val="00A56215"/>
    <w:rsid w:val="00A5637C"/>
    <w:rsid w:val="00A5639B"/>
    <w:rsid w:val="00A56BF0"/>
    <w:rsid w:val="00A571F8"/>
    <w:rsid w:val="00A60290"/>
    <w:rsid w:val="00A60E53"/>
    <w:rsid w:val="00A62EED"/>
    <w:rsid w:val="00A63224"/>
    <w:rsid w:val="00A63A38"/>
    <w:rsid w:val="00A63ADD"/>
    <w:rsid w:val="00A63CDC"/>
    <w:rsid w:val="00A64A49"/>
    <w:rsid w:val="00A64EDF"/>
    <w:rsid w:val="00A65421"/>
    <w:rsid w:val="00A65DBD"/>
    <w:rsid w:val="00A66023"/>
    <w:rsid w:val="00A6623B"/>
    <w:rsid w:val="00A66BA1"/>
    <w:rsid w:val="00A66E07"/>
    <w:rsid w:val="00A672D1"/>
    <w:rsid w:val="00A673F9"/>
    <w:rsid w:val="00A67442"/>
    <w:rsid w:val="00A6759B"/>
    <w:rsid w:val="00A6760A"/>
    <w:rsid w:val="00A67942"/>
    <w:rsid w:val="00A67C49"/>
    <w:rsid w:val="00A67F0D"/>
    <w:rsid w:val="00A703A9"/>
    <w:rsid w:val="00A70423"/>
    <w:rsid w:val="00A709F9"/>
    <w:rsid w:val="00A70BAB"/>
    <w:rsid w:val="00A70D5B"/>
    <w:rsid w:val="00A71263"/>
    <w:rsid w:val="00A7135D"/>
    <w:rsid w:val="00A7173F"/>
    <w:rsid w:val="00A71E29"/>
    <w:rsid w:val="00A72031"/>
    <w:rsid w:val="00A72187"/>
    <w:rsid w:val="00A728C3"/>
    <w:rsid w:val="00A72C80"/>
    <w:rsid w:val="00A73146"/>
    <w:rsid w:val="00A73239"/>
    <w:rsid w:val="00A7336B"/>
    <w:rsid w:val="00A7469F"/>
    <w:rsid w:val="00A7529D"/>
    <w:rsid w:val="00A75629"/>
    <w:rsid w:val="00A75E17"/>
    <w:rsid w:val="00A75EA2"/>
    <w:rsid w:val="00A75FFD"/>
    <w:rsid w:val="00A76584"/>
    <w:rsid w:val="00A7663D"/>
    <w:rsid w:val="00A76796"/>
    <w:rsid w:val="00A76EFE"/>
    <w:rsid w:val="00A77012"/>
    <w:rsid w:val="00A77C90"/>
    <w:rsid w:val="00A77DBB"/>
    <w:rsid w:val="00A803DD"/>
    <w:rsid w:val="00A8098D"/>
    <w:rsid w:val="00A80D93"/>
    <w:rsid w:val="00A81858"/>
    <w:rsid w:val="00A819CC"/>
    <w:rsid w:val="00A81D4F"/>
    <w:rsid w:val="00A8289E"/>
    <w:rsid w:val="00A83127"/>
    <w:rsid w:val="00A834FA"/>
    <w:rsid w:val="00A83879"/>
    <w:rsid w:val="00A83AC7"/>
    <w:rsid w:val="00A843DC"/>
    <w:rsid w:val="00A843F6"/>
    <w:rsid w:val="00A85526"/>
    <w:rsid w:val="00A8564E"/>
    <w:rsid w:val="00A85BE4"/>
    <w:rsid w:val="00A86788"/>
    <w:rsid w:val="00A86D53"/>
    <w:rsid w:val="00A87ADC"/>
    <w:rsid w:val="00A87AED"/>
    <w:rsid w:val="00A87E61"/>
    <w:rsid w:val="00A9019E"/>
    <w:rsid w:val="00A902C8"/>
    <w:rsid w:val="00A9038B"/>
    <w:rsid w:val="00A908B3"/>
    <w:rsid w:val="00A90FFA"/>
    <w:rsid w:val="00A91DDC"/>
    <w:rsid w:val="00A91EB0"/>
    <w:rsid w:val="00A92121"/>
    <w:rsid w:val="00A9275C"/>
    <w:rsid w:val="00A92904"/>
    <w:rsid w:val="00A92A47"/>
    <w:rsid w:val="00A92D5B"/>
    <w:rsid w:val="00A92F46"/>
    <w:rsid w:val="00A92FCF"/>
    <w:rsid w:val="00A9356B"/>
    <w:rsid w:val="00A942A4"/>
    <w:rsid w:val="00A94DE3"/>
    <w:rsid w:val="00A94E98"/>
    <w:rsid w:val="00A956A9"/>
    <w:rsid w:val="00A95729"/>
    <w:rsid w:val="00A95BE8"/>
    <w:rsid w:val="00A95D9A"/>
    <w:rsid w:val="00A96708"/>
    <w:rsid w:val="00A96870"/>
    <w:rsid w:val="00A97E9D"/>
    <w:rsid w:val="00AA00C0"/>
    <w:rsid w:val="00AA062F"/>
    <w:rsid w:val="00AA0822"/>
    <w:rsid w:val="00AA0CE8"/>
    <w:rsid w:val="00AA0DF9"/>
    <w:rsid w:val="00AA0F09"/>
    <w:rsid w:val="00AA130B"/>
    <w:rsid w:val="00AA1935"/>
    <w:rsid w:val="00AA1BA2"/>
    <w:rsid w:val="00AA2008"/>
    <w:rsid w:val="00AA239E"/>
    <w:rsid w:val="00AA2C13"/>
    <w:rsid w:val="00AA361E"/>
    <w:rsid w:val="00AA369F"/>
    <w:rsid w:val="00AA36D1"/>
    <w:rsid w:val="00AA36D5"/>
    <w:rsid w:val="00AA375C"/>
    <w:rsid w:val="00AA3D48"/>
    <w:rsid w:val="00AA444D"/>
    <w:rsid w:val="00AA44A7"/>
    <w:rsid w:val="00AA4EBE"/>
    <w:rsid w:val="00AA5039"/>
    <w:rsid w:val="00AA567B"/>
    <w:rsid w:val="00AA5ECA"/>
    <w:rsid w:val="00AA6C67"/>
    <w:rsid w:val="00AA6D04"/>
    <w:rsid w:val="00AA74F5"/>
    <w:rsid w:val="00AA7939"/>
    <w:rsid w:val="00AA7A87"/>
    <w:rsid w:val="00AA7B25"/>
    <w:rsid w:val="00AB0D16"/>
    <w:rsid w:val="00AB1BF7"/>
    <w:rsid w:val="00AB1E19"/>
    <w:rsid w:val="00AB1FED"/>
    <w:rsid w:val="00AB25DE"/>
    <w:rsid w:val="00AB29EE"/>
    <w:rsid w:val="00AB3669"/>
    <w:rsid w:val="00AB3BCF"/>
    <w:rsid w:val="00AB4B37"/>
    <w:rsid w:val="00AB4C86"/>
    <w:rsid w:val="00AB4FC4"/>
    <w:rsid w:val="00AB5195"/>
    <w:rsid w:val="00AB5455"/>
    <w:rsid w:val="00AB67B5"/>
    <w:rsid w:val="00AB69D4"/>
    <w:rsid w:val="00AB69FE"/>
    <w:rsid w:val="00AB6BE4"/>
    <w:rsid w:val="00AB6C43"/>
    <w:rsid w:val="00AB6D03"/>
    <w:rsid w:val="00AB718A"/>
    <w:rsid w:val="00AB78DD"/>
    <w:rsid w:val="00AB7AB9"/>
    <w:rsid w:val="00AB7BD8"/>
    <w:rsid w:val="00AC0304"/>
    <w:rsid w:val="00AC066A"/>
    <w:rsid w:val="00AC077B"/>
    <w:rsid w:val="00AC0D96"/>
    <w:rsid w:val="00AC0E48"/>
    <w:rsid w:val="00AC101C"/>
    <w:rsid w:val="00AC143D"/>
    <w:rsid w:val="00AC1999"/>
    <w:rsid w:val="00AC1B38"/>
    <w:rsid w:val="00AC203A"/>
    <w:rsid w:val="00AC203E"/>
    <w:rsid w:val="00AC20F6"/>
    <w:rsid w:val="00AC27A2"/>
    <w:rsid w:val="00AC2B3F"/>
    <w:rsid w:val="00AC2C61"/>
    <w:rsid w:val="00AC2D4C"/>
    <w:rsid w:val="00AC3719"/>
    <w:rsid w:val="00AC37A3"/>
    <w:rsid w:val="00AC3BB9"/>
    <w:rsid w:val="00AC4081"/>
    <w:rsid w:val="00AC41E4"/>
    <w:rsid w:val="00AC4590"/>
    <w:rsid w:val="00AC45CB"/>
    <w:rsid w:val="00AC4740"/>
    <w:rsid w:val="00AC49CE"/>
    <w:rsid w:val="00AC4C3E"/>
    <w:rsid w:val="00AC5016"/>
    <w:rsid w:val="00AC521C"/>
    <w:rsid w:val="00AC534B"/>
    <w:rsid w:val="00AC5828"/>
    <w:rsid w:val="00AC5E16"/>
    <w:rsid w:val="00AC5E1A"/>
    <w:rsid w:val="00AC5E48"/>
    <w:rsid w:val="00AC621F"/>
    <w:rsid w:val="00AC67E0"/>
    <w:rsid w:val="00AC7169"/>
    <w:rsid w:val="00AC74A3"/>
    <w:rsid w:val="00AC7A93"/>
    <w:rsid w:val="00AD040B"/>
    <w:rsid w:val="00AD061D"/>
    <w:rsid w:val="00AD0A53"/>
    <w:rsid w:val="00AD0AD9"/>
    <w:rsid w:val="00AD100F"/>
    <w:rsid w:val="00AD175F"/>
    <w:rsid w:val="00AD1CF6"/>
    <w:rsid w:val="00AD2B12"/>
    <w:rsid w:val="00AD2BBA"/>
    <w:rsid w:val="00AD324D"/>
    <w:rsid w:val="00AD3798"/>
    <w:rsid w:val="00AD38AC"/>
    <w:rsid w:val="00AD3B85"/>
    <w:rsid w:val="00AD45EE"/>
    <w:rsid w:val="00AD45F5"/>
    <w:rsid w:val="00AD4D8D"/>
    <w:rsid w:val="00AD53DF"/>
    <w:rsid w:val="00AD572B"/>
    <w:rsid w:val="00AD5B20"/>
    <w:rsid w:val="00AD601C"/>
    <w:rsid w:val="00AD6269"/>
    <w:rsid w:val="00AD628F"/>
    <w:rsid w:val="00AD63A1"/>
    <w:rsid w:val="00AD6547"/>
    <w:rsid w:val="00AD7086"/>
    <w:rsid w:val="00AD741C"/>
    <w:rsid w:val="00AD765D"/>
    <w:rsid w:val="00AD794C"/>
    <w:rsid w:val="00AE0397"/>
    <w:rsid w:val="00AE0B6D"/>
    <w:rsid w:val="00AE0E28"/>
    <w:rsid w:val="00AE1379"/>
    <w:rsid w:val="00AE1B6B"/>
    <w:rsid w:val="00AE2099"/>
    <w:rsid w:val="00AE21A8"/>
    <w:rsid w:val="00AE23B9"/>
    <w:rsid w:val="00AE24CA"/>
    <w:rsid w:val="00AE25DD"/>
    <w:rsid w:val="00AE25E2"/>
    <w:rsid w:val="00AE28E2"/>
    <w:rsid w:val="00AE28E3"/>
    <w:rsid w:val="00AE321B"/>
    <w:rsid w:val="00AE3A37"/>
    <w:rsid w:val="00AE3E98"/>
    <w:rsid w:val="00AE3EB7"/>
    <w:rsid w:val="00AE3EC5"/>
    <w:rsid w:val="00AE47E2"/>
    <w:rsid w:val="00AE5A2D"/>
    <w:rsid w:val="00AE5BBC"/>
    <w:rsid w:val="00AE5C47"/>
    <w:rsid w:val="00AE5C9C"/>
    <w:rsid w:val="00AE6112"/>
    <w:rsid w:val="00AE65D6"/>
    <w:rsid w:val="00AE6D15"/>
    <w:rsid w:val="00AE6E9C"/>
    <w:rsid w:val="00AE71A1"/>
    <w:rsid w:val="00AE76AD"/>
    <w:rsid w:val="00AE7B4B"/>
    <w:rsid w:val="00AE7F1C"/>
    <w:rsid w:val="00AF01D7"/>
    <w:rsid w:val="00AF02FD"/>
    <w:rsid w:val="00AF0B2E"/>
    <w:rsid w:val="00AF0FA0"/>
    <w:rsid w:val="00AF1414"/>
    <w:rsid w:val="00AF19A5"/>
    <w:rsid w:val="00AF1C6A"/>
    <w:rsid w:val="00AF1DB5"/>
    <w:rsid w:val="00AF207C"/>
    <w:rsid w:val="00AF2BEF"/>
    <w:rsid w:val="00AF2D28"/>
    <w:rsid w:val="00AF36D8"/>
    <w:rsid w:val="00AF3DFE"/>
    <w:rsid w:val="00AF45EC"/>
    <w:rsid w:val="00AF4684"/>
    <w:rsid w:val="00AF48BC"/>
    <w:rsid w:val="00AF51B4"/>
    <w:rsid w:val="00AF5406"/>
    <w:rsid w:val="00AF63FC"/>
    <w:rsid w:val="00AF64D6"/>
    <w:rsid w:val="00AF70AA"/>
    <w:rsid w:val="00AF7175"/>
    <w:rsid w:val="00AF728D"/>
    <w:rsid w:val="00AF7439"/>
    <w:rsid w:val="00AF75D9"/>
    <w:rsid w:val="00B00751"/>
    <w:rsid w:val="00B01410"/>
    <w:rsid w:val="00B01C0B"/>
    <w:rsid w:val="00B02343"/>
    <w:rsid w:val="00B0302C"/>
    <w:rsid w:val="00B032D0"/>
    <w:rsid w:val="00B03756"/>
    <w:rsid w:val="00B03DCE"/>
    <w:rsid w:val="00B04967"/>
    <w:rsid w:val="00B04A9C"/>
    <w:rsid w:val="00B04B40"/>
    <w:rsid w:val="00B05688"/>
    <w:rsid w:val="00B0598A"/>
    <w:rsid w:val="00B05C35"/>
    <w:rsid w:val="00B06247"/>
    <w:rsid w:val="00B06413"/>
    <w:rsid w:val="00B06957"/>
    <w:rsid w:val="00B06DA8"/>
    <w:rsid w:val="00B07267"/>
    <w:rsid w:val="00B07340"/>
    <w:rsid w:val="00B07BC8"/>
    <w:rsid w:val="00B07C91"/>
    <w:rsid w:val="00B07FC6"/>
    <w:rsid w:val="00B07FFA"/>
    <w:rsid w:val="00B1015C"/>
    <w:rsid w:val="00B10587"/>
    <w:rsid w:val="00B10D5D"/>
    <w:rsid w:val="00B10F8D"/>
    <w:rsid w:val="00B1114B"/>
    <w:rsid w:val="00B113A9"/>
    <w:rsid w:val="00B1166A"/>
    <w:rsid w:val="00B11E74"/>
    <w:rsid w:val="00B120A1"/>
    <w:rsid w:val="00B128E4"/>
    <w:rsid w:val="00B12B3F"/>
    <w:rsid w:val="00B12EEE"/>
    <w:rsid w:val="00B13901"/>
    <w:rsid w:val="00B1402E"/>
    <w:rsid w:val="00B14169"/>
    <w:rsid w:val="00B143ED"/>
    <w:rsid w:val="00B14886"/>
    <w:rsid w:val="00B14DAD"/>
    <w:rsid w:val="00B14E22"/>
    <w:rsid w:val="00B1552C"/>
    <w:rsid w:val="00B15900"/>
    <w:rsid w:val="00B16026"/>
    <w:rsid w:val="00B16737"/>
    <w:rsid w:val="00B1762C"/>
    <w:rsid w:val="00B177FA"/>
    <w:rsid w:val="00B17A0F"/>
    <w:rsid w:val="00B20E00"/>
    <w:rsid w:val="00B21118"/>
    <w:rsid w:val="00B218FD"/>
    <w:rsid w:val="00B22406"/>
    <w:rsid w:val="00B233A5"/>
    <w:rsid w:val="00B2378F"/>
    <w:rsid w:val="00B23933"/>
    <w:rsid w:val="00B23AE4"/>
    <w:rsid w:val="00B23EBD"/>
    <w:rsid w:val="00B241DA"/>
    <w:rsid w:val="00B24C9C"/>
    <w:rsid w:val="00B24E85"/>
    <w:rsid w:val="00B24FF5"/>
    <w:rsid w:val="00B251A3"/>
    <w:rsid w:val="00B251DB"/>
    <w:rsid w:val="00B259BF"/>
    <w:rsid w:val="00B25DA6"/>
    <w:rsid w:val="00B25F0C"/>
    <w:rsid w:val="00B271E1"/>
    <w:rsid w:val="00B27FD8"/>
    <w:rsid w:val="00B30A1A"/>
    <w:rsid w:val="00B30BE7"/>
    <w:rsid w:val="00B30DD1"/>
    <w:rsid w:val="00B3110A"/>
    <w:rsid w:val="00B31375"/>
    <w:rsid w:val="00B31576"/>
    <w:rsid w:val="00B31923"/>
    <w:rsid w:val="00B31FAF"/>
    <w:rsid w:val="00B32180"/>
    <w:rsid w:val="00B321E4"/>
    <w:rsid w:val="00B32584"/>
    <w:rsid w:val="00B3299A"/>
    <w:rsid w:val="00B32BBF"/>
    <w:rsid w:val="00B33393"/>
    <w:rsid w:val="00B33461"/>
    <w:rsid w:val="00B337D9"/>
    <w:rsid w:val="00B339DD"/>
    <w:rsid w:val="00B34481"/>
    <w:rsid w:val="00B345B7"/>
    <w:rsid w:val="00B34EFE"/>
    <w:rsid w:val="00B35120"/>
    <w:rsid w:val="00B35308"/>
    <w:rsid w:val="00B35453"/>
    <w:rsid w:val="00B35F4A"/>
    <w:rsid w:val="00B369BC"/>
    <w:rsid w:val="00B36E70"/>
    <w:rsid w:val="00B3760B"/>
    <w:rsid w:val="00B379D7"/>
    <w:rsid w:val="00B37E3D"/>
    <w:rsid w:val="00B404A5"/>
    <w:rsid w:val="00B40F06"/>
    <w:rsid w:val="00B40F21"/>
    <w:rsid w:val="00B40FB7"/>
    <w:rsid w:val="00B4121D"/>
    <w:rsid w:val="00B415FF"/>
    <w:rsid w:val="00B416FD"/>
    <w:rsid w:val="00B41DFB"/>
    <w:rsid w:val="00B420E7"/>
    <w:rsid w:val="00B42177"/>
    <w:rsid w:val="00B425F6"/>
    <w:rsid w:val="00B42804"/>
    <w:rsid w:val="00B42880"/>
    <w:rsid w:val="00B444B5"/>
    <w:rsid w:val="00B44EC8"/>
    <w:rsid w:val="00B45255"/>
    <w:rsid w:val="00B45825"/>
    <w:rsid w:val="00B45FE5"/>
    <w:rsid w:val="00B4679E"/>
    <w:rsid w:val="00B47109"/>
    <w:rsid w:val="00B474E4"/>
    <w:rsid w:val="00B47521"/>
    <w:rsid w:val="00B504A3"/>
    <w:rsid w:val="00B507A0"/>
    <w:rsid w:val="00B508F0"/>
    <w:rsid w:val="00B51036"/>
    <w:rsid w:val="00B51506"/>
    <w:rsid w:val="00B5167B"/>
    <w:rsid w:val="00B518F9"/>
    <w:rsid w:val="00B51A6A"/>
    <w:rsid w:val="00B5263C"/>
    <w:rsid w:val="00B52934"/>
    <w:rsid w:val="00B53457"/>
    <w:rsid w:val="00B53688"/>
    <w:rsid w:val="00B53A1D"/>
    <w:rsid w:val="00B54118"/>
    <w:rsid w:val="00B54D2E"/>
    <w:rsid w:val="00B54EAA"/>
    <w:rsid w:val="00B5558D"/>
    <w:rsid w:val="00B5582B"/>
    <w:rsid w:val="00B55FEA"/>
    <w:rsid w:val="00B56219"/>
    <w:rsid w:val="00B56634"/>
    <w:rsid w:val="00B568D8"/>
    <w:rsid w:val="00B57084"/>
    <w:rsid w:val="00B5719B"/>
    <w:rsid w:val="00B574BA"/>
    <w:rsid w:val="00B57915"/>
    <w:rsid w:val="00B57996"/>
    <w:rsid w:val="00B57EB9"/>
    <w:rsid w:val="00B6014E"/>
    <w:rsid w:val="00B60738"/>
    <w:rsid w:val="00B609BE"/>
    <w:rsid w:val="00B60C33"/>
    <w:rsid w:val="00B61335"/>
    <w:rsid w:val="00B613AF"/>
    <w:rsid w:val="00B6167E"/>
    <w:rsid w:val="00B61A5A"/>
    <w:rsid w:val="00B61EC7"/>
    <w:rsid w:val="00B634C0"/>
    <w:rsid w:val="00B635E5"/>
    <w:rsid w:val="00B636F0"/>
    <w:rsid w:val="00B6378A"/>
    <w:rsid w:val="00B63F9A"/>
    <w:rsid w:val="00B64552"/>
    <w:rsid w:val="00B6496B"/>
    <w:rsid w:val="00B64AD5"/>
    <w:rsid w:val="00B64B5F"/>
    <w:rsid w:val="00B65820"/>
    <w:rsid w:val="00B659DE"/>
    <w:rsid w:val="00B65BC3"/>
    <w:rsid w:val="00B668BE"/>
    <w:rsid w:val="00B66D2A"/>
    <w:rsid w:val="00B673CF"/>
    <w:rsid w:val="00B6778E"/>
    <w:rsid w:val="00B67BA6"/>
    <w:rsid w:val="00B70583"/>
    <w:rsid w:val="00B7062A"/>
    <w:rsid w:val="00B70F63"/>
    <w:rsid w:val="00B718D8"/>
    <w:rsid w:val="00B71A7E"/>
    <w:rsid w:val="00B722E8"/>
    <w:rsid w:val="00B72448"/>
    <w:rsid w:val="00B72545"/>
    <w:rsid w:val="00B7292B"/>
    <w:rsid w:val="00B72A57"/>
    <w:rsid w:val="00B72B36"/>
    <w:rsid w:val="00B72B40"/>
    <w:rsid w:val="00B72C9A"/>
    <w:rsid w:val="00B7312C"/>
    <w:rsid w:val="00B7316B"/>
    <w:rsid w:val="00B731EF"/>
    <w:rsid w:val="00B7400D"/>
    <w:rsid w:val="00B740F7"/>
    <w:rsid w:val="00B741BD"/>
    <w:rsid w:val="00B742A8"/>
    <w:rsid w:val="00B74407"/>
    <w:rsid w:val="00B744EC"/>
    <w:rsid w:val="00B7476D"/>
    <w:rsid w:val="00B751DE"/>
    <w:rsid w:val="00B7555A"/>
    <w:rsid w:val="00B75688"/>
    <w:rsid w:val="00B75823"/>
    <w:rsid w:val="00B75A90"/>
    <w:rsid w:val="00B75EDC"/>
    <w:rsid w:val="00B75EF4"/>
    <w:rsid w:val="00B75F81"/>
    <w:rsid w:val="00B7620B"/>
    <w:rsid w:val="00B76E2E"/>
    <w:rsid w:val="00B76F06"/>
    <w:rsid w:val="00B76FB6"/>
    <w:rsid w:val="00B76FB9"/>
    <w:rsid w:val="00B77252"/>
    <w:rsid w:val="00B77263"/>
    <w:rsid w:val="00B77361"/>
    <w:rsid w:val="00B777C8"/>
    <w:rsid w:val="00B77893"/>
    <w:rsid w:val="00B77F0E"/>
    <w:rsid w:val="00B80361"/>
    <w:rsid w:val="00B805AA"/>
    <w:rsid w:val="00B808F7"/>
    <w:rsid w:val="00B80C72"/>
    <w:rsid w:val="00B80CD9"/>
    <w:rsid w:val="00B80F52"/>
    <w:rsid w:val="00B818DB"/>
    <w:rsid w:val="00B820F5"/>
    <w:rsid w:val="00B83369"/>
    <w:rsid w:val="00B836AA"/>
    <w:rsid w:val="00B8416A"/>
    <w:rsid w:val="00B8477D"/>
    <w:rsid w:val="00B85039"/>
    <w:rsid w:val="00B850E4"/>
    <w:rsid w:val="00B854F6"/>
    <w:rsid w:val="00B85B85"/>
    <w:rsid w:val="00B85E37"/>
    <w:rsid w:val="00B863E9"/>
    <w:rsid w:val="00B866A0"/>
    <w:rsid w:val="00B871F6"/>
    <w:rsid w:val="00B87308"/>
    <w:rsid w:val="00B87918"/>
    <w:rsid w:val="00B87964"/>
    <w:rsid w:val="00B902BA"/>
    <w:rsid w:val="00B908F0"/>
    <w:rsid w:val="00B90988"/>
    <w:rsid w:val="00B910B4"/>
    <w:rsid w:val="00B916EF"/>
    <w:rsid w:val="00B91E89"/>
    <w:rsid w:val="00B920E6"/>
    <w:rsid w:val="00B926FB"/>
    <w:rsid w:val="00B92764"/>
    <w:rsid w:val="00B93444"/>
    <w:rsid w:val="00B93E27"/>
    <w:rsid w:val="00B93F97"/>
    <w:rsid w:val="00B9439C"/>
    <w:rsid w:val="00B94A66"/>
    <w:rsid w:val="00B94E97"/>
    <w:rsid w:val="00B956C3"/>
    <w:rsid w:val="00B96099"/>
    <w:rsid w:val="00B96321"/>
    <w:rsid w:val="00B966CC"/>
    <w:rsid w:val="00B967B8"/>
    <w:rsid w:val="00B96B15"/>
    <w:rsid w:val="00B96DBB"/>
    <w:rsid w:val="00B96DDA"/>
    <w:rsid w:val="00B970B8"/>
    <w:rsid w:val="00B97188"/>
    <w:rsid w:val="00B974D0"/>
    <w:rsid w:val="00B97553"/>
    <w:rsid w:val="00BA0196"/>
    <w:rsid w:val="00BA068B"/>
    <w:rsid w:val="00BA0EA9"/>
    <w:rsid w:val="00BA100D"/>
    <w:rsid w:val="00BA130C"/>
    <w:rsid w:val="00BA1323"/>
    <w:rsid w:val="00BA2080"/>
    <w:rsid w:val="00BA21BE"/>
    <w:rsid w:val="00BA2247"/>
    <w:rsid w:val="00BA22F2"/>
    <w:rsid w:val="00BA243A"/>
    <w:rsid w:val="00BA2C87"/>
    <w:rsid w:val="00BA4957"/>
    <w:rsid w:val="00BA4BF2"/>
    <w:rsid w:val="00BA5117"/>
    <w:rsid w:val="00BA568D"/>
    <w:rsid w:val="00BA5AA9"/>
    <w:rsid w:val="00BA5C51"/>
    <w:rsid w:val="00BA5E53"/>
    <w:rsid w:val="00BA6144"/>
    <w:rsid w:val="00BA6A68"/>
    <w:rsid w:val="00BA7301"/>
    <w:rsid w:val="00BA77FE"/>
    <w:rsid w:val="00BB033A"/>
    <w:rsid w:val="00BB0857"/>
    <w:rsid w:val="00BB0B54"/>
    <w:rsid w:val="00BB16EA"/>
    <w:rsid w:val="00BB178F"/>
    <w:rsid w:val="00BB17E9"/>
    <w:rsid w:val="00BB2358"/>
    <w:rsid w:val="00BB23C0"/>
    <w:rsid w:val="00BB272E"/>
    <w:rsid w:val="00BB29AC"/>
    <w:rsid w:val="00BB2F53"/>
    <w:rsid w:val="00BB38DE"/>
    <w:rsid w:val="00BB3DFF"/>
    <w:rsid w:val="00BB4A05"/>
    <w:rsid w:val="00BB51BF"/>
    <w:rsid w:val="00BB5811"/>
    <w:rsid w:val="00BB58E2"/>
    <w:rsid w:val="00BB601B"/>
    <w:rsid w:val="00BB61F3"/>
    <w:rsid w:val="00BB697C"/>
    <w:rsid w:val="00BB6A74"/>
    <w:rsid w:val="00BB6F59"/>
    <w:rsid w:val="00BB70A2"/>
    <w:rsid w:val="00BB761C"/>
    <w:rsid w:val="00BB7648"/>
    <w:rsid w:val="00BB7ADB"/>
    <w:rsid w:val="00BC00C0"/>
    <w:rsid w:val="00BC0456"/>
    <w:rsid w:val="00BC081E"/>
    <w:rsid w:val="00BC0931"/>
    <w:rsid w:val="00BC0ED5"/>
    <w:rsid w:val="00BC1719"/>
    <w:rsid w:val="00BC1BB7"/>
    <w:rsid w:val="00BC1BD3"/>
    <w:rsid w:val="00BC1BF4"/>
    <w:rsid w:val="00BC22E6"/>
    <w:rsid w:val="00BC25A4"/>
    <w:rsid w:val="00BC2B76"/>
    <w:rsid w:val="00BC2B7E"/>
    <w:rsid w:val="00BC2DAC"/>
    <w:rsid w:val="00BC3483"/>
    <w:rsid w:val="00BC3578"/>
    <w:rsid w:val="00BC3849"/>
    <w:rsid w:val="00BC3CDB"/>
    <w:rsid w:val="00BC4862"/>
    <w:rsid w:val="00BC5A7B"/>
    <w:rsid w:val="00BC6146"/>
    <w:rsid w:val="00BC6569"/>
    <w:rsid w:val="00BC67B6"/>
    <w:rsid w:val="00BC6D29"/>
    <w:rsid w:val="00BC6E04"/>
    <w:rsid w:val="00BC71DB"/>
    <w:rsid w:val="00BC7531"/>
    <w:rsid w:val="00BC7D68"/>
    <w:rsid w:val="00BD090B"/>
    <w:rsid w:val="00BD0CDB"/>
    <w:rsid w:val="00BD0FB9"/>
    <w:rsid w:val="00BD120D"/>
    <w:rsid w:val="00BD173A"/>
    <w:rsid w:val="00BD2198"/>
    <w:rsid w:val="00BD2527"/>
    <w:rsid w:val="00BD27D5"/>
    <w:rsid w:val="00BD2C4B"/>
    <w:rsid w:val="00BD2CBC"/>
    <w:rsid w:val="00BD2CD7"/>
    <w:rsid w:val="00BD2D70"/>
    <w:rsid w:val="00BD3603"/>
    <w:rsid w:val="00BD3A0C"/>
    <w:rsid w:val="00BD3DA5"/>
    <w:rsid w:val="00BD47B9"/>
    <w:rsid w:val="00BD4972"/>
    <w:rsid w:val="00BD5006"/>
    <w:rsid w:val="00BD53AE"/>
    <w:rsid w:val="00BD5C61"/>
    <w:rsid w:val="00BD6061"/>
    <w:rsid w:val="00BD719C"/>
    <w:rsid w:val="00BD79AC"/>
    <w:rsid w:val="00BD7F2A"/>
    <w:rsid w:val="00BE12CC"/>
    <w:rsid w:val="00BE1E02"/>
    <w:rsid w:val="00BE2630"/>
    <w:rsid w:val="00BE27E3"/>
    <w:rsid w:val="00BE3050"/>
    <w:rsid w:val="00BE3162"/>
    <w:rsid w:val="00BE3658"/>
    <w:rsid w:val="00BE42AA"/>
    <w:rsid w:val="00BE4849"/>
    <w:rsid w:val="00BE4C99"/>
    <w:rsid w:val="00BE4E4C"/>
    <w:rsid w:val="00BE5226"/>
    <w:rsid w:val="00BE531B"/>
    <w:rsid w:val="00BE55A5"/>
    <w:rsid w:val="00BE5F98"/>
    <w:rsid w:val="00BE66F1"/>
    <w:rsid w:val="00BE69A3"/>
    <w:rsid w:val="00BE6D37"/>
    <w:rsid w:val="00BE6E8D"/>
    <w:rsid w:val="00BE703E"/>
    <w:rsid w:val="00BE7048"/>
    <w:rsid w:val="00BE7DDA"/>
    <w:rsid w:val="00BE7EFE"/>
    <w:rsid w:val="00BF01AC"/>
    <w:rsid w:val="00BF04C2"/>
    <w:rsid w:val="00BF1BA7"/>
    <w:rsid w:val="00BF1C7F"/>
    <w:rsid w:val="00BF1D4B"/>
    <w:rsid w:val="00BF21D7"/>
    <w:rsid w:val="00BF31BD"/>
    <w:rsid w:val="00BF34E8"/>
    <w:rsid w:val="00BF3B5D"/>
    <w:rsid w:val="00BF446D"/>
    <w:rsid w:val="00BF54D3"/>
    <w:rsid w:val="00BF57F8"/>
    <w:rsid w:val="00BF5C18"/>
    <w:rsid w:val="00BF61BC"/>
    <w:rsid w:val="00BF6E3A"/>
    <w:rsid w:val="00BF6FB6"/>
    <w:rsid w:val="00BF7C69"/>
    <w:rsid w:val="00BF7FCA"/>
    <w:rsid w:val="00C00553"/>
    <w:rsid w:val="00C00C83"/>
    <w:rsid w:val="00C00DD8"/>
    <w:rsid w:val="00C00EF5"/>
    <w:rsid w:val="00C01441"/>
    <w:rsid w:val="00C014D5"/>
    <w:rsid w:val="00C01C75"/>
    <w:rsid w:val="00C01D24"/>
    <w:rsid w:val="00C01F8E"/>
    <w:rsid w:val="00C02089"/>
    <w:rsid w:val="00C022AC"/>
    <w:rsid w:val="00C02616"/>
    <w:rsid w:val="00C0292A"/>
    <w:rsid w:val="00C02C4F"/>
    <w:rsid w:val="00C02FB3"/>
    <w:rsid w:val="00C0317C"/>
    <w:rsid w:val="00C03FD9"/>
    <w:rsid w:val="00C041A6"/>
    <w:rsid w:val="00C041DF"/>
    <w:rsid w:val="00C04243"/>
    <w:rsid w:val="00C04309"/>
    <w:rsid w:val="00C04565"/>
    <w:rsid w:val="00C0468B"/>
    <w:rsid w:val="00C04A83"/>
    <w:rsid w:val="00C04DB1"/>
    <w:rsid w:val="00C05415"/>
    <w:rsid w:val="00C05C30"/>
    <w:rsid w:val="00C06A57"/>
    <w:rsid w:val="00C06AF1"/>
    <w:rsid w:val="00C0788D"/>
    <w:rsid w:val="00C079AA"/>
    <w:rsid w:val="00C079CD"/>
    <w:rsid w:val="00C07A91"/>
    <w:rsid w:val="00C10060"/>
    <w:rsid w:val="00C10440"/>
    <w:rsid w:val="00C10612"/>
    <w:rsid w:val="00C1087C"/>
    <w:rsid w:val="00C11F9E"/>
    <w:rsid w:val="00C121B4"/>
    <w:rsid w:val="00C121C5"/>
    <w:rsid w:val="00C126BF"/>
    <w:rsid w:val="00C12934"/>
    <w:rsid w:val="00C12B5C"/>
    <w:rsid w:val="00C12CF0"/>
    <w:rsid w:val="00C12EC8"/>
    <w:rsid w:val="00C12EFB"/>
    <w:rsid w:val="00C12FFE"/>
    <w:rsid w:val="00C1315E"/>
    <w:rsid w:val="00C138E5"/>
    <w:rsid w:val="00C13D81"/>
    <w:rsid w:val="00C13F0D"/>
    <w:rsid w:val="00C13F49"/>
    <w:rsid w:val="00C1537A"/>
    <w:rsid w:val="00C15E28"/>
    <w:rsid w:val="00C1602F"/>
    <w:rsid w:val="00C1616A"/>
    <w:rsid w:val="00C161B8"/>
    <w:rsid w:val="00C16E89"/>
    <w:rsid w:val="00C1716A"/>
    <w:rsid w:val="00C17958"/>
    <w:rsid w:val="00C17EB7"/>
    <w:rsid w:val="00C20220"/>
    <w:rsid w:val="00C20B3D"/>
    <w:rsid w:val="00C221BE"/>
    <w:rsid w:val="00C22AA8"/>
    <w:rsid w:val="00C2303D"/>
    <w:rsid w:val="00C23DDA"/>
    <w:rsid w:val="00C247CF"/>
    <w:rsid w:val="00C24A81"/>
    <w:rsid w:val="00C24C36"/>
    <w:rsid w:val="00C24EF3"/>
    <w:rsid w:val="00C24F48"/>
    <w:rsid w:val="00C25190"/>
    <w:rsid w:val="00C254D7"/>
    <w:rsid w:val="00C255CF"/>
    <w:rsid w:val="00C257BB"/>
    <w:rsid w:val="00C258A5"/>
    <w:rsid w:val="00C258E4"/>
    <w:rsid w:val="00C25EC3"/>
    <w:rsid w:val="00C25F4F"/>
    <w:rsid w:val="00C26892"/>
    <w:rsid w:val="00C268A6"/>
    <w:rsid w:val="00C26B65"/>
    <w:rsid w:val="00C275AA"/>
    <w:rsid w:val="00C30163"/>
    <w:rsid w:val="00C301F4"/>
    <w:rsid w:val="00C304D7"/>
    <w:rsid w:val="00C306F1"/>
    <w:rsid w:val="00C30D7F"/>
    <w:rsid w:val="00C31383"/>
    <w:rsid w:val="00C317D8"/>
    <w:rsid w:val="00C31E90"/>
    <w:rsid w:val="00C31F9C"/>
    <w:rsid w:val="00C3222A"/>
    <w:rsid w:val="00C32719"/>
    <w:rsid w:val="00C34A25"/>
    <w:rsid w:val="00C34D0D"/>
    <w:rsid w:val="00C35AC0"/>
    <w:rsid w:val="00C36163"/>
    <w:rsid w:val="00C363E2"/>
    <w:rsid w:val="00C36A8F"/>
    <w:rsid w:val="00C36CD3"/>
    <w:rsid w:val="00C36E4F"/>
    <w:rsid w:val="00C40302"/>
    <w:rsid w:val="00C40DE3"/>
    <w:rsid w:val="00C41F18"/>
    <w:rsid w:val="00C41F3B"/>
    <w:rsid w:val="00C423D7"/>
    <w:rsid w:val="00C44668"/>
    <w:rsid w:val="00C45319"/>
    <w:rsid w:val="00C45687"/>
    <w:rsid w:val="00C457C1"/>
    <w:rsid w:val="00C45C6B"/>
    <w:rsid w:val="00C45F2C"/>
    <w:rsid w:val="00C46368"/>
    <w:rsid w:val="00C50137"/>
    <w:rsid w:val="00C509CE"/>
    <w:rsid w:val="00C50ACF"/>
    <w:rsid w:val="00C50BEB"/>
    <w:rsid w:val="00C50E4D"/>
    <w:rsid w:val="00C51759"/>
    <w:rsid w:val="00C52069"/>
    <w:rsid w:val="00C522E4"/>
    <w:rsid w:val="00C5238C"/>
    <w:rsid w:val="00C52535"/>
    <w:rsid w:val="00C528F7"/>
    <w:rsid w:val="00C52D5B"/>
    <w:rsid w:val="00C538A7"/>
    <w:rsid w:val="00C538EB"/>
    <w:rsid w:val="00C5411A"/>
    <w:rsid w:val="00C54291"/>
    <w:rsid w:val="00C54F6C"/>
    <w:rsid w:val="00C5573B"/>
    <w:rsid w:val="00C55841"/>
    <w:rsid w:val="00C55EB5"/>
    <w:rsid w:val="00C55F78"/>
    <w:rsid w:val="00C55FEC"/>
    <w:rsid w:val="00C56313"/>
    <w:rsid w:val="00C56D1E"/>
    <w:rsid w:val="00C57537"/>
    <w:rsid w:val="00C60164"/>
    <w:rsid w:val="00C60910"/>
    <w:rsid w:val="00C6111C"/>
    <w:rsid w:val="00C6223A"/>
    <w:rsid w:val="00C62EED"/>
    <w:rsid w:val="00C639BF"/>
    <w:rsid w:val="00C64457"/>
    <w:rsid w:val="00C65000"/>
    <w:rsid w:val="00C653C3"/>
    <w:rsid w:val="00C65BE1"/>
    <w:rsid w:val="00C66291"/>
    <w:rsid w:val="00C665A3"/>
    <w:rsid w:val="00C66C9D"/>
    <w:rsid w:val="00C66CE4"/>
    <w:rsid w:val="00C675BF"/>
    <w:rsid w:val="00C6791A"/>
    <w:rsid w:val="00C67B07"/>
    <w:rsid w:val="00C704F8"/>
    <w:rsid w:val="00C7061A"/>
    <w:rsid w:val="00C7138D"/>
    <w:rsid w:val="00C717DE"/>
    <w:rsid w:val="00C71AA2"/>
    <w:rsid w:val="00C71D7B"/>
    <w:rsid w:val="00C71FC0"/>
    <w:rsid w:val="00C72652"/>
    <w:rsid w:val="00C72719"/>
    <w:rsid w:val="00C72EEE"/>
    <w:rsid w:val="00C731AC"/>
    <w:rsid w:val="00C73541"/>
    <w:rsid w:val="00C735CF"/>
    <w:rsid w:val="00C73D6A"/>
    <w:rsid w:val="00C74057"/>
    <w:rsid w:val="00C741B7"/>
    <w:rsid w:val="00C7433A"/>
    <w:rsid w:val="00C74583"/>
    <w:rsid w:val="00C74AAE"/>
    <w:rsid w:val="00C75222"/>
    <w:rsid w:val="00C75DBA"/>
    <w:rsid w:val="00C75DCB"/>
    <w:rsid w:val="00C76237"/>
    <w:rsid w:val="00C76365"/>
    <w:rsid w:val="00C76971"/>
    <w:rsid w:val="00C769A1"/>
    <w:rsid w:val="00C76E50"/>
    <w:rsid w:val="00C76F2C"/>
    <w:rsid w:val="00C7749A"/>
    <w:rsid w:val="00C77587"/>
    <w:rsid w:val="00C77B41"/>
    <w:rsid w:val="00C77BCE"/>
    <w:rsid w:val="00C808BE"/>
    <w:rsid w:val="00C81104"/>
    <w:rsid w:val="00C81A26"/>
    <w:rsid w:val="00C824BA"/>
    <w:rsid w:val="00C8267E"/>
    <w:rsid w:val="00C8286F"/>
    <w:rsid w:val="00C828BD"/>
    <w:rsid w:val="00C82AE3"/>
    <w:rsid w:val="00C82B51"/>
    <w:rsid w:val="00C82BCA"/>
    <w:rsid w:val="00C82CA0"/>
    <w:rsid w:val="00C82E4E"/>
    <w:rsid w:val="00C83250"/>
    <w:rsid w:val="00C8338D"/>
    <w:rsid w:val="00C83837"/>
    <w:rsid w:val="00C846A0"/>
    <w:rsid w:val="00C84F46"/>
    <w:rsid w:val="00C851F5"/>
    <w:rsid w:val="00C85460"/>
    <w:rsid w:val="00C8548C"/>
    <w:rsid w:val="00C85709"/>
    <w:rsid w:val="00C8608F"/>
    <w:rsid w:val="00C8632B"/>
    <w:rsid w:val="00C864B9"/>
    <w:rsid w:val="00C86630"/>
    <w:rsid w:val="00C86D0B"/>
    <w:rsid w:val="00C86D80"/>
    <w:rsid w:val="00C87260"/>
    <w:rsid w:val="00C87482"/>
    <w:rsid w:val="00C878E1"/>
    <w:rsid w:val="00C901F4"/>
    <w:rsid w:val="00C90C48"/>
    <w:rsid w:val="00C90FEA"/>
    <w:rsid w:val="00C91958"/>
    <w:rsid w:val="00C9250C"/>
    <w:rsid w:val="00C9258C"/>
    <w:rsid w:val="00C92752"/>
    <w:rsid w:val="00C92DD1"/>
    <w:rsid w:val="00C92E1C"/>
    <w:rsid w:val="00C939E1"/>
    <w:rsid w:val="00C940A7"/>
    <w:rsid w:val="00C9531A"/>
    <w:rsid w:val="00C957C2"/>
    <w:rsid w:val="00C95953"/>
    <w:rsid w:val="00C95A8F"/>
    <w:rsid w:val="00C95F67"/>
    <w:rsid w:val="00C96F0D"/>
    <w:rsid w:val="00C97049"/>
    <w:rsid w:val="00C970D4"/>
    <w:rsid w:val="00C9774A"/>
    <w:rsid w:val="00C97EC5"/>
    <w:rsid w:val="00CA092B"/>
    <w:rsid w:val="00CA10F3"/>
    <w:rsid w:val="00CA123A"/>
    <w:rsid w:val="00CA152F"/>
    <w:rsid w:val="00CA1757"/>
    <w:rsid w:val="00CA2070"/>
    <w:rsid w:val="00CA251F"/>
    <w:rsid w:val="00CA2B33"/>
    <w:rsid w:val="00CA2D5E"/>
    <w:rsid w:val="00CA2F60"/>
    <w:rsid w:val="00CA30EB"/>
    <w:rsid w:val="00CA3352"/>
    <w:rsid w:val="00CA3FF9"/>
    <w:rsid w:val="00CA40EE"/>
    <w:rsid w:val="00CA43FF"/>
    <w:rsid w:val="00CA4409"/>
    <w:rsid w:val="00CA452A"/>
    <w:rsid w:val="00CA4696"/>
    <w:rsid w:val="00CA4C9C"/>
    <w:rsid w:val="00CA4E05"/>
    <w:rsid w:val="00CA5B78"/>
    <w:rsid w:val="00CA5CA9"/>
    <w:rsid w:val="00CA65A1"/>
    <w:rsid w:val="00CA6EC8"/>
    <w:rsid w:val="00CA6F49"/>
    <w:rsid w:val="00CA78FD"/>
    <w:rsid w:val="00CA7A16"/>
    <w:rsid w:val="00CB0501"/>
    <w:rsid w:val="00CB108E"/>
    <w:rsid w:val="00CB12AC"/>
    <w:rsid w:val="00CB12CA"/>
    <w:rsid w:val="00CB1426"/>
    <w:rsid w:val="00CB2CC9"/>
    <w:rsid w:val="00CB3152"/>
    <w:rsid w:val="00CB331A"/>
    <w:rsid w:val="00CB3ACE"/>
    <w:rsid w:val="00CB5B06"/>
    <w:rsid w:val="00CB5FD3"/>
    <w:rsid w:val="00CB6698"/>
    <w:rsid w:val="00CB7382"/>
    <w:rsid w:val="00CB7E4C"/>
    <w:rsid w:val="00CC06B9"/>
    <w:rsid w:val="00CC07C0"/>
    <w:rsid w:val="00CC08A5"/>
    <w:rsid w:val="00CC0D98"/>
    <w:rsid w:val="00CC0E0A"/>
    <w:rsid w:val="00CC14AD"/>
    <w:rsid w:val="00CC1B8F"/>
    <w:rsid w:val="00CC23B3"/>
    <w:rsid w:val="00CC3EA4"/>
    <w:rsid w:val="00CC410A"/>
    <w:rsid w:val="00CC42B2"/>
    <w:rsid w:val="00CC4C6D"/>
    <w:rsid w:val="00CC4C97"/>
    <w:rsid w:val="00CC4CD6"/>
    <w:rsid w:val="00CC5027"/>
    <w:rsid w:val="00CC5087"/>
    <w:rsid w:val="00CC5B4D"/>
    <w:rsid w:val="00CC5B67"/>
    <w:rsid w:val="00CC63A5"/>
    <w:rsid w:val="00CC64FE"/>
    <w:rsid w:val="00CC6E88"/>
    <w:rsid w:val="00CC6EAB"/>
    <w:rsid w:val="00CC70EB"/>
    <w:rsid w:val="00CC79DE"/>
    <w:rsid w:val="00CC7D24"/>
    <w:rsid w:val="00CD027D"/>
    <w:rsid w:val="00CD1F4A"/>
    <w:rsid w:val="00CD224C"/>
    <w:rsid w:val="00CD242B"/>
    <w:rsid w:val="00CD2DFE"/>
    <w:rsid w:val="00CD3488"/>
    <w:rsid w:val="00CD3514"/>
    <w:rsid w:val="00CD3964"/>
    <w:rsid w:val="00CD3B12"/>
    <w:rsid w:val="00CD3C5B"/>
    <w:rsid w:val="00CD529F"/>
    <w:rsid w:val="00CD5C4B"/>
    <w:rsid w:val="00CD62F9"/>
    <w:rsid w:val="00CD6CF1"/>
    <w:rsid w:val="00CD7742"/>
    <w:rsid w:val="00CE0ACA"/>
    <w:rsid w:val="00CE0C21"/>
    <w:rsid w:val="00CE1814"/>
    <w:rsid w:val="00CE1EAA"/>
    <w:rsid w:val="00CE1FAC"/>
    <w:rsid w:val="00CE266D"/>
    <w:rsid w:val="00CE284F"/>
    <w:rsid w:val="00CE2D05"/>
    <w:rsid w:val="00CE2EE3"/>
    <w:rsid w:val="00CE3673"/>
    <w:rsid w:val="00CE385A"/>
    <w:rsid w:val="00CE471E"/>
    <w:rsid w:val="00CE4E9A"/>
    <w:rsid w:val="00CE5273"/>
    <w:rsid w:val="00CE5410"/>
    <w:rsid w:val="00CE5717"/>
    <w:rsid w:val="00CE66E6"/>
    <w:rsid w:val="00CE67D2"/>
    <w:rsid w:val="00CE6F2A"/>
    <w:rsid w:val="00CE6FE2"/>
    <w:rsid w:val="00CE7A01"/>
    <w:rsid w:val="00CF024C"/>
    <w:rsid w:val="00CF059D"/>
    <w:rsid w:val="00CF0785"/>
    <w:rsid w:val="00CF07DE"/>
    <w:rsid w:val="00CF08C0"/>
    <w:rsid w:val="00CF1321"/>
    <w:rsid w:val="00CF134A"/>
    <w:rsid w:val="00CF16A1"/>
    <w:rsid w:val="00CF1E33"/>
    <w:rsid w:val="00CF1F1F"/>
    <w:rsid w:val="00CF2F8C"/>
    <w:rsid w:val="00CF3AC9"/>
    <w:rsid w:val="00CF3CFF"/>
    <w:rsid w:val="00CF3D74"/>
    <w:rsid w:val="00CF3EEB"/>
    <w:rsid w:val="00CF4389"/>
    <w:rsid w:val="00CF4971"/>
    <w:rsid w:val="00CF4DBA"/>
    <w:rsid w:val="00CF4DD9"/>
    <w:rsid w:val="00CF502E"/>
    <w:rsid w:val="00CF5063"/>
    <w:rsid w:val="00CF55A6"/>
    <w:rsid w:val="00CF5898"/>
    <w:rsid w:val="00CF5ABE"/>
    <w:rsid w:val="00CF5ACA"/>
    <w:rsid w:val="00CF5D78"/>
    <w:rsid w:val="00CF5ECE"/>
    <w:rsid w:val="00CF6385"/>
    <w:rsid w:val="00CF6448"/>
    <w:rsid w:val="00CF69D3"/>
    <w:rsid w:val="00CF6E3C"/>
    <w:rsid w:val="00CF70D5"/>
    <w:rsid w:val="00CF7319"/>
    <w:rsid w:val="00CF73C0"/>
    <w:rsid w:val="00CF76EF"/>
    <w:rsid w:val="00CF7A33"/>
    <w:rsid w:val="00CF7A3A"/>
    <w:rsid w:val="00CF7A9B"/>
    <w:rsid w:val="00CF7B16"/>
    <w:rsid w:val="00D0003C"/>
    <w:rsid w:val="00D00CB9"/>
    <w:rsid w:val="00D00E71"/>
    <w:rsid w:val="00D016DC"/>
    <w:rsid w:val="00D01833"/>
    <w:rsid w:val="00D0188B"/>
    <w:rsid w:val="00D019B2"/>
    <w:rsid w:val="00D01A29"/>
    <w:rsid w:val="00D01BF4"/>
    <w:rsid w:val="00D027A2"/>
    <w:rsid w:val="00D02B72"/>
    <w:rsid w:val="00D037D6"/>
    <w:rsid w:val="00D03CD6"/>
    <w:rsid w:val="00D04182"/>
    <w:rsid w:val="00D04930"/>
    <w:rsid w:val="00D04D3D"/>
    <w:rsid w:val="00D04ECD"/>
    <w:rsid w:val="00D05007"/>
    <w:rsid w:val="00D05917"/>
    <w:rsid w:val="00D0599F"/>
    <w:rsid w:val="00D05CF9"/>
    <w:rsid w:val="00D06171"/>
    <w:rsid w:val="00D06964"/>
    <w:rsid w:val="00D06B5D"/>
    <w:rsid w:val="00D06F72"/>
    <w:rsid w:val="00D075EB"/>
    <w:rsid w:val="00D07A3C"/>
    <w:rsid w:val="00D10C9A"/>
    <w:rsid w:val="00D11493"/>
    <w:rsid w:val="00D11993"/>
    <w:rsid w:val="00D128C8"/>
    <w:rsid w:val="00D12BB0"/>
    <w:rsid w:val="00D13259"/>
    <w:rsid w:val="00D134D7"/>
    <w:rsid w:val="00D136CC"/>
    <w:rsid w:val="00D13D2D"/>
    <w:rsid w:val="00D13D4E"/>
    <w:rsid w:val="00D13EEC"/>
    <w:rsid w:val="00D13EFA"/>
    <w:rsid w:val="00D140F9"/>
    <w:rsid w:val="00D14E6B"/>
    <w:rsid w:val="00D1528B"/>
    <w:rsid w:val="00D15413"/>
    <w:rsid w:val="00D154EF"/>
    <w:rsid w:val="00D157FF"/>
    <w:rsid w:val="00D15C26"/>
    <w:rsid w:val="00D161B2"/>
    <w:rsid w:val="00D161E9"/>
    <w:rsid w:val="00D16CCB"/>
    <w:rsid w:val="00D1760E"/>
    <w:rsid w:val="00D17A31"/>
    <w:rsid w:val="00D17D8B"/>
    <w:rsid w:val="00D2013B"/>
    <w:rsid w:val="00D2019E"/>
    <w:rsid w:val="00D20307"/>
    <w:rsid w:val="00D203EA"/>
    <w:rsid w:val="00D20621"/>
    <w:rsid w:val="00D209B8"/>
    <w:rsid w:val="00D20D6F"/>
    <w:rsid w:val="00D2108D"/>
    <w:rsid w:val="00D210C1"/>
    <w:rsid w:val="00D21112"/>
    <w:rsid w:val="00D211D6"/>
    <w:rsid w:val="00D21432"/>
    <w:rsid w:val="00D217D1"/>
    <w:rsid w:val="00D2220C"/>
    <w:rsid w:val="00D2265B"/>
    <w:rsid w:val="00D22BE8"/>
    <w:rsid w:val="00D22F85"/>
    <w:rsid w:val="00D231FD"/>
    <w:rsid w:val="00D233FB"/>
    <w:rsid w:val="00D23623"/>
    <w:rsid w:val="00D23BB1"/>
    <w:rsid w:val="00D23F3B"/>
    <w:rsid w:val="00D23F9A"/>
    <w:rsid w:val="00D24AD0"/>
    <w:rsid w:val="00D24C46"/>
    <w:rsid w:val="00D2515B"/>
    <w:rsid w:val="00D254A5"/>
    <w:rsid w:val="00D2571E"/>
    <w:rsid w:val="00D26378"/>
    <w:rsid w:val="00D268C7"/>
    <w:rsid w:val="00D26BA6"/>
    <w:rsid w:val="00D26D10"/>
    <w:rsid w:val="00D26F36"/>
    <w:rsid w:val="00D2769B"/>
    <w:rsid w:val="00D3010E"/>
    <w:rsid w:val="00D30B14"/>
    <w:rsid w:val="00D31559"/>
    <w:rsid w:val="00D320ED"/>
    <w:rsid w:val="00D32254"/>
    <w:rsid w:val="00D32EB7"/>
    <w:rsid w:val="00D335ED"/>
    <w:rsid w:val="00D33E48"/>
    <w:rsid w:val="00D3411B"/>
    <w:rsid w:val="00D34225"/>
    <w:rsid w:val="00D3445D"/>
    <w:rsid w:val="00D34850"/>
    <w:rsid w:val="00D34864"/>
    <w:rsid w:val="00D34BFE"/>
    <w:rsid w:val="00D3587E"/>
    <w:rsid w:val="00D36036"/>
    <w:rsid w:val="00D36624"/>
    <w:rsid w:val="00D37327"/>
    <w:rsid w:val="00D37692"/>
    <w:rsid w:val="00D37CB9"/>
    <w:rsid w:val="00D37CDF"/>
    <w:rsid w:val="00D37EF0"/>
    <w:rsid w:val="00D40B3F"/>
    <w:rsid w:val="00D4163A"/>
    <w:rsid w:val="00D42172"/>
    <w:rsid w:val="00D4241E"/>
    <w:rsid w:val="00D42A86"/>
    <w:rsid w:val="00D42A8B"/>
    <w:rsid w:val="00D42D2A"/>
    <w:rsid w:val="00D43015"/>
    <w:rsid w:val="00D43210"/>
    <w:rsid w:val="00D43AFA"/>
    <w:rsid w:val="00D43CFC"/>
    <w:rsid w:val="00D43D74"/>
    <w:rsid w:val="00D43FA3"/>
    <w:rsid w:val="00D4411B"/>
    <w:rsid w:val="00D44183"/>
    <w:rsid w:val="00D44501"/>
    <w:rsid w:val="00D44943"/>
    <w:rsid w:val="00D449CA"/>
    <w:rsid w:val="00D44CC3"/>
    <w:rsid w:val="00D44ED7"/>
    <w:rsid w:val="00D450A6"/>
    <w:rsid w:val="00D45BCA"/>
    <w:rsid w:val="00D45EC7"/>
    <w:rsid w:val="00D46266"/>
    <w:rsid w:val="00D464F5"/>
    <w:rsid w:val="00D46628"/>
    <w:rsid w:val="00D469BA"/>
    <w:rsid w:val="00D46F7A"/>
    <w:rsid w:val="00D471FE"/>
    <w:rsid w:val="00D47451"/>
    <w:rsid w:val="00D47480"/>
    <w:rsid w:val="00D501A3"/>
    <w:rsid w:val="00D507B4"/>
    <w:rsid w:val="00D50A79"/>
    <w:rsid w:val="00D51275"/>
    <w:rsid w:val="00D518D6"/>
    <w:rsid w:val="00D522A1"/>
    <w:rsid w:val="00D5246C"/>
    <w:rsid w:val="00D52674"/>
    <w:rsid w:val="00D52B8B"/>
    <w:rsid w:val="00D52F28"/>
    <w:rsid w:val="00D53B33"/>
    <w:rsid w:val="00D53BBA"/>
    <w:rsid w:val="00D53CE6"/>
    <w:rsid w:val="00D541E6"/>
    <w:rsid w:val="00D54F19"/>
    <w:rsid w:val="00D551EA"/>
    <w:rsid w:val="00D558FF"/>
    <w:rsid w:val="00D55B06"/>
    <w:rsid w:val="00D56AC5"/>
    <w:rsid w:val="00D57DE9"/>
    <w:rsid w:val="00D60133"/>
    <w:rsid w:val="00D60820"/>
    <w:rsid w:val="00D60AF1"/>
    <w:rsid w:val="00D60B65"/>
    <w:rsid w:val="00D60D7B"/>
    <w:rsid w:val="00D6181D"/>
    <w:rsid w:val="00D61E28"/>
    <w:rsid w:val="00D61EBB"/>
    <w:rsid w:val="00D6262B"/>
    <w:rsid w:val="00D627A1"/>
    <w:rsid w:val="00D627CD"/>
    <w:rsid w:val="00D62BBA"/>
    <w:rsid w:val="00D6328D"/>
    <w:rsid w:val="00D632E0"/>
    <w:rsid w:val="00D632F5"/>
    <w:rsid w:val="00D6336E"/>
    <w:rsid w:val="00D6409B"/>
    <w:rsid w:val="00D64BF2"/>
    <w:rsid w:val="00D64CBF"/>
    <w:rsid w:val="00D65280"/>
    <w:rsid w:val="00D6533F"/>
    <w:rsid w:val="00D6566E"/>
    <w:rsid w:val="00D659F8"/>
    <w:rsid w:val="00D65EEF"/>
    <w:rsid w:val="00D666FF"/>
    <w:rsid w:val="00D6681E"/>
    <w:rsid w:val="00D66E38"/>
    <w:rsid w:val="00D67ABB"/>
    <w:rsid w:val="00D67DAC"/>
    <w:rsid w:val="00D70C03"/>
    <w:rsid w:val="00D71E62"/>
    <w:rsid w:val="00D72062"/>
    <w:rsid w:val="00D7229E"/>
    <w:rsid w:val="00D723D1"/>
    <w:rsid w:val="00D72438"/>
    <w:rsid w:val="00D731CC"/>
    <w:rsid w:val="00D739FC"/>
    <w:rsid w:val="00D73C7A"/>
    <w:rsid w:val="00D74570"/>
    <w:rsid w:val="00D74A81"/>
    <w:rsid w:val="00D74B9B"/>
    <w:rsid w:val="00D752C8"/>
    <w:rsid w:val="00D75434"/>
    <w:rsid w:val="00D758A0"/>
    <w:rsid w:val="00D7617F"/>
    <w:rsid w:val="00D76189"/>
    <w:rsid w:val="00D76929"/>
    <w:rsid w:val="00D76E6F"/>
    <w:rsid w:val="00D76F46"/>
    <w:rsid w:val="00D770A3"/>
    <w:rsid w:val="00D7736B"/>
    <w:rsid w:val="00D777E2"/>
    <w:rsid w:val="00D80838"/>
    <w:rsid w:val="00D80B53"/>
    <w:rsid w:val="00D80D45"/>
    <w:rsid w:val="00D81999"/>
    <w:rsid w:val="00D81BCB"/>
    <w:rsid w:val="00D81BCD"/>
    <w:rsid w:val="00D8203F"/>
    <w:rsid w:val="00D821E9"/>
    <w:rsid w:val="00D8226D"/>
    <w:rsid w:val="00D82432"/>
    <w:rsid w:val="00D82EB5"/>
    <w:rsid w:val="00D830AD"/>
    <w:rsid w:val="00D84219"/>
    <w:rsid w:val="00D846B2"/>
    <w:rsid w:val="00D849BC"/>
    <w:rsid w:val="00D850AD"/>
    <w:rsid w:val="00D854EC"/>
    <w:rsid w:val="00D856B8"/>
    <w:rsid w:val="00D85815"/>
    <w:rsid w:val="00D8590C"/>
    <w:rsid w:val="00D85E96"/>
    <w:rsid w:val="00D8606C"/>
    <w:rsid w:val="00D86B64"/>
    <w:rsid w:val="00D87896"/>
    <w:rsid w:val="00D90207"/>
    <w:rsid w:val="00D905DD"/>
    <w:rsid w:val="00D90792"/>
    <w:rsid w:val="00D912C6"/>
    <w:rsid w:val="00D91927"/>
    <w:rsid w:val="00D9197B"/>
    <w:rsid w:val="00D921D0"/>
    <w:rsid w:val="00D92D16"/>
    <w:rsid w:val="00D93BE9"/>
    <w:rsid w:val="00D93F53"/>
    <w:rsid w:val="00D94186"/>
    <w:rsid w:val="00D94B2F"/>
    <w:rsid w:val="00D94FCD"/>
    <w:rsid w:val="00D954B6"/>
    <w:rsid w:val="00D95AC1"/>
    <w:rsid w:val="00D96751"/>
    <w:rsid w:val="00D96836"/>
    <w:rsid w:val="00D96C43"/>
    <w:rsid w:val="00D971B1"/>
    <w:rsid w:val="00D972C3"/>
    <w:rsid w:val="00D97E10"/>
    <w:rsid w:val="00D97E4E"/>
    <w:rsid w:val="00D97F63"/>
    <w:rsid w:val="00DA05D5"/>
    <w:rsid w:val="00DA0634"/>
    <w:rsid w:val="00DA06AF"/>
    <w:rsid w:val="00DA1052"/>
    <w:rsid w:val="00DA1083"/>
    <w:rsid w:val="00DA159A"/>
    <w:rsid w:val="00DA1ACE"/>
    <w:rsid w:val="00DA1D4B"/>
    <w:rsid w:val="00DA2104"/>
    <w:rsid w:val="00DA2502"/>
    <w:rsid w:val="00DA3A0A"/>
    <w:rsid w:val="00DA436D"/>
    <w:rsid w:val="00DA44E0"/>
    <w:rsid w:val="00DA457F"/>
    <w:rsid w:val="00DA4E49"/>
    <w:rsid w:val="00DA52A4"/>
    <w:rsid w:val="00DA55DD"/>
    <w:rsid w:val="00DA5979"/>
    <w:rsid w:val="00DA5CFE"/>
    <w:rsid w:val="00DA5D5D"/>
    <w:rsid w:val="00DA5E49"/>
    <w:rsid w:val="00DA5FCC"/>
    <w:rsid w:val="00DA6AC5"/>
    <w:rsid w:val="00DA6B28"/>
    <w:rsid w:val="00DA71EB"/>
    <w:rsid w:val="00DA7387"/>
    <w:rsid w:val="00DA749D"/>
    <w:rsid w:val="00DA7ACC"/>
    <w:rsid w:val="00DB00B4"/>
    <w:rsid w:val="00DB0D09"/>
    <w:rsid w:val="00DB0F40"/>
    <w:rsid w:val="00DB0FD8"/>
    <w:rsid w:val="00DB1266"/>
    <w:rsid w:val="00DB1339"/>
    <w:rsid w:val="00DB135E"/>
    <w:rsid w:val="00DB1693"/>
    <w:rsid w:val="00DB1730"/>
    <w:rsid w:val="00DB201F"/>
    <w:rsid w:val="00DB2E81"/>
    <w:rsid w:val="00DB33D1"/>
    <w:rsid w:val="00DB358D"/>
    <w:rsid w:val="00DB4CEB"/>
    <w:rsid w:val="00DB52FE"/>
    <w:rsid w:val="00DB5BA1"/>
    <w:rsid w:val="00DB624D"/>
    <w:rsid w:val="00DB62EC"/>
    <w:rsid w:val="00DB65F5"/>
    <w:rsid w:val="00DB6BF5"/>
    <w:rsid w:val="00DB704E"/>
    <w:rsid w:val="00DB70BC"/>
    <w:rsid w:val="00DB73B1"/>
    <w:rsid w:val="00DB7870"/>
    <w:rsid w:val="00DB78EC"/>
    <w:rsid w:val="00DC03D4"/>
    <w:rsid w:val="00DC0F6B"/>
    <w:rsid w:val="00DC1058"/>
    <w:rsid w:val="00DC106A"/>
    <w:rsid w:val="00DC115A"/>
    <w:rsid w:val="00DC1284"/>
    <w:rsid w:val="00DC13AE"/>
    <w:rsid w:val="00DC1E5E"/>
    <w:rsid w:val="00DC1F1E"/>
    <w:rsid w:val="00DC22D8"/>
    <w:rsid w:val="00DC23EA"/>
    <w:rsid w:val="00DC26F9"/>
    <w:rsid w:val="00DC2FCC"/>
    <w:rsid w:val="00DC31A1"/>
    <w:rsid w:val="00DC3266"/>
    <w:rsid w:val="00DC39C5"/>
    <w:rsid w:val="00DC4960"/>
    <w:rsid w:val="00DC51D1"/>
    <w:rsid w:val="00DC5E5D"/>
    <w:rsid w:val="00DC6228"/>
    <w:rsid w:val="00DC6676"/>
    <w:rsid w:val="00DC6890"/>
    <w:rsid w:val="00DC7580"/>
    <w:rsid w:val="00DD0126"/>
    <w:rsid w:val="00DD056C"/>
    <w:rsid w:val="00DD15E0"/>
    <w:rsid w:val="00DD17A7"/>
    <w:rsid w:val="00DD192A"/>
    <w:rsid w:val="00DD19FC"/>
    <w:rsid w:val="00DD1C3F"/>
    <w:rsid w:val="00DD22CD"/>
    <w:rsid w:val="00DD298E"/>
    <w:rsid w:val="00DD3861"/>
    <w:rsid w:val="00DD3F7E"/>
    <w:rsid w:val="00DD452F"/>
    <w:rsid w:val="00DD47D3"/>
    <w:rsid w:val="00DD49F3"/>
    <w:rsid w:val="00DD4C62"/>
    <w:rsid w:val="00DD55E0"/>
    <w:rsid w:val="00DD5B66"/>
    <w:rsid w:val="00DD6305"/>
    <w:rsid w:val="00DD67F2"/>
    <w:rsid w:val="00DD6BF5"/>
    <w:rsid w:val="00DD6E8F"/>
    <w:rsid w:val="00DD7260"/>
    <w:rsid w:val="00DD77A6"/>
    <w:rsid w:val="00DD789D"/>
    <w:rsid w:val="00DD78E5"/>
    <w:rsid w:val="00DE0322"/>
    <w:rsid w:val="00DE063A"/>
    <w:rsid w:val="00DE08B5"/>
    <w:rsid w:val="00DE11D5"/>
    <w:rsid w:val="00DE1258"/>
    <w:rsid w:val="00DE169F"/>
    <w:rsid w:val="00DE1963"/>
    <w:rsid w:val="00DE2AAB"/>
    <w:rsid w:val="00DE3274"/>
    <w:rsid w:val="00DE33AB"/>
    <w:rsid w:val="00DE363E"/>
    <w:rsid w:val="00DE3755"/>
    <w:rsid w:val="00DE3DA4"/>
    <w:rsid w:val="00DE4004"/>
    <w:rsid w:val="00DE4460"/>
    <w:rsid w:val="00DE4650"/>
    <w:rsid w:val="00DE4AA4"/>
    <w:rsid w:val="00DE4F66"/>
    <w:rsid w:val="00DE5357"/>
    <w:rsid w:val="00DE59E5"/>
    <w:rsid w:val="00DE5C33"/>
    <w:rsid w:val="00DE61D3"/>
    <w:rsid w:val="00DE64F1"/>
    <w:rsid w:val="00DE679B"/>
    <w:rsid w:val="00DE691F"/>
    <w:rsid w:val="00DE6948"/>
    <w:rsid w:val="00DE6F64"/>
    <w:rsid w:val="00DE6FD8"/>
    <w:rsid w:val="00DE76B2"/>
    <w:rsid w:val="00DE7883"/>
    <w:rsid w:val="00DF0617"/>
    <w:rsid w:val="00DF08A4"/>
    <w:rsid w:val="00DF157A"/>
    <w:rsid w:val="00DF1595"/>
    <w:rsid w:val="00DF1C1B"/>
    <w:rsid w:val="00DF1DC8"/>
    <w:rsid w:val="00DF2340"/>
    <w:rsid w:val="00DF29B3"/>
    <w:rsid w:val="00DF2CE3"/>
    <w:rsid w:val="00DF3756"/>
    <w:rsid w:val="00DF375F"/>
    <w:rsid w:val="00DF39C4"/>
    <w:rsid w:val="00DF44D2"/>
    <w:rsid w:val="00DF4BA2"/>
    <w:rsid w:val="00DF4F96"/>
    <w:rsid w:val="00DF5745"/>
    <w:rsid w:val="00DF5762"/>
    <w:rsid w:val="00DF5C83"/>
    <w:rsid w:val="00DF5E20"/>
    <w:rsid w:val="00DF5FE7"/>
    <w:rsid w:val="00DF6653"/>
    <w:rsid w:val="00DF6D32"/>
    <w:rsid w:val="00DF7104"/>
    <w:rsid w:val="00DF71BE"/>
    <w:rsid w:val="00DF7835"/>
    <w:rsid w:val="00DF7D15"/>
    <w:rsid w:val="00DF7E21"/>
    <w:rsid w:val="00E000C6"/>
    <w:rsid w:val="00E00A23"/>
    <w:rsid w:val="00E0101B"/>
    <w:rsid w:val="00E0139A"/>
    <w:rsid w:val="00E0160A"/>
    <w:rsid w:val="00E018AA"/>
    <w:rsid w:val="00E01BD7"/>
    <w:rsid w:val="00E01E5E"/>
    <w:rsid w:val="00E01EED"/>
    <w:rsid w:val="00E02143"/>
    <w:rsid w:val="00E025AA"/>
    <w:rsid w:val="00E027B9"/>
    <w:rsid w:val="00E02BBA"/>
    <w:rsid w:val="00E02D40"/>
    <w:rsid w:val="00E02F1C"/>
    <w:rsid w:val="00E03766"/>
    <w:rsid w:val="00E03BA8"/>
    <w:rsid w:val="00E03BED"/>
    <w:rsid w:val="00E047B5"/>
    <w:rsid w:val="00E04DEB"/>
    <w:rsid w:val="00E054AE"/>
    <w:rsid w:val="00E05E12"/>
    <w:rsid w:val="00E05E18"/>
    <w:rsid w:val="00E0656C"/>
    <w:rsid w:val="00E06926"/>
    <w:rsid w:val="00E07199"/>
    <w:rsid w:val="00E07974"/>
    <w:rsid w:val="00E07BA0"/>
    <w:rsid w:val="00E10673"/>
    <w:rsid w:val="00E10990"/>
    <w:rsid w:val="00E1147D"/>
    <w:rsid w:val="00E114C9"/>
    <w:rsid w:val="00E11D87"/>
    <w:rsid w:val="00E11E92"/>
    <w:rsid w:val="00E11EFF"/>
    <w:rsid w:val="00E125C7"/>
    <w:rsid w:val="00E12ABC"/>
    <w:rsid w:val="00E12FE6"/>
    <w:rsid w:val="00E13241"/>
    <w:rsid w:val="00E13472"/>
    <w:rsid w:val="00E1394F"/>
    <w:rsid w:val="00E1444B"/>
    <w:rsid w:val="00E145EF"/>
    <w:rsid w:val="00E14634"/>
    <w:rsid w:val="00E1489E"/>
    <w:rsid w:val="00E149C2"/>
    <w:rsid w:val="00E14D6C"/>
    <w:rsid w:val="00E15712"/>
    <w:rsid w:val="00E1637F"/>
    <w:rsid w:val="00E16779"/>
    <w:rsid w:val="00E17E92"/>
    <w:rsid w:val="00E203CB"/>
    <w:rsid w:val="00E20C8D"/>
    <w:rsid w:val="00E2136A"/>
    <w:rsid w:val="00E215F2"/>
    <w:rsid w:val="00E21EFF"/>
    <w:rsid w:val="00E221D6"/>
    <w:rsid w:val="00E225E4"/>
    <w:rsid w:val="00E22BBE"/>
    <w:rsid w:val="00E23287"/>
    <w:rsid w:val="00E23A79"/>
    <w:rsid w:val="00E23C7B"/>
    <w:rsid w:val="00E242A5"/>
    <w:rsid w:val="00E24889"/>
    <w:rsid w:val="00E24E33"/>
    <w:rsid w:val="00E256B9"/>
    <w:rsid w:val="00E26ADA"/>
    <w:rsid w:val="00E27E72"/>
    <w:rsid w:val="00E30147"/>
    <w:rsid w:val="00E304A1"/>
    <w:rsid w:val="00E310E1"/>
    <w:rsid w:val="00E31CC3"/>
    <w:rsid w:val="00E3222E"/>
    <w:rsid w:val="00E3242F"/>
    <w:rsid w:val="00E32964"/>
    <w:rsid w:val="00E32B31"/>
    <w:rsid w:val="00E34050"/>
    <w:rsid w:val="00E34291"/>
    <w:rsid w:val="00E35A8B"/>
    <w:rsid w:val="00E3600A"/>
    <w:rsid w:val="00E36814"/>
    <w:rsid w:val="00E369DA"/>
    <w:rsid w:val="00E36D5C"/>
    <w:rsid w:val="00E373FF"/>
    <w:rsid w:val="00E378F4"/>
    <w:rsid w:val="00E37FAB"/>
    <w:rsid w:val="00E400DD"/>
    <w:rsid w:val="00E4054F"/>
    <w:rsid w:val="00E40C19"/>
    <w:rsid w:val="00E40E29"/>
    <w:rsid w:val="00E4125B"/>
    <w:rsid w:val="00E4135F"/>
    <w:rsid w:val="00E41D0D"/>
    <w:rsid w:val="00E41F6F"/>
    <w:rsid w:val="00E421E2"/>
    <w:rsid w:val="00E436ED"/>
    <w:rsid w:val="00E43D54"/>
    <w:rsid w:val="00E44593"/>
    <w:rsid w:val="00E44DD3"/>
    <w:rsid w:val="00E44DDA"/>
    <w:rsid w:val="00E44DEE"/>
    <w:rsid w:val="00E45EDD"/>
    <w:rsid w:val="00E46B87"/>
    <w:rsid w:val="00E47C4B"/>
    <w:rsid w:val="00E47C8F"/>
    <w:rsid w:val="00E50529"/>
    <w:rsid w:val="00E507C5"/>
    <w:rsid w:val="00E50BF9"/>
    <w:rsid w:val="00E50E0F"/>
    <w:rsid w:val="00E50F2B"/>
    <w:rsid w:val="00E51B9F"/>
    <w:rsid w:val="00E51F1E"/>
    <w:rsid w:val="00E52809"/>
    <w:rsid w:val="00E52E99"/>
    <w:rsid w:val="00E53388"/>
    <w:rsid w:val="00E53401"/>
    <w:rsid w:val="00E538A0"/>
    <w:rsid w:val="00E53994"/>
    <w:rsid w:val="00E53C25"/>
    <w:rsid w:val="00E53E0F"/>
    <w:rsid w:val="00E54E38"/>
    <w:rsid w:val="00E55582"/>
    <w:rsid w:val="00E5589B"/>
    <w:rsid w:val="00E55A91"/>
    <w:rsid w:val="00E55E6F"/>
    <w:rsid w:val="00E56187"/>
    <w:rsid w:val="00E5620C"/>
    <w:rsid w:val="00E56F38"/>
    <w:rsid w:val="00E57558"/>
    <w:rsid w:val="00E5789B"/>
    <w:rsid w:val="00E57AB6"/>
    <w:rsid w:val="00E57B77"/>
    <w:rsid w:val="00E57D52"/>
    <w:rsid w:val="00E57E9D"/>
    <w:rsid w:val="00E57F08"/>
    <w:rsid w:val="00E600C9"/>
    <w:rsid w:val="00E60533"/>
    <w:rsid w:val="00E606FA"/>
    <w:rsid w:val="00E60BC8"/>
    <w:rsid w:val="00E60CFB"/>
    <w:rsid w:val="00E60E65"/>
    <w:rsid w:val="00E60F65"/>
    <w:rsid w:val="00E61CA6"/>
    <w:rsid w:val="00E61F0C"/>
    <w:rsid w:val="00E621BA"/>
    <w:rsid w:val="00E62845"/>
    <w:rsid w:val="00E62D9A"/>
    <w:rsid w:val="00E62DD7"/>
    <w:rsid w:val="00E63358"/>
    <w:rsid w:val="00E636D4"/>
    <w:rsid w:val="00E641C6"/>
    <w:rsid w:val="00E65334"/>
    <w:rsid w:val="00E65F2D"/>
    <w:rsid w:val="00E66039"/>
    <w:rsid w:val="00E66595"/>
    <w:rsid w:val="00E6671D"/>
    <w:rsid w:val="00E6678F"/>
    <w:rsid w:val="00E66A57"/>
    <w:rsid w:val="00E66B45"/>
    <w:rsid w:val="00E67182"/>
    <w:rsid w:val="00E67389"/>
    <w:rsid w:val="00E6778F"/>
    <w:rsid w:val="00E70084"/>
    <w:rsid w:val="00E70169"/>
    <w:rsid w:val="00E7022F"/>
    <w:rsid w:val="00E704B4"/>
    <w:rsid w:val="00E70F54"/>
    <w:rsid w:val="00E71386"/>
    <w:rsid w:val="00E71D54"/>
    <w:rsid w:val="00E72867"/>
    <w:rsid w:val="00E72A69"/>
    <w:rsid w:val="00E72EFC"/>
    <w:rsid w:val="00E73192"/>
    <w:rsid w:val="00E732A2"/>
    <w:rsid w:val="00E7334C"/>
    <w:rsid w:val="00E739EE"/>
    <w:rsid w:val="00E75235"/>
    <w:rsid w:val="00E75264"/>
    <w:rsid w:val="00E75662"/>
    <w:rsid w:val="00E75C94"/>
    <w:rsid w:val="00E76953"/>
    <w:rsid w:val="00E769EE"/>
    <w:rsid w:val="00E76C19"/>
    <w:rsid w:val="00E76C50"/>
    <w:rsid w:val="00E77146"/>
    <w:rsid w:val="00E77208"/>
    <w:rsid w:val="00E774A3"/>
    <w:rsid w:val="00E7790E"/>
    <w:rsid w:val="00E77E2D"/>
    <w:rsid w:val="00E800F3"/>
    <w:rsid w:val="00E81473"/>
    <w:rsid w:val="00E81532"/>
    <w:rsid w:val="00E82058"/>
    <w:rsid w:val="00E824CE"/>
    <w:rsid w:val="00E82819"/>
    <w:rsid w:val="00E82ADA"/>
    <w:rsid w:val="00E82B0D"/>
    <w:rsid w:val="00E83B6F"/>
    <w:rsid w:val="00E8470D"/>
    <w:rsid w:val="00E849A1"/>
    <w:rsid w:val="00E8599F"/>
    <w:rsid w:val="00E861D8"/>
    <w:rsid w:val="00E86465"/>
    <w:rsid w:val="00E866D7"/>
    <w:rsid w:val="00E86B17"/>
    <w:rsid w:val="00E86D3A"/>
    <w:rsid w:val="00E87055"/>
    <w:rsid w:val="00E8736C"/>
    <w:rsid w:val="00E87CC6"/>
    <w:rsid w:val="00E90712"/>
    <w:rsid w:val="00E90C13"/>
    <w:rsid w:val="00E90D7C"/>
    <w:rsid w:val="00E90EE4"/>
    <w:rsid w:val="00E91111"/>
    <w:rsid w:val="00E91AA3"/>
    <w:rsid w:val="00E920BE"/>
    <w:rsid w:val="00E921D9"/>
    <w:rsid w:val="00E92233"/>
    <w:rsid w:val="00E92AC4"/>
    <w:rsid w:val="00E92BF7"/>
    <w:rsid w:val="00E938B2"/>
    <w:rsid w:val="00E93BA7"/>
    <w:rsid w:val="00E93C1C"/>
    <w:rsid w:val="00E93FD9"/>
    <w:rsid w:val="00E94C82"/>
    <w:rsid w:val="00E94E86"/>
    <w:rsid w:val="00E94EBE"/>
    <w:rsid w:val="00E9524D"/>
    <w:rsid w:val="00E9530C"/>
    <w:rsid w:val="00E953F7"/>
    <w:rsid w:val="00E9570C"/>
    <w:rsid w:val="00E95B8D"/>
    <w:rsid w:val="00E969BE"/>
    <w:rsid w:val="00E97A4A"/>
    <w:rsid w:val="00E97C0F"/>
    <w:rsid w:val="00EA011A"/>
    <w:rsid w:val="00EA01B1"/>
    <w:rsid w:val="00EA0399"/>
    <w:rsid w:val="00EA07CA"/>
    <w:rsid w:val="00EA09FA"/>
    <w:rsid w:val="00EA0FB5"/>
    <w:rsid w:val="00EA11A9"/>
    <w:rsid w:val="00EA1717"/>
    <w:rsid w:val="00EA2A5D"/>
    <w:rsid w:val="00EA2CAB"/>
    <w:rsid w:val="00EA2E50"/>
    <w:rsid w:val="00EA312D"/>
    <w:rsid w:val="00EA376E"/>
    <w:rsid w:val="00EA3A5F"/>
    <w:rsid w:val="00EA3CF7"/>
    <w:rsid w:val="00EA4324"/>
    <w:rsid w:val="00EA446B"/>
    <w:rsid w:val="00EA46D7"/>
    <w:rsid w:val="00EA4705"/>
    <w:rsid w:val="00EA49EB"/>
    <w:rsid w:val="00EA570E"/>
    <w:rsid w:val="00EA58CC"/>
    <w:rsid w:val="00EA5D00"/>
    <w:rsid w:val="00EA63FC"/>
    <w:rsid w:val="00EA65F5"/>
    <w:rsid w:val="00EA68EB"/>
    <w:rsid w:val="00EA692D"/>
    <w:rsid w:val="00EA69B3"/>
    <w:rsid w:val="00EA7147"/>
    <w:rsid w:val="00EA7A70"/>
    <w:rsid w:val="00EA7CD6"/>
    <w:rsid w:val="00EA7CF1"/>
    <w:rsid w:val="00EB087E"/>
    <w:rsid w:val="00EB0931"/>
    <w:rsid w:val="00EB0C68"/>
    <w:rsid w:val="00EB0E8C"/>
    <w:rsid w:val="00EB1397"/>
    <w:rsid w:val="00EB170B"/>
    <w:rsid w:val="00EB1F63"/>
    <w:rsid w:val="00EB27D6"/>
    <w:rsid w:val="00EB2C1D"/>
    <w:rsid w:val="00EB2FF8"/>
    <w:rsid w:val="00EB3166"/>
    <w:rsid w:val="00EB44FF"/>
    <w:rsid w:val="00EB4570"/>
    <w:rsid w:val="00EB4781"/>
    <w:rsid w:val="00EB4973"/>
    <w:rsid w:val="00EB4A0B"/>
    <w:rsid w:val="00EB4A2B"/>
    <w:rsid w:val="00EB4ACF"/>
    <w:rsid w:val="00EB5122"/>
    <w:rsid w:val="00EB541D"/>
    <w:rsid w:val="00EB5C23"/>
    <w:rsid w:val="00EB6171"/>
    <w:rsid w:val="00EB7812"/>
    <w:rsid w:val="00EB7BDF"/>
    <w:rsid w:val="00EC074F"/>
    <w:rsid w:val="00EC0BFF"/>
    <w:rsid w:val="00EC0E17"/>
    <w:rsid w:val="00EC1018"/>
    <w:rsid w:val="00EC137B"/>
    <w:rsid w:val="00EC15DF"/>
    <w:rsid w:val="00EC162E"/>
    <w:rsid w:val="00EC1897"/>
    <w:rsid w:val="00EC20DB"/>
    <w:rsid w:val="00EC23FD"/>
    <w:rsid w:val="00EC29F0"/>
    <w:rsid w:val="00EC301C"/>
    <w:rsid w:val="00EC33E8"/>
    <w:rsid w:val="00EC36A7"/>
    <w:rsid w:val="00EC376C"/>
    <w:rsid w:val="00EC3AB7"/>
    <w:rsid w:val="00EC4119"/>
    <w:rsid w:val="00EC46B2"/>
    <w:rsid w:val="00EC4FC3"/>
    <w:rsid w:val="00EC506B"/>
    <w:rsid w:val="00EC53E9"/>
    <w:rsid w:val="00EC5C74"/>
    <w:rsid w:val="00EC6D1F"/>
    <w:rsid w:val="00EC6F3C"/>
    <w:rsid w:val="00EC7009"/>
    <w:rsid w:val="00EC7E49"/>
    <w:rsid w:val="00EC7EF3"/>
    <w:rsid w:val="00EC7FC1"/>
    <w:rsid w:val="00EC7FF1"/>
    <w:rsid w:val="00ED0639"/>
    <w:rsid w:val="00ED0688"/>
    <w:rsid w:val="00ED09A3"/>
    <w:rsid w:val="00ED113F"/>
    <w:rsid w:val="00ED1553"/>
    <w:rsid w:val="00ED1B63"/>
    <w:rsid w:val="00ED1E12"/>
    <w:rsid w:val="00ED29D1"/>
    <w:rsid w:val="00ED33C0"/>
    <w:rsid w:val="00ED3700"/>
    <w:rsid w:val="00ED3AAE"/>
    <w:rsid w:val="00ED44F8"/>
    <w:rsid w:val="00ED45DF"/>
    <w:rsid w:val="00ED48CA"/>
    <w:rsid w:val="00ED4F4C"/>
    <w:rsid w:val="00ED59AF"/>
    <w:rsid w:val="00ED5C7B"/>
    <w:rsid w:val="00ED5CAC"/>
    <w:rsid w:val="00ED600E"/>
    <w:rsid w:val="00ED61E5"/>
    <w:rsid w:val="00ED67AB"/>
    <w:rsid w:val="00ED6860"/>
    <w:rsid w:val="00ED6D89"/>
    <w:rsid w:val="00ED6E18"/>
    <w:rsid w:val="00ED72AA"/>
    <w:rsid w:val="00ED72E5"/>
    <w:rsid w:val="00ED77D7"/>
    <w:rsid w:val="00ED7C61"/>
    <w:rsid w:val="00EE057B"/>
    <w:rsid w:val="00EE0644"/>
    <w:rsid w:val="00EE08CC"/>
    <w:rsid w:val="00EE16DD"/>
    <w:rsid w:val="00EE1BE2"/>
    <w:rsid w:val="00EE1C9B"/>
    <w:rsid w:val="00EE1E2B"/>
    <w:rsid w:val="00EE24D6"/>
    <w:rsid w:val="00EE3260"/>
    <w:rsid w:val="00EE3AAD"/>
    <w:rsid w:val="00EE3B36"/>
    <w:rsid w:val="00EE3CA2"/>
    <w:rsid w:val="00EE46F2"/>
    <w:rsid w:val="00EE4C1D"/>
    <w:rsid w:val="00EE4CB1"/>
    <w:rsid w:val="00EE513B"/>
    <w:rsid w:val="00EE54B4"/>
    <w:rsid w:val="00EE57A2"/>
    <w:rsid w:val="00EE6326"/>
    <w:rsid w:val="00EE6C25"/>
    <w:rsid w:val="00EE6F63"/>
    <w:rsid w:val="00EE6F8D"/>
    <w:rsid w:val="00EE7ABD"/>
    <w:rsid w:val="00EE7BCA"/>
    <w:rsid w:val="00EF03D2"/>
    <w:rsid w:val="00EF06F5"/>
    <w:rsid w:val="00EF0D08"/>
    <w:rsid w:val="00EF0D7E"/>
    <w:rsid w:val="00EF0D8B"/>
    <w:rsid w:val="00EF1AF0"/>
    <w:rsid w:val="00EF1B7B"/>
    <w:rsid w:val="00EF1D32"/>
    <w:rsid w:val="00EF2364"/>
    <w:rsid w:val="00EF2A94"/>
    <w:rsid w:val="00EF3187"/>
    <w:rsid w:val="00EF3B8F"/>
    <w:rsid w:val="00EF3EEC"/>
    <w:rsid w:val="00EF4931"/>
    <w:rsid w:val="00EF4F04"/>
    <w:rsid w:val="00EF5545"/>
    <w:rsid w:val="00EF59FD"/>
    <w:rsid w:val="00EF60BA"/>
    <w:rsid w:val="00EF64AB"/>
    <w:rsid w:val="00EF6E3D"/>
    <w:rsid w:val="00EF7888"/>
    <w:rsid w:val="00F00301"/>
    <w:rsid w:val="00F005DB"/>
    <w:rsid w:val="00F0074E"/>
    <w:rsid w:val="00F00854"/>
    <w:rsid w:val="00F00B5F"/>
    <w:rsid w:val="00F017DB"/>
    <w:rsid w:val="00F01987"/>
    <w:rsid w:val="00F02A01"/>
    <w:rsid w:val="00F03262"/>
    <w:rsid w:val="00F03712"/>
    <w:rsid w:val="00F037DF"/>
    <w:rsid w:val="00F038C7"/>
    <w:rsid w:val="00F03AEF"/>
    <w:rsid w:val="00F03EF6"/>
    <w:rsid w:val="00F044DF"/>
    <w:rsid w:val="00F0457A"/>
    <w:rsid w:val="00F04975"/>
    <w:rsid w:val="00F04E15"/>
    <w:rsid w:val="00F051DB"/>
    <w:rsid w:val="00F05718"/>
    <w:rsid w:val="00F058DF"/>
    <w:rsid w:val="00F06005"/>
    <w:rsid w:val="00F06452"/>
    <w:rsid w:val="00F0664F"/>
    <w:rsid w:val="00F07B14"/>
    <w:rsid w:val="00F10211"/>
    <w:rsid w:val="00F10468"/>
    <w:rsid w:val="00F10931"/>
    <w:rsid w:val="00F10C23"/>
    <w:rsid w:val="00F1117C"/>
    <w:rsid w:val="00F112FA"/>
    <w:rsid w:val="00F1137E"/>
    <w:rsid w:val="00F115A8"/>
    <w:rsid w:val="00F115C4"/>
    <w:rsid w:val="00F1175A"/>
    <w:rsid w:val="00F11A1A"/>
    <w:rsid w:val="00F1202B"/>
    <w:rsid w:val="00F1203A"/>
    <w:rsid w:val="00F12543"/>
    <w:rsid w:val="00F127BD"/>
    <w:rsid w:val="00F137BA"/>
    <w:rsid w:val="00F13FA5"/>
    <w:rsid w:val="00F14B8B"/>
    <w:rsid w:val="00F15B0F"/>
    <w:rsid w:val="00F15EF5"/>
    <w:rsid w:val="00F16851"/>
    <w:rsid w:val="00F16C8C"/>
    <w:rsid w:val="00F1722B"/>
    <w:rsid w:val="00F17898"/>
    <w:rsid w:val="00F2007C"/>
    <w:rsid w:val="00F205AA"/>
    <w:rsid w:val="00F2082E"/>
    <w:rsid w:val="00F20EE6"/>
    <w:rsid w:val="00F20F96"/>
    <w:rsid w:val="00F21A5B"/>
    <w:rsid w:val="00F21AC3"/>
    <w:rsid w:val="00F21B93"/>
    <w:rsid w:val="00F21BF4"/>
    <w:rsid w:val="00F22A94"/>
    <w:rsid w:val="00F22CBD"/>
    <w:rsid w:val="00F22E22"/>
    <w:rsid w:val="00F24928"/>
    <w:rsid w:val="00F25439"/>
    <w:rsid w:val="00F25531"/>
    <w:rsid w:val="00F255B9"/>
    <w:rsid w:val="00F25974"/>
    <w:rsid w:val="00F262F0"/>
    <w:rsid w:val="00F26A07"/>
    <w:rsid w:val="00F26B06"/>
    <w:rsid w:val="00F2721A"/>
    <w:rsid w:val="00F2732D"/>
    <w:rsid w:val="00F277D4"/>
    <w:rsid w:val="00F278DC"/>
    <w:rsid w:val="00F27A20"/>
    <w:rsid w:val="00F27F5E"/>
    <w:rsid w:val="00F27FBB"/>
    <w:rsid w:val="00F3114C"/>
    <w:rsid w:val="00F318E7"/>
    <w:rsid w:val="00F320E4"/>
    <w:rsid w:val="00F32296"/>
    <w:rsid w:val="00F32340"/>
    <w:rsid w:val="00F32A1B"/>
    <w:rsid w:val="00F33A15"/>
    <w:rsid w:val="00F341FF"/>
    <w:rsid w:val="00F346D3"/>
    <w:rsid w:val="00F34788"/>
    <w:rsid w:val="00F347EB"/>
    <w:rsid w:val="00F35095"/>
    <w:rsid w:val="00F368F6"/>
    <w:rsid w:val="00F3716E"/>
    <w:rsid w:val="00F37E33"/>
    <w:rsid w:val="00F37E38"/>
    <w:rsid w:val="00F40070"/>
    <w:rsid w:val="00F40817"/>
    <w:rsid w:val="00F4093E"/>
    <w:rsid w:val="00F40A64"/>
    <w:rsid w:val="00F40B57"/>
    <w:rsid w:val="00F40F7D"/>
    <w:rsid w:val="00F4137D"/>
    <w:rsid w:val="00F415C1"/>
    <w:rsid w:val="00F41B18"/>
    <w:rsid w:val="00F41CCF"/>
    <w:rsid w:val="00F41F50"/>
    <w:rsid w:val="00F42259"/>
    <w:rsid w:val="00F4287B"/>
    <w:rsid w:val="00F429EE"/>
    <w:rsid w:val="00F430E4"/>
    <w:rsid w:val="00F43331"/>
    <w:rsid w:val="00F4452F"/>
    <w:rsid w:val="00F44548"/>
    <w:rsid w:val="00F449E4"/>
    <w:rsid w:val="00F44AD8"/>
    <w:rsid w:val="00F44B7C"/>
    <w:rsid w:val="00F454EF"/>
    <w:rsid w:val="00F45B98"/>
    <w:rsid w:val="00F45B9B"/>
    <w:rsid w:val="00F46363"/>
    <w:rsid w:val="00F46505"/>
    <w:rsid w:val="00F468BB"/>
    <w:rsid w:val="00F46C79"/>
    <w:rsid w:val="00F4730E"/>
    <w:rsid w:val="00F47F65"/>
    <w:rsid w:val="00F47F6A"/>
    <w:rsid w:val="00F50622"/>
    <w:rsid w:val="00F51491"/>
    <w:rsid w:val="00F5169A"/>
    <w:rsid w:val="00F51B40"/>
    <w:rsid w:val="00F51E25"/>
    <w:rsid w:val="00F521CF"/>
    <w:rsid w:val="00F523EB"/>
    <w:rsid w:val="00F5247F"/>
    <w:rsid w:val="00F52711"/>
    <w:rsid w:val="00F52C15"/>
    <w:rsid w:val="00F52C2C"/>
    <w:rsid w:val="00F5314D"/>
    <w:rsid w:val="00F53269"/>
    <w:rsid w:val="00F5396B"/>
    <w:rsid w:val="00F53C10"/>
    <w:rsid w:val="00F53C62"/>
    <w:rsid w:val="00F542D4"/>
    <w:rsid w:val="00F55094"/>
    <w:rsid w:val="00F5524A"/>
    <w:rsid w:val="00F565BC"/>
    <w:rsid w:val="00F576D4"/>
    <w:rsid w:val="00F6020A"/>
    <w:rsid w:val="00F605FC"/>
    <w:rsid w:val="00F60622"/>
    <w:rsid w:val="00F60830"/>
    <w:rsid w:val="00F60B52"/>
    <w:rsid w:val="00F61595"/>
    <w:rsid w:val="00F61749"/>
    <w:rsid w:val="00F6184C"/>
    <w:rsid w:val="00F618F9"/>
    <w:rsid w:val="00F619EF"/>
    <w:rsid w:val="00F61BE3"/>
    <w:rsid w:val="00F62117"/>
    <w:rsid w:val="00F62936"/>
    <w:rsid w:val="00F62EB9"/>
    <w:rsid w:val="00F62FD9"/>
    <w:rsid w:val="00F634F0"/>
    <w:rsid w:val="00F6363F"/>
    <w:rsid w:val="00F63830"/>
    <w:rsid w:val="00F6539F"/>
    <w:rsid w:val="00F6554F"/>
    <w:rsid w:val="00F6564D"/>
    <w:rsid w:val="00F65706"/>
    <w:rsid w:val="00F65D77"/>
    <w:rsid w:val="00F660EA"/>
    <w:rsid w:val="00F66149"/>
    <w:rsid w:val="00F6645E"/>
    <w:rsid w:val="00F66B5F"/>
    <w:rsid w:val="00F67202"/>
    <w:rsid w:val="00F674DF"/>
    <w:rsid w:val="00F7024B"/>
    <w:rsid w:val="00F708A3"/>
    <w:rsid w:val="00F70B92"/>
    <w:rsid w:val="00F70E56"/>
    <w:rsid w:val="00F71ABB"/>
    <w:rsid w:val="00F723CF"/>
    <w:rsid w:val="00F727A3"/>
    <w:rsid w:val="00F7282C"/>
    <w:rsid w:val="00F729E8"/>
    <w:rsid w:val="00F74041"/>
    <w:rsid w:val="00F7429F"/>
    <w:rsid w:val="00F75159"/>
    <w:rsid w:val="00F75331"/>
    <w:rsid w:val="00F753C8"/>
    <w:rsid w:val="00F75AA7"/>
    <w:rsid w:val="00F760D3"/>
    <w:rsid w:val="00F76580"/>
    <w:rsid w:val="00F76925"/>
    <w:rsid w:val="00F76A59"/>
    <w:rsid w:val="00F76ACE"/>
    <w:rsid w:val="00F76CAE"/>
    <w:rsid w:val="00F7754D"/>
    <w:rsid w:val="00F7768B"/>
    <w:rsid w:val="00F802B3"/>
    <w:rsid w:val="00F80448"/>
    <w:rsid w:val="00F807AD"/>
    <w:rsid w:val="00F807B9"/>
    <w:rsid w:val="00F80FC1"/>
    <w:rsid w:val="00F8151E"/>
    <w:rsid w:val="00F81744"/>
    <w:rsid w:val="00F81838"/>
    <w:rsid w:val="00F82073"/>
    <w:rsid w:val="00F82482"/>
    <w:rsid w:val="00F82891"/>
    <w:rsid w:val="00F83CBB"/>
    <w:rsid w:val="00F83DFE"/>
    <w:rsid w:val="00F84E97"/>
    <w:rsid w:val="00F8539D"/>
    <w:rsid w:val="00F85565"/>
    <w:rsid w:val="00F85677"/>
    <w:rsid w:val="00F85E67"/>
    <w:rsid w:val="00F8677B"/>
    <w:rsid w:val="00F8688C"/>
    <w:rsid w:val="00F87463"/>
    <w:rsid w:val="00F875E3"/>
    <w:rsid w:val="00F87C91"/>
    <w:rsid w:val="00F87E57"/>
    <w:rsid w:val="00F87EB5"/>
    <w:rsid w:val="00F87FE4"/>
    <w:rsid w:val="00F911B2"/>
    <w:rsid w:val="00F91260"/>
    <w:rsid w:val="00F91854"/>
    <w:rsid w:val="00F91D74"/>
    <w:rsid w:val="00F91ED8"/>
    <w:rsid w:val="00F9237D"/>
    <w:rsid w:val="00F92C57"/>
    <w:rsid w:val="00F933B2"/>
    <w:rsid w:val="00F9348F"/>
    <w:rsid w:val="00F9370F"/>
    <w:rsid w:val="00F937A0"/>
    <w:rsid w:val="00F93BDC"/>
    <w:rsid w:val="00F94A68"/>
    <w:rsid w:val="00F950EA"/>
    <w:rsid w:val="00F959F9"/>
    <w:rsid w:val="00F960D5"/>
    <w:rsid w:val="00F960E8"/>
    <w:rsid w:val="00F9612D"/>
    <w:rsid w:val="00F96743"/>
    <w:rsid w:val="00F96C7F"/>
    <w:rsid w:val="00F96D82"/>
    <w:rsid w:val="00F97340"/>
    <w:rsid w:val="00F9784B"/>
    <w:rsid w:val="00F97A97"/>
    <w:rsid w:val="00F97CC5"/>
    <w:rsid w:val="00FA097D"/>
    <w:rsid w:val="00FA10BD"/>
    <w:rsid w:val="00FA162A"/>
    <w:rsid w:val="00FA1948"/>
    <w:rsid w:val="00FA2180"/>
    <w:rsid w:val="00FA21FB"/>
    <w:rsid w:val="00FA221C"/>
    <w:rsid w:val="00FA25FA"/>
    <w:rsid w:val="00FA285C"/>
    <w:rsid w:val="00FA2A1F"/>
    <w:rsid w:val="00FA2BD1"/>
    <w:rsid w:val="00FA3354"/>
    <w:rsid w:val="00FA39FA"/>
    <w:rsid w:val="00FA3DEF"/>
    <w:rsid w:val="00FA5011"/>
    <w:rsid w:val="00FA52F0"/>
    <w:rsid w:val="00FA57C0"/>
    <w:rsid w:val="00FA5838"/>
    <w:rsid w:val="00FA5972"/>
    <w:rsid w:val="00FA63AE"/>
    <w:rsid w:val="00FA6C49"/>
    <w:rsid w:val="00FA6E91"/>
    <w:rsid w:val="00FA6F27"/>
    <w:rsid w:val="00FA71AA"/>
    <w:rsid w:val="00FA72DA"/>
    <w:rsid w:val="00FA7BC3"/>
    <w:rsid w:val="00FA7D1B"/>
    <w:rsid w:val="00FA7F0E"/>
    <w:rsid w:val="00FB0334"/>
    <w:rsid w:val="00FB04E3"/>
    <w:rsid w:val="00FB069E"/>
    <w:rsid w:val="00FB12D5"/>
    <w:rsid w:val="00FB1C77"/>
    <w:rsid w:val="00FB1D0D"/>
    <w:rsid w:val="00FB1DA1"/>
    <w:rsid w:val="00FB1E37"/>
    <w:rsid w:val="00FB27D7"/>
    <w:rsid w:val="00FB3476"/>
    <w:rsid w:val="00FB3988"/>
    <w:rsid w:val="00FB3A83"/>
    <w:rsid w:val="00FB3B6B"/>
    <w:rsid w:val="00FB3CAF"/>
    <w:rsid w:val="00FB4011"/>
    <w:rsid w:val="00FB40F0"/>
    <w:rsid w:val="00FB41E8"/>
    <w:rsid w:val="00FB420D"/>
    <w:rsid w:val="00FB4A57"/>
    <w:rsid w:val="00FB5057"/>
    <w:rsid w:val="00FB539B"/>
    <w:rsid w:val="00FB585B"/>
    <w:rsid w:val="00FB65C2"/>
    <w:rsid w:val="00FB6A52"/>
    <w:rsid w:val="00FB6FB4"/>
    <w:rsid w:val="00FB7018"/>
    <w:rsid w:val="00FB7078"/>
    <w:rsid w:val="00FB7652"/>
    <w:rsid w:val="00FB7BDD"/>
    <w:rsid w:val="00FC024E"/>
    <w:rsid w:val="00FC0FFA"/>
    <w:rsid w:val="00FC131D"/>
    <w:rsid w:val="00FC1D5F"/>
    <w:rsid w:val="00FC2944"/>
    <w:rsid w:val="00FC3492"/>
    <w:rsid w:val="00FC3536"/>
    <w:rsid w:val="00FC35C2"/>
    <w:rsid w:val="00FC3B9F"/>
    <w:rsid w:val="00FC3D4D"/>
    <w:rsid w:val="00FC45D3"/>
    <w:rsid w:val="00FC5534"/>
    <w:rsid w:val="00FC5657"/>
    <w:rsid w:val="00FC59A4"/>
    <w:rsid w:val="00FC59B8"/>
    <w:rsid w:val="00FC5D12"/>
    <w:rsid w:val="00FC619E"/>
    <w:rsid w:val="00FC6331"/>
    <w:rsid w:val="00FC6FF1"/>
    <w:rsid w:val="00FC76A9"/>
    <w:rsid w:val="00FD05F1"/>
    <w:rsid w:val="00FD07DF"/>
    <w:rsid w:val="00FD089A"/>
    <w:rsid w:val="00FD0937"/>
    <w:rsid w:val="00FD0B5C"/>
    <w:rsid w:val="00FD1790"/>
    <w:rsid w:val="00FD180C"/>
    <w:rsid w:val="00FD18FB"/>
    <w:rsid w:val="00FD22D3"/>
    <w:rsid w:val="00FD258B"/>
    <w:rsid w:val="00FD28D8"/>
    <w:rsid w:val="00FD2957"/>
    <w:rsid w:val="00FD2AE5"/>
    <w:rsid w:val="00FD2CDD"/>
    <w:rsid w:val="00FD3662"/>
    <w:rsid w:val="00FD46B7"/>
    <w:rsid w:val="00FD4704"/>
    <w:rsid w:val="00FD487A"/>
    <w:rsid w:val="00FD4B48"/>
    <w:rsid w:val="00FD5EFF"/>
    <w:rsid w:val="00FD5FEE"/>
    <w:rsid w:val="00FD6643"/>
    <w:rsid w:val="00FD6ACC"/>
    <w:rsid w:val="00FD6FD0"/>
    <w:rsid w:val="00FD718D"/>
    <w:rsid w:val="00FD73FF"/>
    <w:rsid w:val="00FD7F35"/>
    <w:rsid w:val="00FE03E9"/>
    <w:rsid w:val="00FE1765"/>
    <w:rsid w:val="00FE1F01"/>
    <w:rsid w:val="00FE21E5"/>
    <w:rsid w:val="00FE227E"/>
    <w:rsid w:val="00FE3035"/>
    <w:rsid w:val="00FE343A"/>
    <w:rsid w:val="00FE4720"/>
    <w:rsid w:val="00FE57E0"/>
    <w:rsid w:val="00FE6C18"/>
    <w:rsid w:val="00FE6C1E"/>
    <w:rsid w:val="00FE757A"/>
    <w:rsid w:val="00FF0E91"/>
    <w:rsid w:val="00FF1310"/>
    <w:rsid w:val="00FF1311"/>
    <w:rsid w:val="00FF15A1"/>
    <w:rsid w:val="00FF160D"/>
    <w:rsid w:val="00FF1746"/>
    <w:rsid w:val="00FF26E7"/>
    <w:rsid w:val="00FF2AFA"/>
    <w:rsid w:val="00FF2B03"/>
    <w:rsid w:val="00FF33BD"/>
    <w:rsid w:val="00FF3EA6"/>
    <w:rsid w:val="00FF3F0A"/>
    <w:rsid w:val="00FF488C"/>
    <w:rsid w:val="00FF48C6"/>
    <w:rsid w:val="00FF4E1F"/>
    <w:rsid w:val="00FF5092"/>
    <w:rsid w:val="00FF5E31"/>
    <w:rsid w:val="00FF650F"/>
    <w:rsid w:val="00FF689B"/>
    <w:rsid w:val="00FF691E"/>
    <w:rsid w:val="00FF6957"/>
    <w:rsid w:val="00FF6E37"/>
    <w:rsid w:val="00FF719F"/>
    <w:rsid w:val="00FF71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14:docId w14:val="326442BF"/>
  <w15:docId w15:val="{5CFA8C27-0D39-420C-BF2C-B52AAACFE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7529"/>
    <w:rPr>
      <w:sz w:val="24"/>
      <w:szCs w:val="24"/>
      <w:lang w:eastAsia="cs-CZ"/>
    </w:rPr>
  </w:style>
  <w:style w:type="paragraph" w:styleId="Nadpis1">
    <w:name w:val="heading 1"/>
    <w:basedOn w:val="Normlny"/>
    <w:next w:val="Normlny"/>
    <w:qFormat/>
    <w:rsid w:val="000A2341"/>
    <w:pPr>
      <w:keepNext/>
      <w:outlineLvl w:val="0"/>
    </w:pPr>
    <w:rPr>
      <w:b/>
      <w:szCs w:val="20"/>
    </w:rPr>
  </w:style>
  <w:style w:type="paragraph" w:styleId="Nadpis2">
    <w:name w:val="heading 2"/>
    <w:basedOn w:val="Normlny"/>
    <w:next w:val="Normlny"/>
    <w:link w:val="Nadpis2Char"/>
    <w:qFormat/>
    <w:rsid w:val="000A2341"/>
    <w:pPr>
      <w:keepNext/>
      <w:jc w:val="center"/>
      <w:outlineLvl w:val="1"/>
    </w:pPr>
    <w:rPr>
      <w:rFonts w:ascii="Arial" w:hAnsi="Arial" w:cs="Arial"/>
      <w:b/>
      <w:bCs/>
    </w:rPr>
  </w:style>
  <w:style w:type="paragraph" w:styleId="Nadpis3">
    <w:name w:val="heading 3"/>
    <w:basedOn w:val="Normlny"/>
    <w:next w:val="Normlny"/>
    <w:qFormat/>
    <w:rsid w:val="000A2341"/>
    <w:pPr>
      <w:keepNext/>
      <w:jc w:val="both"/>
      <w:outlineLvl w:val="2"/>
    </w:pPr>
    <w:rPr>
      <w:b/>
      <w:bCs/>
      <w:u w:val="single"/>
    </w:rPr>
  </w:style>
  <w:style w:type="paragraph" w:styleId="Nadpis4">
    <w:name w:val="heading 4"/>
    <w:basedOn w:val="Normlny"/>
    <w:next w:val="Normlny"/>
    <w:link w:val="Nadpis4Char"/>
    <w:qFormat/>
    <w:rsid w:val="000A2341"/>
    <w:pPr>
      <w:keepNext/>
      <w:outlineLvl w:val="3"/>
    </w:pPr>
    <w:rPr>
      <w:b/>
      <w:bCs/>
      <w:sz w:val="28"/>
    </w:rPr>
  </w:style>
  <w:style w:type="paragraph" w:styleId="Nadpis5">
    <w:name w:val="heading 5"/>
    <w:basedOn w:val="Normlny"/>
    <w:next w:val="Normlny"/>
    <w:link w:val="Nadpis5Char"/>
    <w:qFormat/>
    <w:rsid w:val="000A2341"/>
    <w:pPr>
      <w:spacing w:before="240" w:after="60"/>
      <w:outlineLvl w:val="4"/>
    </w:pPr>
    <w:rPr>
      <w:b/>
      <w:bCs/>
      <w:i/>
      <w:iCs/>
      <w:sz w:val="26"/>
      <w:szCs w:val="26"/>
    </w:rPr>
  </w:style>
  <w:style w:type="paragraph" w:styleId="Nadpis6">
    <w:name w:val="heading 6"/>
    <w:basedOn w:val="Normlny"/>
    <w:next w:val="Normlny"/>
    <w:link w:val="Nadpis6Char"/>
    <w:qFormat/>
    <w:rsid w:val="000A2341"/>
    <w:pPr>
      <w:keepNext/>
      <w:jc w:val="center"/>
      <w:outlineLvl w:val="5"/>
    </w:pPr>
    <w:rPr>
      <w:rFonts w:ascii="Arial" w:hAnsi="Arial" w:cs="Arial"/>
      <w:b/>
      <w:sz w:val="44"/>
    </w:rPr>
  </w:style>
  <w:style w:type="paragraph" w:styleId="Nadpis7">
    <w:name w:val="heading 7"/>
    <w:basedOn w:val="Normlny"/>
    <w:next w:val="Normlny"/>
    <w:link w:val="Nadpis7Char"/>
    <w:semiHidden/>
    <w:unhideWhenUsed/>
    <w:qFormat/>
    <w:rsid w:val="00C20220"/>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semiHidden/>
    <w:unhideWhenUsed/>
    <w:qFormat/>
    <w:rsid w:val="00C01441"/>
    <w:pPr>
      <w:spacing w:before="240" w:after="60"/>
      <w:outlineLvl w:val="7"/>
    </w:pPr>
    <w:rPr>
      <w:rFonts w:ascii="Calibri" w:hAnsi="Calibri"/>
      <w:i/>
      <w:iCs/>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link w:val="ZarkazkladnhotextuChar"/>
    <w:rsid w:val="000A2341"/>
    <w:pPr>
      <w:ind w:firstLine="720"/>
      <w:jc w:val="both"/>
    </w:pPr>
    <w:rPr>
      <w:szCs w:val="20"/>
      <w:lang w:eastAsia="en-US"/>
    </w:rPr>
  </w:style>
  <w:style w:type="paragraph" w:customStyle="1" w:styleId="numro">
    <w:name w:val="numéro"/>
    <w:basedOn w:val="Normlny"/>
    <w:rsid w:val="000A2341"/>
    <w:pPr>
      <w:overflowPunct w:val="0"/>
      <w:autoSpaceDE w:val="0"/>
      <w:autoSpaceDN w:val="0"/>
      <w:adjustRightInd w:val="0"/>
      <w:ind w:left="426" w:right="29" w:hanging="426"/>
      <w:textAlignment w:val="baseline"/>
    </w:pPr>
    <w:rPr>
      <w:rFonts w:ascii="Helvetica" w:hAnsi="Helvetica"/>
      <w:sz w:val="20"/>
      <w:szCs w:val="20"/>
      <w:lang w:val="en-GB" w:eastAsia="en-GB"/>
    </w:rPr>
  </w:style>
  <w:style w:type="paragraph" w:styleId="Zkladntext">
    <w:name w:val="Body Text"/>
    <w:basedOn w:val="Normlny"/>
    <w:link w:val="ZkladntextChar"/>
    <w:rsid w:val="000A2341"/>
    <w:pPr>
      <w:jc w:val="both"/>
    </w:pPr>
    <w:rPr>
      <w:rFonts w:ascii="Arial" w:hAnsi="Arial" w:cs="Arial"/>
    </w:rPr>
  </w:style>
  <w:style w:type="paragraph" w:styleId="Zarkazkladnhotextu2">
    <w:name w:val="Body Text Indent 2"/>
    <w:basedOn w:val="Normlny"/>
    <w:link w:val="Zarkazkladnhotextu2Char"/>
    <w:rsid w:val="000A2341"/>
    <w:pPr>
      <w:ind w:left="360"/>
      <w:jc w:val="both"/>
    </w:pPr>
    <w:rPr>
      <w:rFonts w:ascii="Arial" w:hAnsi="Arial" w:cs="Arial"/>
    </w:rPr>
  </w:style>
  <w:style w:type="paragraph" w:styleId="Zkladntext3">
    <w:name w:val="Body Text 3"/>
    <w:basedOn w:val="Normlny"/>
    <w:link w:val="Zkladntext3Char"/>
    <w:rsid w:val="000A2341"/>
    <w:pPr>
      <w:spacing w:after="120"/>
    </w:pPr>
    <w:rPr>
      <w:sz w:val="16"/>
      <w:szCs w:val="16"/>
    </w:rPr>
  </w:style>
  <w:style w:type="paragraph" w:customStyle="1" w:styleId="AuthorLabel">
    <w:name w:val="AuthorLabel"/>
    <w:basedOn w:val="Normlny"/>
    <w:next w:val="Normlny"/>
    <w:rsid w:val="000A2341"/>
    <w:pPr>
      <w:spacing w:after="120"/>
      <w:jc w:val="center"/>
    </w:pPr>
    <w:rPr>
      <w:b/>
      <w:noProof/>
      <w:szCs w:val="20"/>
      <w:lang w:val="de-DE" w:eastAsia="de-DE"/>
    </w:rPr>
  </w:style>
  <w:style w:type="character" w:styleId="Hypertextovprepojenie">
    <w:name w:val="Hyperlink"/>
    <w:rsid w:val="000A2341"/>
    <w:rPr>
      <w:color w:val="0000FF"/>
      <w:u w:val="single"/>
    </w:rPr>
  </w:style>
  <w:style w:type="paragraph" w:customStyle="1" w:styleId="Subtheme">
    <w:name w:val="Subtheme"/>
    <w:basedOn w:val="Normlny"/>
    <w:next w:val="AuthorLabel"/>
    <w:rsid w:val="000A2341"/>
    <w:pPr>
      <w:spacing w:after="120"/>
    </w:pPr>
    <w:rPr>
      <w:b/>
      <w:noProof/>
      <w:szCs w:val="20"/>
      <w:lang w:val="de-DE" w:eastAsia="de-DE"/>
    </w:rPr>
  </w:style>
  <w:style w:type="paragraph" w:customStyle="1" w:styleId="LastPageHeading2">
    <w:name w:val="LastPage Heading 2"/>
    <w:basedOn w:val="Normlny"/>
    <w:rsid w:val="000A2341"/>
    <w:pPr>
      <w:spacing w:line="288" w:lineRule="auto"/>
      <w:ind w:right="2381"/>
    </w:pPr>
    <w:rPr>
      <w:rFonts w:ascii="Arial" w:hAnsi="Arial" w:cs="Arial"/>
      <w:b/>
      <w:bCs/>
      <w:sz w:val="18"/>
      <w:szCs w:val="20"/>
      <w:lang w:val="de-DE" w:eastAsia="de-DE"/>
    </w:rPr>
  </w:style>
  <w:style w:type="paragraph" w:customStyle="1" w:styleId="xl38">
    <w:name w:val="xl38"/>
    <w:basedOn w:val="Normlny"/>
    <w:rsid w:val="000A2341"/>
    <w:pPr>
      <w:pBdr>
        <w:left w:val="single" w:sz="4" w:space="0" w:color="auto"/>
        <w:right w:val="single" w:sz="4" w:space="0" w:color="auto"/>
      </w:pBdr>
      <w:spacing w:before="100" w:beforeAutospacing="1" w:after="100" w:afterAutospacing="1"/>
    </w:pPr>
    <w:rPr>
      <w:rFonts w:ascii="Arial" w:eastAsia="Arial Unicode MS" w:hAnsi="Arial" w:cs="Arial"/>
      <w:sz w:val="18"/>
      <w:szCs w:val="18"/>
    </w:rPr>
  </w:style>
  <w:style w:type="character" w:customStyle="1" w:styleId="portlettext3">
    <w:name w:val="portlettext3"/>
    <w:basedOn w:val="Predvolenpsmoodseku"/>
    <w:rsid w:val="000A2341"/>
  </w:style>
  <w:style w:type="paragraph" w:styleId="Normlnywebov">
    <w:name w:val="Normal (Web)"/>
    <w:basedOn w:val="Normlny"/>
    <w:uiPriority w:val="99"/>
    <w:rsid w:val="000A2341"/>
    <w:pPr>
      <w:spacing w:after="100" w:afterAutospacing="1"/>
    </w:pPr>
    <w:rPr>
      <w:rFonts w:ascii="Tahoma" w:eastAsia="Arial Unicode MS" w:hAnsi="Tahoma" w:cs="Tahoma"/>
      <w:color w:val="084887"/>
      <w:sz w:val="18"/>
      <w:szCs w:val="18"/>
    </w:rPr>
  </w:style>
  <w:style w:type="character" w:styleId="Siln">
    <w:name w:val="Strong"/>
    <w:qFormat/>
    <w:rsid w:val="000A2341"/>
    <w:rPr>
      <w:b/>
      <w:bCs/>
    </w:rPr>
  </w:style>
  <w:style w:type="paragraph" w:styleId="Textpoznmkypodiarou">
    <w:name w:val="footnote text"/>
    <w:basedOn w:val="Normlny"/>
    <w:link w:val="TextpoznmkypodiarouChar"/>
    <w:semiHidden/>
    <w:rsid w:val="000A2341"/>
    <w:pPr>
      <w:overflowPunct w:val="0"/>
      <w:autoSpaceDE w:val="0"/>
      <w:autoSpaceDN w:val="0"/>
      <w:adjustRightInd w:val="0"/>
    </w:pPr>
    <w:rPr>
      <w:sz w:val="20"/>
      <w:szCs w:val="20"/>
      <w:lang w:val="x-none"/>
    </w:rPr>
  </w:style>
  <w:style w:type="paragraph" w:styleId="Zkladntext2">
    <w:name w:val="Body Text 2"/>
    <w:basedOn w:val="Normlny"/>
    <w:link w:val="Zkladntext2Char"/>
    <w:rsid w:val="000A2341"/>
    <w:rPr>
      <w:rFonts w:ascii="Century Gothic" w:eastAsia="Arial Unicode MS" w:hAnsi="Century Gothic" w:cs="Arial Unicode MS"/>
      <w:sz w:val="22"/>
      <w:szCs w:val="36"/>
    </w:rPr>
  </w:style>
  <w:style w:type="paragraph" w:styleId="Pta">
    <w:name w:val="footer"/>
    <w:basedOn w:val="Normlny"/>
    <w:link w:val="PtaChar"/>
    <w:uiPriority w:val="99"/>
    <w:rsid w:val="00BD6061"/>
    <w:pPr>
      <w:tabs>
        <w:tab w:val="center" w:pos="4536"/>
        <w:tab w:val="right" w:pos="9072"/>
      </w:tabs>
    </w:pPr>
    <w:rPr>
      <w:lang w:val="cs-CZ"/>
    </w:rPr>
  </w:style>
  <w:style w:type="character" w:styleId="slostrany">
    <w:name w:val="page number"/>
    <w:basedOn w:val="Predvolenpsmoodseku"/>
    <w:rsid w:val="000A2341"/>
  </w:style>
  <w:style w:type="paragraph" w:customStyle="1" w:styleId="LastPageMasthead">
    <w:name w:val="LastPage Masthead"/>
    <w:basedOn w:val="Normlny"/>
    <w:rsid w:val="000A2341"/>
    <w:pPr>
      <w:spacing w:line="288" w:lineRule="auto"/>
      <w:ind w:right="2381"/>
    </w:pPr>
    <w:rPr>
      <w:rFonts w:ascii="Arial" w:hAnsi="Arial" w:cs="Arial"/>
      <w:sz w:val="16"/>
      <w:szCs w:val="20"/>
      <w:lang w:val="de-DE" w:eastAsia="de-DE"/>
    </w:rPr>
  </w:style>
  <w:style w:type="paragraph" w:customStyle="1" w:styleId="xl27">
    <w:name w:val="xl27"/>
    <w:basedOn w:val="Normlny"/>
    <w:rsid w:val="000A2341"/>
    <w:pPr>
      <w:spacing w:before="100" w:beforeAutospacing="1" w:after="100" w:afterAutospacing="1"/>
    </w:pPr>
    <w:rPr>
      <w:rFonts w:ascii="Arial" w:eastAsia="Arial Unicode MS" w:hAnsi="Arial" w:cs="Arial"/>
      <w:sz w:val="18"/>
      <w:szCs w:val="18"/>
    </w:rPr>
  </w:style>
  <w:style w:type="paragraph" w:customStyle="1" w:styleId="xl28">
    <w:name w:val="xl28"/>
    <w:basedOn w:val="Normlny"/>
    <w:rsid w:val="000A2341"/>
    <w:pPr>
      <w:pBdr>
        <w:right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29">
    <w:name w:val="xl29"/>
    <w:basedOn w:val="Normlny"/>
    <w:rsid w:val="000A2341"/>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30">
    <w:name w:val="xl30"/>
    <w:basedOn w:val="Normlny"/>
    <w:rsid w:val="000A2341"/>
    <w:pPr>
      <w:pBdr>
        <w:right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31">
    <w:name w:val="xl31"/>
    <w:basedOn w:val="Normlny"/>
    <w:rsid w:val="000A2341"/>
    <w:pPr>
      <w:spacing w:before="100" w:beforeAutospacing="1" w:after="100" w:afterAutospacing="1"/>
      <w:jc w:val="right"/>
    </w:pPr>
    <w:rPr>
      <w:rFonts w:ascii="Arial Narrow" w:eastAsia="Arial Unicode MS" w:hAnsi="Arial Narrow" w:cs="Arial Unicode MS"/>
      <w:b/>
      <w:bCs/>
    </w:rPr>
  </w:style>
  <w:style w:type="paragraph" w:customStyle="1" w:styleId="xl32">
    <w:name w:val="xl32"/>
    <w:basedOn w:val="Normlny"/>
    <w:rsid w:val="000A2341"/>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3">
    <w:name w:val="xl33"/>
    <w:basedOn w:val="Normlny"/>
    <w:rsid w:val="000A2341"/>
    <w:pPr>
      <w:spacing w:before="100" w:beforeAutospacing="1" w:after="100" w:afterAutospacing="1"/>
    </w:pPr>
    <w:rPr>
      <w:rFonts w:ascii="Arial" w:eastAsia="Arial Unicode MS" w:hAnsi="Arial" w:cs="Arial"/>
      <w:i/>
      <w:iCs/>
      <w:sz w:val="18"/>
      <w:szCs w:val="18"/>
    </w:rPr>
  </w:style>
  <w:style w:type="paragraph" w:customStyle="1" w:styleId="xl34">
    <w:name w:val="xl34"/>
    <w:basedOn w:val="Normlny"/>
    <w:rsid w:val="000A2341"/>
    <w:pPr>
      <w:spacing w:before="100" w:beforeAutospacing="1" w:after="100" w:afterAutospacing="1"/>
      <w:jc w:val="right"/>
      <w:textAlignment w:val="center"/>
    </w:pPr>
    <w:rPr>
      <w:rFonts w:ascii="Arial Narrow" w:eastAsia="Arial Unicode MS" w:hAnsi="Arial Narrow" w:cs="Arial Unicode MS"/>
      <w:sz w:val="18"/>
      <w:szCs w:val="18"/>
    </w:rPr>
  </w:style>
  <w:style w:type="paragraph" w:customStyle="1" w:styleId="xl35">
    <w:name w:val="xl35"/>
    <w:basedOn w:val="Normlny"/>
    <w:rsid w:val="000A2341"/>
    <w:pPr>
      <w:spacing w:before="100" w:beforeAutospacing="1" w:after="100" w:afterAutospacing="1"/>
      <w:jc w:val="right"/>
      <w:textAlignment w:val="center"/>
    </w:pPr>
    <w:rPr>
      <w:rFonts w:ascii="Arial Narrow" w:eastAsia="Arial Unicode MS" w:hAnsi="Arial Narrow" w:cs="Arial Unicode MS"/>
      <w:sz w:val="18"/>
      <w:szCs w:val="18"/>
    </w:rPr>
  </w:style>
  <w:style w:type="paragraph" w:customStyle="1" w:styleId="xl36">
    <w:name w:val="xl36"/>
    <w:basedOn w:val="Normlny"/>
    <w:rsid w:val="000A2341"/>
    <w:pPr>
      <w:pBdr>
        <w:bottom w:val="single" w:sz="4" w:space="0" w:color="auto"/>
      </w:pBdr>
      <w:spacing w:before="100" w:beforeAutospacing="1" w:after="100" w:afterAutospacing="1"/>
      <w:jc w:val="right"/>
      <w:textAlignment w:val="center"/>
    </w:pPr>
    <w:rPr>
      <w:rFonts w:ascii="Arial Narrow" w:eastAsia="Arial Unicode MS" w:hAnsi="Arial Narrow" w:cs="Arial Unicode MS"/>
      <w:sz w:val="18"/>
      <w:szCs w:val="18"/>
    </w:rPr>
  </w:style>
  <w:style w:type="paragraph" w:customStyle="1" w:styleId="xl37">
    <w:name w:val="xl37"/>
    <w:basedOn w:val="Normlny"/>
    <w:rsid w:val="000A2341"/>
    <w:pPr>
      <w:pBdr>
        <w:bottom w:val="single" w:sz="4" w:space="0" w:color="auto"/>
      </w:pBdr>
      <w:spacing w:before="100" w:beforeAutospacing="1" w:after="100" w:afterAutospacing="1"/>
      <w:jc w:val="right"/>
      <w:textAlignment w:val="center"/>
    </w:pPr>
    <w:rPr>
      <w:rFonts w:ascii="Arial Narrow" w:eastAsia="Arial Unicode MS" w:hAnsi="Arial Narrow" w:cs="Arial Unicode MS"/>
      <w:sz w:val="18"/>
      <w:szCs w:val="18"/>
    </w:rPr>
  </w:style>
  <w:style w:type="paragraph" w:customStyle="1" w:styleId="xl39">
    <w:name w:val="xl39"/>
    <w:basedOn w:val="Normlny"/>
    <w:rsid w:val="000A2341"/>
    <w:pPr>
      <w:spacing w:before="100" w:beforeAutospacing="1" w:after="100" w:afterAutospacing="1"/>
      <w:textAlignment w:val="center"/>
    </w:pPr>
    <w:rPr>
      <w:rFonts w:ascii="Arial" w:eastAsia="Arial Unicode MS" w:hAnsi="Arial" w:cs="Arial"/>
      <w:sz w:val="18"/>
      <w:szCs w:val="18"/>
    </w:rPr>
  </w:style>
  <w:style w:type="paragraph" w:customStyle="1" w:styleId="xl40">
    <w:name w:val="xl40"/>
    <w:basedOn w:val="Normlny"/>
    <w:rsid w:val="000A2341"/>
    <w:pPr>
      <w:pBdr>
        <w:right w:val="single" w:sz="4" w:space="0" w:color="auto"/>
      </w:pBdr>
      <w:spacing w:before="100" w:beforeAutospacing="1" w:after="100" w:afterAutospacing="1"/>
      <w:textAlignment w:val="center"/>
    </w:pPr>
    <w:rPr>
      <w:rFonts w:ascii="Arial" w:eastAsia="Arial Unicode MS" w:hAnsi="Arial" w:cs="Arial"/>
      <w:b/>
      <w:bCs/>
      <w:sz w:val="18"/>
      <w:szCs w:val="18"/>
    </w:rPr>
  </w:style>
  <w:style w:type="paragraph" w:customStyle="1" w:styleId="xl41">
    <w:name w:val="xl41"/>
    <w:basedOn w:val="Normlny"/>
    <w:rsid w:val="000A2341"/>
    <w:pPr>
      <w:spacing w:before="100" w:beforeAutospacing="1" w:after="100" w:afterAutospacing="1"/>
      <w:jc w:val="right"/>
      <w:textAlignment w:val="center"/>
    </w:pPr>
    <w:rPr>
      <w:rFonts w:ascii="Arial Narrow" w:eastAsia="Arial Unicode MS" w:hAnsi="Arial Narrow" w:cs="Arial Unicode MS"/>
      <w:b/>
      <w:bCs/>
      <w:sz w:val="18"/>
      <w:szCs w:val="18"/>
    </w:rPr>
  </w:style>
  <w:style w:type="paragraph" w:customStyle="1" w:styleId="xl42">
    <w:name w:val="xl42"/>
    <w:basedOn w:val="Normlny"/>
    <w:rsid w:val="000A2341"/>
    <w:pPr>
      <w:spacing w:before="100" w:beforeAutospacing="1" w:after="100" w:afterAutospacing="1"/>
    </w:pPr>
    <w:rPr>
      <w:rFonts w:ascii="Arial Unicode MS" w:eastAsia="Arial Unicode MS" w:hAnsi="Arial Unicode MS" w:cs="Arial Unicode MS"/>
      <w:b/>
      <w:bCs/>
    </w:rPr>
  </w:style>
  <w:style w:type="paragraph" w:customStyle="1" w:styleId="xl43">
    <w:name w:val="xl43"/>
    <w:basedOn w:val="Normlny"/>
    <w:rsid w:val="000A2341"/>
    <w:pPr>
      <w:spacing w:before="100" w:beforeAutospacing="1" w:after="100" w:afterAutospacing="1"/>
      <w:jc w:val="right"/>
      <w:textAlignment w:val="center"/>
    </w:pPr>
    <w:rPr>
      <w:rFonts w:ascii="Arial Narrow" w:eastAsia="Arial Unicode MS" w:hAnsi="Arial Narrow" w:cs="Arial Unicode MS"/>
      <w:b/>
      <w:bCs/>
      <w:sz w:val="18"/>
      <w:szCs w:val="18"/>
    </w:rPr>
  </w:style>
  <w:style w:type="paragraph" w:customStyle="1" w:styleId="xl44">
    <w:name w:val="xl44"/>
    <w:basedOn w:val="Normlny"/>
    <w:rsid w:val="000A2341"/>
    <w:pPr>
      <w:spacing w:before="100" w:beforeAutospacing="1" w:after="100" w:afterAutospacing="1"/>
      <w:jc w:val="center"/>
      <w:textAlignment w:val="top"/>
    </w:pPr>
    <w:rPr>
      <w:rFonts w:ascii="Arial" w:eastAsia="Arial Unicode MS" w:hAnsi="Arial" w:cs="Arial"/>
      <w:b/>
      <w:bCs/>
    </w:rPr>
  </w:style>
  <w:style w:type="character" w:styleId="Odkaznapoznmkupodiarou">
    <w:name w:val="footnote reference"/>
    <w:semiHidden/>
    <w:rsid w:val="000A2341"/>
    <w:rPr>
      <w:vertAlign w:val="superscript"/>
    </w:rPr>
  </w:style>
  <w:style w:type="paragraph" w:customStyle="1" w:styleId="Zkladntext21">
    <w:name w:val="Základní text 21"/>
    <w:basedOn w:val="Normlny"/>
    <w:rsid w:val="000A2341"/>
    <w:pPr>
      <w:overflowPunct w:val="0"/>
      <w:autoSpaceDE w:val="0"/>
      <w:autoSpaceDN w:val="0"/>
      <w:adjustRightInd w:val="0"/>
      <w:textAlignment w:val="baseline"/>
    </w:pPr>
    <w:rPr>
      <w:rFonts w:ascii="Compacta AT" w:hAnsi="Compacta AT"/>
      <w:sz w:val="92"/>
      <w:szCs w:val="20"/>
    </w:rPr>
  </w:style>
  <w:style w:type="character" w:styleId="PouitHypertextovPrepojenie">
    <w:name w:val="FollowedHyperlink"/>
    <w:rsid w:val="000A2341"/>
    <w:rPr>
      <w:color w:val="800080"/>
      <w:u w:val="single"/>
    </w:rPr>
  </w:style>
  <w:style w:type="paragraph" w:styleId="Hlavika">
    <w:name w:val="header"/>
    <w:basedOn w:val="Normlny"/>
    <w:rsid w:val="000A2341"/>
    <w:pPr>
      <w:tabs>
        <w:tab w:val="center" w:pos="4536"/>
        <w:tab w:val="right" w:pos="9072"/>
      </w:tabs>
    </w:pPr>
  </w:style>
  <w:style w:type="paragraph" w:customStyle="1" w:styleId="font5">
    <w:name w:val="font5"/>
    <w:basedOn w:val="Normlny"/>
    <w:rsid w:val="000A2341"/>
    <w:pPr>
      <w:spacing w:before="100" w:beforeAutospacing="1" w:after="100" w:afterAutospacing="1"/>
    </w:pPr>
    <w:rPr>
      <w:rFonts w:ascii="Arial" w:eastAsia="Arial Unicode MS" w:hAnsi="Arial" w:cs="Arial"/>
      <w:b/>
      <w:bCs/>
      <w:sz w:val="28"/>
      <w:szCs w:val="28"/>
    </w:rPr>
  </w:style>
  <w:style w:type="paragraph" w:customStyle="1" w:styleId="xl45">
    <w:name w:val="xl45"/>
    <w:basedOn w:val="Normlny"/>
    <w:rsid w:val="000A2341"/>
    <w:pPr>
      <w:spacing w:before="100" w:beforeAutospacing="1" w:after="100" w:afterAutospacing="1"/>
      <w:textAlignment w:val="center"/>
    </w:pPr>
    <w:rPr>
      <w:rFonts w:ascii="Arial" w:eastAsia="Arial Unicode MS" w:hAnsi="Arial" w:cs="Arial"/>
      <w:sz w:val="28"/>
      <w:szCs w:val="28"/>
    </w:rPr>
  </w:style>
  <w:style w:type="paragraph" w:customStyle="1" w:styleId="xl46">
    <w:name w:val="xl46"/>
    <w:basedOn w:val="Normlny"/>
    <w:rsid w:val="000A2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47">
    <w:name w:val="xl47"/>
    <w:basedOn w:val="Normlny"/>
    <w:rsid w:val="000A2341"/>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rPr>
  </w:style>
  <w:style w:type="paragraph" w:customStyle="1" w:styleId="xl48">
    <w:name w:val="xl48"/>
    <w:basedOn w:val="Normlny"/>
    <w:rsid w:val="000A2341"/>
    <w:pPr>
      <w:pBdr>
        <w:left w:val="single" w:sz="4" w:space="0" w:color="000000"/>
      </w:pBdr>
      <w:spacing w:before="100" w:beforeAutospacing="1" w:after="100" w:afterAutospacing="1"/>
      <w:textAlignment w:val="center"/>
    </w:pPr>
    <w:rPr>
      <w:rFonts w:ascii="Arial Narrow" w:eastAsia="Arial Unicode MS" w:hAnsi="Arial Narrow" w:cs="Arial Unicode MS"/>
      <w:b/>
      <w:bCs/>
    </w:rPr>
  </w:style>
  <w:style w:type="paragraph" w:customStyle="1" w:styleId="xl49">
    <w:name w:val="xl49"/>
    <w:basedOn w:val="Normlny"/>
    <w:rsid w:val="000A2341"/>
    <w:pPr>
      <w:spacing w:before="100" w:beforeAutospacing="1" w:after="100" w:afterAutospacing="1"/>
      <w:textAlignment w:val="center"/>
    </w:pPr>
    <w:rPr>
      <w:rFonts w:ascii="Arial Narrow" w:eastAsia="Arial Unicode MS" w:hAnsi="Arial Narrow" w:cs="Arial Unicode MS"/>
      <w:b/>
      <w:bCs/>
    </w:rPr>
  </w:style>
  <w:style w:type="paragraph" w:customStyle="1" w:styleId="xl50">
    <w:name w:val="xl50"/>
    <w:basedOn w:val="Normlny"/>
    <w:rsid w:val="000A2341"/>
    <w:pPr>
      <w:pBdr>
        <w:left w:val="single" w:sz="4" w:space="0" w:color="000000"/>
        <w:bottom w:val="single" w:sz="4" w:space="0" w:color="auto"/>
      </w:pBdr>
      <w:spacing w:before="100" w:beforeAutospacing="1" w:after="100" w:afterAutospacing="1"/>
      <w:textAlignment w:val="center"/>
    </w:pPr>
    <w:rPr>
      <w:rFonts w:ascii="Arial Narrow" w:eastAsia="Arial Unicode MS" w:hAnsi="Arial Narrow" w:cs="Arial Unicode MS"/>
      <w:b/>
      <w:bCs/>
    </w:rPr>
  </w:style>
  <w:style w:type="paragraph" w:customStyle="1" w:styleId="xl51">
    <w:name w:val="xl51"/>
    <w:basedOn w:val="Normlny"/>
    <w:rsid w:val="000A2341"/>
    <w:pPr>
      <w:pBdr>
        <w:bottom w:val="single" w:sz="4" w:space="0" w:color="auto"/>
      </w:pBdr>
      <w:spacing w:before="100" w:beforeAutospacing="1" w:after="100" w:afterAutospacing="1"/>
      <w:textAlignment w:val="center"/>
    </w:pPr>
    <w:rPr>
      <w:rFonts w:ascii="Arial Narrow" w:eastAsia="Arial Unicode MS" w:hAnsi="Arial Narrow" w:cs="Arial Unicode MS"/>
      <w:b/>
      <w:bCs/>
    </w:rPr>
  </w:style>
  <w:style w:type="paragraph" w:customStyle="1" w:styleId="xl52">
    <w:name w:val="xl52"/>
    <w:basedOn w:val="Normlny"/>
    <w:rsid w:val="000A2341"/>
    <w:pPr>
      <w:spacing w:before="100" w:beforeAutospacing="1" w:after="100" w:afterAutospacing="1"/>
      <w:textAlignment w:val="center"/>
    </w:pPr>
    <w:rPr>
      <w:rFonts w:ascii="Arial Narrow" w:eastAsia="Arial Unicode MS" w:hAnsi="Arial Narrow" w:cs="Arial Unicode MS"/>
    </w:rPr>
  </w:style>
  <w:style w:type="paragraph" w:customStyle="1" w:styleId="xl53">
    <w:name w:val="xl53"/>
    <w:basedOn w:val="Normlny"/>
    <w:rsid w:val="000A2341"/>
    <w:pPr>
      <w:pBdr>
        <w:top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4">
    <w:name w:val="xl54"/>
    <w:basedOn w:val="Normlny"/>
    <w:rsid w:val="000A2341"/>
    <w:pPr>
      <w:pBdr>
        <w:top w:val="single" w:sz="4" w:space="0" w:color="auto"/>
        <w:bottom w:val="single" w:sz="4" w:space="0" w:color="auto"/>
      </w:pBdr>
      <w:spacing w:before="100" w:beforeAutospacing="1" w:after="100" w:afterAutospacing="1"/>
    </w:pPr>
    <w:rPr>
      <w:rFonts w:ascii="Arial" w:eastAsia="Arial Unicode MS" w:hAnsi="Arial" w:cs="Arial"/>
      <w:color w:val="FFFFFF"/>
    </w:rPr>
  </w:style>
  <w:style w:type="paragraph" w:customStyle="1" w:styleId="xl55">
    <w:name w:val="xl55"/>
    <w:basedOn w:val="Normlny"/>
    <w:rsid w:val="000A2341"/>
    <w:pPr>
      <w:pBdr>
        <w:top w:val="single" w:sz="4" w:space="0" w:color="auto"/>
        <w:bottom w:val="single" w:sz="4" w:space="0" w:color="auto"/>
      </w:pBdr>
      <w:spacing w:before="100" w:beforeAutospacing="1" w:after="100" w:afterAutospacing="1"/>
    </w:pPr>
    <w:rPr>
      <w:rFonts w:ascii="Arial" w:eastAsia="Arial Unicode MS" w:hAnsi="Arial" w:cs="Arial"/>
    </w:rPr>
  </w:style>
  <w:style w:type="paragraph" w:customStyle="1" w:styleId="xl56">
    <w:name w:val="xl56"/>
    <w:basedOn w:val="Normlny"/>
    <w:rsid w:val="000A2341"/>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57">
    <w:name w:val="xl57"/>
    <w:basedOn w:val="Normlny"/>
    <w:rsid w:val="000A2341"/>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rPr>
  </w:style>
  <w:style w:type="paragraph" w:customStyle="1" w:styleId="xl58">
    <w:name w:val="xl58"/>
    <w:basedOn w:val="Normlny"/>
    <w:rsid w:val="000A2341"/>
    <w:pPr>
      <w:pBdr>
        <w:bottom w:val="single" w:sz="4" w:space="0" w:color="auto"/>
        <w:right w:val="single" w:sz="4" w:space="0" w:color="000000"/>
      </w:pBdr>
      <w:spacing w:before="100" w:beforeAutospacing="1" w:after="100" w:afterAutospacing="1"/>
      <w:textAlignment w:val="center"/>
    </w:pPr>
    <w:rPr>
      <w:rFonts w:ascii="Arial" w:eastAsia="Arial Unicode MS" w:hAnsi="Arial" w:cs="Arial"/>
      <w:b/>
      <w:bCs/>
    </w:rPr>
  </w:style>
  <w:style w:type="paragraph" w:customStyle="1" w:styleId="xl59">
    <w:name w:val="xl59"/>
    <w:basedOn w:val="Normlny"/>
    <w:rsid w:val="000A2341"/>
    <w:pPr>
      <w:spacing w:before="100" w:beforeAutospacing="1" w:after="100" w:afterAutospacing="1"/>
      <w:textAlignment w:val="center"/>
    </w:pPr>
    <w:rPr>
      <w:rFonts w:ascii="Arial" w:eastAsia="Arial Unicode MS" w:hAnsi="Arial" w:cs="Arial"/>
      <w:b/>
      <w:bCs/>
    </w:rPr>
  </w:style>
  <w:style w:type="paragraph" w:customStyle="1" w:styleId="xl60">
    <w:name w:val="xl60"/>
    <w:basedOn w:val="Normlny"/>
    <w:rsid w:val="000A2341"/>
    <w:pPr>
      <w:pBdr>
        <w:right w:val="single" w:sz="4" w:space="0" w:color="000000"/>
      </w:pBdr>
      <w:spacing w:before="100" w:beforeAutospacing="1" w:after="100" w:afterAutospacing="1"/>
      <w:textAlignment w:val="center"/>
    </w:pPr>
    <w:rPr>
      <w:rFonts w:ascii="Arial" w:eastAsia="Arial Unicode MS" w:hAnsi="Arial" w:cs="Arial"/>
      <w:b/>
      <w:bCs/>
    </w:rPr>
  </w:style>
  <w:style w:type="paragraph" w:customStyle="1" w:styleId="xl61">
    <w:name w:val="xl61"/>
    <w:basedOn w:val="Normlny"/>
    <w:rsid w:val="000A2341"/>
    <w:pPr>
      <w:spacing w:before="100" w:beforeAutospacing="1" w:after="100" w:afterAutospacing="1"/>
      <w:textAlignment w:val="center"/>
    </w:pPr>
    <w:rPr>
      <w:rFonts w:ascii="Arial" w:eastAsia="Arial Unicode MS" w:hAnsi="Arial" w:cs="Arial"/>
    </w:rPr>
  </w:style>
  <w:style w:type="paragraph" w:customStyle="1" w:styleId="xl62">
    <w:name w:val="xl62"/>
    <w:basedOn w:val="Normlny"/>
    <w:rsid w:val="000A2341"/>
    <w:pPr>
      <w:pBdr>
        <w:right w:val="single" w:sz="4" w:space="0" w:color="000000"/>
      </w:pBdr>
      <w:spacing w:before="100" w:beforeAutospacing="1" w:after="100" w:afterAutospacing="1"/>
      <w:textAlignment w:val="center"/>
    </w:pPr>
    <w:rPr>
      <w:rFonts w:ascii="Arial" w:eastAsia="Arial Unicode MS" w:hAnsi="Arial" w:cs="Arial"/>
    </w:rPr>
  </w:style>
  <w:style w:type="paragraph" w:customStyle="1" w:styleId="xl63">
    <w:name w:val="xl63"/>
    <w:basedOn w:val="Normlny"/>
    <w:rsid w:val="000A2341"/>
    <w:pPr>
      <w:pBdr>
        <w:bottom w:val="single" w:sz="4" w:space="0" w:color="auto"/>
      </w:pBdr>
      <w:spacing w:before="100" w:beforeAutospacing="1" w:after="100" w:afterAutospacing="1"/>
      <w:textAlignment w:val="center"/>
    </w:pPr>
    <w:rPr>
      <w:rFonts w:ascii="Arial" w:eastAsia="Arial Unicode MS" w:hAnsi="Arial" w:cs="Arial"/>
      <w:b/>
      <w:bCs/>
    </w:rPr>
  </w:style>
  <w:style w:type="paragraph" w:styleId="Textvysvetlivky">
    <w:name w:val="endnote text"/>
    <w:basedOn w:val="Normlny"/>
    <w:link w:val="TextvysvetlivkyChar"/>
    <w:rsid w:val="00BF5C18"/>
    <w:rPr>
      <w:sz w:val="20"/>
      <w:szCs w:val="20"/>
      <w:lang w:val="cs-CZ"/>
    </w:rPr>
  </w:style>
  <w:style w:type="character" w:customStyle="1" w:styleId="TextvysvetlivkyChar">
    <w:name w:val="Text vysvetlivky Char"/>
    <w:link w:val="Textvysvetlivky"/>
    <w:rsid w:val="00BF5C18"/>
    <w:rPr>
      <w:lang w:val="cs-CZ" w:eastAsia="cs-CZ"/>
    </w:rPr>
  </w:style>
  <w:style w:type="character" w:styleId="Odkaznavysvetlivku">
    <w:name w:val="endnote reference"/>
    <w:rsid w:val="00BF5C18"/>
    <w:rPr>
      <w:vertAlign w:val="superscript"/>
    </w:rPr>
  </w:style>
  <w:style w:type="paragraph" w:styleId="Spiatonadresanaoblke">
    <w:name w:val="envelope return"/>
    <w:basedOn w:val="Normlny"/>
    <w:rsid w:val="00AE25DD"/>
    <w:pPr>
      <w:jc w:val="both"/>
    </w:pPr>
    <w:rPr>
      <w:sz w:val="20"/>
      <w:szCs w:val="20"/>
    </w:rPr>
  </w:style>
  <w:style w:type="character" w:customStyle="1" w:styleId="PtaChar">
    <w:name w:val="Päta Char"/>
    <w:link w:val="Pta"/>
    <w:uiPriority w:val="99"/>
    <w:rsid w:val="00BD6061"/>
    <w:rPr>
      <w:sz w:val="24"/>
      <w:szCs w:val="24"/>
      <w:lang w:val="cs-CZ" w:eastAsia="cs-CZ"/>
    </w:rPr>
  </w:style>
  <w:style w:type="paragraph" w:styleId="Textbubliny">
    <w:name w:val="Balloon Text"/>
    <w:basedOn w:val="Normlny"/>
    <w:link w:val="TextbublinyChar"/>
    <w:rsid w:val="00C24EF3"/>
    <w:rPr>
      <w:rFonts w:ascii="Tahoma" w:hAnsi="Tahoma"/>
      <w:sz w:val="16"/>
      <w:szCs w:val="16"/>
      <w:lang w:val="cs-CZ"/>
    </w:rPr>
  </w:style>
  <w:style w:type="character" w:customStyle="1" w:styleId="TextbublinyChar">
    <w:name w:val="Text bubliny Char"/>
    <w:link w:val="Textbubliny"/>
    <w:rsid w:val="00C24EF3"/>
    <w:rPr>
      <w:rFonts w:ascii="Tahoma" w:hAnsi="Tahoma" w:cs="Tahoma"/>
      <w:sz w:val="16"/>
      <w:szCs w:val="16"/>
      <w:lang w:val="cs-CZ" w:eastAsia="cs-CZ"/>
    </w:rPr>
  </w:style>
  <w:style w:type="paragraph" w:customStyle="1" w:styleId="Default">
    <w:name w:val="Default"/>
    <w:rsid w:val="003732F4"/>
    <w:pPr>
      <w:autoSpaceDE w:val="0"/>
      <w:autoSpaceDN w:val="0"/>
      <w:adjustRightInd w:val="0"/>
    </w:pPr>
    <w:rPr>
      <w:rFonts w:ascii="Arial" w:hAnsi="Arial" w:cs="Arial"/>
      <w:color w:val="000000"/>
      <w:sz w:val="24"/>
      <w:szCs w:val="24"/>
    </w:rPr>
  </w:style>
  <w:style w:type="paragraph" w:styleId="truktradokumentu">
    <w:name w:val="Document Map"/>
    <w:basedOn w:val="Normlny"/>
    <w:link w:val="truktradokumentuChar"/>
    <w:rsid w:val="003732F4"/>
    <w:rPr>
      <w:rFonts w:ascii="Tahoma" w:hAnsi="Tahoma"/>
      <w:sz w:val="16"/>
      <w:szCs w:val="16"/>
      <w:lang w:val="cs-CZ"/>
    </w:rPr>
  </w:style>
  <w:style w:type="character" w:customStyle="1" w:styleId="truktradokumentuChar">
    <w:name w:val="Štruktúra dokumentu Char"/>
    <w:link w:val="truktradokumentu"/>
    <w:rsid w:val="003732F4"/>
    <w:rPr>
      <w:rFonts w:ascii="Tahoma" w:hAnsi="Tahoma" w:cs="Tahoma"/>
      <w:sz w:val="16"/>
      <w:szCs w:val="16"/>
      <w:lang w:val="cs-CZ" w:eastAsia="cs-CZ"/>
    </w:rPr>
  </w:style>
  <w:style w:type="character" w:styleId="sloriadka">
    <w:name w:val="line number"/>
    <w:basedOn w:val="Predvolenpsmoodseku"/>
    <w:rsid w:val="00BD6061"/>
  </w:style>
  <w:style w:type="character" w:customStyle="1" w:styleId="Nadpis8Char">
    <w:name w:val="Nadpis 8 Char"/>
    <w:link w:val="Nadpis8"/>
    <w:semiHidden/>
    <w:rsid w:val="00C01441"/>
    <w:rPr>
      <w:rFonts w:ascii="Calibri" w:eastAsia="Times New Roman" w:hAnsi="Calibri" w:cs="Times New Roman"/>
      <w:i/>
      <w:iCs/>
      <w:sz w:val="24"/>
      <w:szCs w:val="24"/>
      <w:lang w:val="cs-CZ" w:eastAsia="cs-CZ"/>
    </w:rPr>
  </w:style>
  <w:style w:type="character" w:customStyle="1" w:styleId="TextpoznmkypodiarouChar">
    <w:name w:val="Text poznámky pod čiarou Char"/>
    <w:link w:val="Textpoznmkypodiarou"/>
    <w:semiHidden/>
    <w:rsid w:val="00E75662"/>
    <w:rPr>
      <w:lang w:eastAsia="cs-CZ"/>
    </w:rPr>
  </w:style>
  <w:style w:type="table" w:styleId="Mriekatabuky">
    <w:name w:val="Table Grid"/>
    <w:basedOn w:val="Normlnatabuka"/>
    <w:rsid w:val="00C12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link w:val="Nadpis6"/>
    <w:rsid w:val="007134A7"/>
    <w:rPr>
      <w:rFonts w:ascii="Arial" w:hAnsi="Arial" w:cs="Arial"/>
      <w:b/>
      <w:sz w:val="44"/>
      <w:szCs w:val="24"/>
      <w:lang w:eastAsia="cs-CZ"/>
    </w:rPr>
  </w:style>
  <w:style w:type="character" w:customStyle="1" w:styleId="Nadpis5Char">
    <w:name w:val="Nadpis 5 Char"/>
    <w:basedOn w:val="Predvolenpsmoodseku"/>
    <w:link w:val="Nadpis5"/>
    <w:rsid w:val="00031A6E"/>
    <w:rPr>
      <w:b/>
      <w:bCs/>
      <w:i/>
      <w:iCs/>
      <w:sz w:val="26"/>
      <w:szCs w:val="26"/>
      <w:lang w:eastAsia="cs-CZ"/>
    </w:rPr>
  </w:style>
  <w:style w:type="character" w:customStyle="1" w:styleId="Nadpis2Char">
    <w:name w:val="Nadpis 2 Char"/>
    <w:basedOn w:val="Predvolenpsmoodseku"/>
    <w:link w:val="Nadpis2"/>
    <w:rsid w:val="00A2285F"/>
    <w:rPr>
      <w:rFonts w:ascii="Arial" w:hAnsi="Arial" w:cs="Arial"/>
      <w:b/>
      <w:bCs/>
      <w:sz w:val="24"/>
      <w:szCs w:val="24"/>
      <w:lang w:eastAsia="cs-CZ"/>
    </w:rPr>
  </w:style>
  <w:style w:type="character" w:customStyle="1" w:styleId="Nadpis4Char">
    <w:name w:val="Nadpis 4 Char"/>
    <w:basedOn w:val="Predvolenpsmoodseku"/>
    <w:link w:val="Nadpis4"/>
    <w:rsid w:val="00A2285F"/>
    <w:rPr>
      <w:b/>
      <w:bCs/>
      <w:sz w:val="28"/>
      <w:szCs w:val="24"/>
      <w:lang w:eastAsia="cs-CZ"/>
    </w:rPr>
  </w:style>
  <w:style w:type="character" w:customStyle="1" w:styleId="ZarkazkladnhotextuChar">
    <w:name w:val="Zarážka základného textu Char"/>
    <w:basedOn w:val="Predvolenpsmoodseku"/>
    <w:link w:val="Zarkazkladnhotextu"/>
    <w:rsid w:val="00A2285F"/>
    <w:rPr>
      <w:sz w:val="24"/>
      <w:lang w:eastAsia="en-US"/>
    </w:rPr>
  </w:style>
  <w:style w:type="character" w:customStyle="1" w:styleId="ZkladntextChar">
    <w:name w:val="Základný text Char"/>
    <w:basedOn w:val="Predvolenpsmoodseku"/>
    <w:link w:val="Zkladntext"/>
    <w:rsid w:val="00A2285F"/>
    <w:rPr>
      <w:rFonts w:ascii="Arial" w:hAnsi="Arial" w:cs="Arial"/>
      <w:sz w:val="24"/>
      <w:szCs w:val="24"/>
      <w:lang w:eastAsia="cs-CZ"/>
    </w:rPr>
  </w:style>
  <w:style w:type="character" w:customStyle="1" w:styleId="Zarkazkladnhotextu2Char">
    <w:name w:val="Zarážka základného textu 2 Char"/>
    <w:basedOn w:val="Predvolenpsmoodseku"/>
    <w:link w:val="Zarkazkladnhotextu2"/>
    <w:rsid w:val="00A2285F"/>
    <w:rPr>
      <w:rFonts w:ascii="Arial" w:hAnsi="Arial" w:cs="Arial"/>
      <w:sz w:val="24"/>
      <w:szCs w:val="24"/>
      <w:lang w:eastAsia="cs-CZ"/>
    </w:rPr>
  </w:style>
  <w:style w:type="character" w:customStyle="1" w:styleId="Zkladntext3Char">
    <w:name w:val="Základný text 3 Char"/>
    <w:basedOn w:val="Predvolenpsmoodseku"/>
    <w:link w:val="Zkladntext3"/>
    <w:rsid w:val="00A2285F"/>
    <w:rPr>
      <w:sz w:val="16"/>
      <w:szCs w:val="16"/>
      <w:lang w:eastAsia="cs-CZ"/>
    </w:rPr>
  </w:style>
  <w:style w:type="character" w:customStyle="1" w:styleId="Zkladntext2Char">
    <w:name w:val="Základný text 2 Char"/>
    <w:basedOn w:val="Predvolenpsmoodseku"/>
    <w:link w:val="Zkladntext2"/>
    <w:rsid w:val="00A2285F"/>
    <w:rPr>
      <w:rFonts w:ascii="Century Gothic" w:eastAsia="Arial Unicode MS" w:hAnsi="Century Gothic" w:cs="Arial Unicode MS"/>
      <w:sz w:val="22"/>
      <w:szCs w:val="36"/>
      <w:lang w:eastAsia="cs-CZ"/>
    </w:rPr>
  </w:style>
  <w:style w:type="paragraph" w:styleId="Odsekzoznamu">
    <w:name w:val="List Paragraph"/>
    <w:basedOn w:val="Normlny"/>
    <w:uiPriority w:val="34"/>
    <w:qFormat/>
    <w:rsid w:val="003353F8"/>
    <w:pPr>
      <w:ind w:left="720"/>
      <w:contextualSpacing/>
    </w:pPr>
  </w:style>
  <w:style w:type="character" w:styleId="Odkaznakomentr">
    <w:name w:val="annotation reference"/>
    <w:basedOn w:val="Predvolenpsmoodseku"/>
    <w:semiHidden/>
    <w:unhideWhenUsed/>
    <w:rsid w:val="009A38E7"/>
    <w:rPr>
      <w:sz w:val="16"/>
      <w:szCs w:val="16"/>
    </w:rPr>
  </w:style>
  <w:style w:type="paragraph" w:styleId="Textkomentra">
    <w:name w:val="annotation text"/>
    <w:basedOn w:val="Normlny"/>
    <w:link w:val="TextkomentraChar"/>
    <w:semiHidden/>
    <w:unhideWhenUsed/>
    <w:rsid w:val="009A38E7"/>
    <w:rPr>
      <w:sz w:val="20"/>
      <w:szCs w:val="20"/>
    </w:rPr>
  </w:style>
  <w:style w:type="character" w:customStyle="1" w:styleId="TextkomentraChar">
    <w:name w:val="Text komentára Char"/>
    <w:basedOn w:val="Predvolenpsmoodseku"/>
    <w:link w:val="Textkomentra"/>
    <w:semiHidden/>
    <w:rsid w:val="009A38E7"/>
    <w:rPr>
      <w:lang w:eastAsia="cs-CZ"/>
    </w:rPr>
  </w:style>
  <w:style w:type="paragraph" w:styleId="Predmetkomentra">
    <w:name w:val="annotation subject"/>
    <w:basedOn w:val="Textkomentra"/>
    <w:next w:val="Textkomentra"/>
    <w:link w:val="PredmetkomentraChar"/>
    <w:semiHidden/>
    <w:unhideWhenUsed/>
    <w:rsid w:val="009A38E7"/>
    <w:rPr>
      <w:b/>
      <w:bCs/>
    </w:rPr>
  </w:style>
  <w:style w:type="character" w:customStyle="1" w:styleId="PredmetkomentraChar">
    <w:name w:val="Predmet komentára Char"/>
    <w:basedOn w:val="TextkomentraChar"/>
    <w:link w:val="Predmetkomentra"/>
    <w:semiHidden/>
    <w:rsid w:val="009A38E7"/>
    <w:rPr>
      <w:b/>
      <w:bCs/>
      <w:lang w:eastAsia="cs-CZ"/>
    </w:rPr>
  </w:style>
  <w:style w:type="character" w:customStyle="1" w:styleId="Nadpis7Char">
    <w:name w:val="Nadpis 7 Char"/>
    <w:basedOn w:val="Predvolenpsmoodseku"/>
    <w:link w:val="Nadpis7"/>
    <w:semiHidden/>
    <w:rsid w:val="00C20220"/>
    <w:rPr>
      <w:rFonts w:asciiTheme="majorHAnsi" w:eastAsiaTheme="majorEastAsia" w:hAnsiTheme="majorHAnsi" w:cstheme="majorBidi"/>
      <w:i/>
      <w:iCs/>
      <w:color w:val="1F4D78" w:themeColor="accent1" w:themeShade="7F"/>
      <w:sz w:val="24"/>
      <w:szCs w:val="24"/>
      <w:lang w:eastAsia="cs-CZ"/>
    </w:rPr>
  </w:style>
  <w:style w:type="paragraph" w:customStyle="1" w:styleId="zdroj">
    <w:name w:val="zdroj"/>
    <w:basedOn w:val="Normlny"/>
    <w:link w:val="zdrojChar"/>
    <w:uiPriority w:val="99"/>
    <w:qFormat/>
    <w:rsid w:val="00C20220"/>
    <w:pPr>
      <w:spacing w:before="60" w:after="120"/>
      <w:ind w:firstLine="567"/>
      <w:jc w:val="both"/>
    </w:pPr>
    <w:rPr>
      <w:i/>
      <w:color w:val="000000"/>
      <w:sz w:val="20"/>
      <w:szCs w:val="20"/>
      <w:lang w:eastAsia="sk-SK"/>
    </w:rPr>
  </w:style>
  <w:style w:type="character" w:customStyle="1" w:styleId="zdrojChar">
    <w:name w:val="zdroj Char"/>
    <w:basedOn w:val="Predvolenpsmoodseku"/>
    <w:link w:val="zdroj"/>
    <w:uiPriority w:val="99"/>
    <w:rsid w:val="00C20220"/>
    <w:rPr>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4702">
      <w:bodyDiv w:val="1"/>
      <w:marLeft w:val="0"/>
      <w:marRight w:val="0"/>
      <w:marTop w:val="0"/>
      <w:marBottom w:val="0"/>
      <w:divBdr>
        <w:top w:val="none" w:sz="0" w:space="0" w:color="auto"/>
        <w:left w:val="none" w:sz="0" w:space="0" w:color="auto"/>
        <w:bottom w:val="none" w:sz="0" w:space="0" w:color="auto"/>
        <w:right w:val="none" w:sz="0" w:space="0" w:color="auto"/>
      </w:divBdr>
    </w:div>
    <w:div w:id="10381401">
      <w:bodyDiv w:val="1"/>
      <w:marLeft w:val="0"/>
      <w:marRight w:val="0"/>
      <w:marTop w:val="0"/>
      <w:marBottom w:val="0"/>
      <w:divBdr>
        <w:top w:val="none" w:sz="0" w:space="0" w:color="auto"/>
        <w:left w:val="none" w:sz="0" w:space="0" w:color="auto"/>
        <w:bottom w:val="none" w:sz="0" w:space="0" w:color="auto"/>
        <w:right w:val="none" w:sz="0" w:space="0" w:color="auto"/>
      </w:divBdr>
    </w:div>
    <w:div w:id="20400159">
      <w:bodyDiv w:val="1"/>
      <w:marLeft w:val="0"/>
      <w:marRight w:val="0"/>
      <w:marTop w:val="0"/>
      <w:marBottom w:val="0"/>
      <w:divBdr>
        <w:top w:val="none" w:sz="0" w:space="0" w:color="auto"/>
        <w:left w:val="none" w:sz="0" w:space="0" w:color="auto"/>
        <w:bottom w:val="none" w:sz="0" w:space="0" w:color="auto"/>
        <w:right w:val="none" w:sz="0" w:space="0" w:color="auto"/>
      </w:divBdr>
    </w:div>
    <w:div w:id="21790144">
      <w:bodyDiv w:val="1"/>
      <w:marLeft w:val="0"/>
      <w:marRight w:val="0"/>
      <w:marTop w:val="0"/>
      <w:marBottom w:val="0"/>
      <w:divBdr>
        <w:top w:val="none" w:sz="0" w:space="0" w:color="auto"/>
        <w:left w:val="none" w:sz="0" w:space="0" w:color="auto"/>
        <w:bottom w:val="none" w:sz="0" w:space="0" w:color="auto"/>
        <w:right w:val="none" w:sz="0" w:space="0" w:color="auto"/>
      </w:divBdr>
    </w:div>
    <w:div w:id="41441338">
      <w:bodyDiv w:val="1"/>
      <w:marLeft w:val="0"/>
      <w:marRight w:val="0"/>
      <w:marTop w:val="0"/>
      <w:marBottom w:val="0"/>
      <w:divBdr>
        <w:top w:val="none" w:sz="0" w:space="0" w:color="auto"/>
        <w:left w:val="none" w:sz="0" w:space="0" w:color="auto"/>
        <w:bottom w:val="none" w:sz="0" w:space="0" w:color="auto"/>
        <w:right w:val="none" w:sz="0" w:space="0" w:color="auto"/>
      </w:divBdr>
    </w:div>
    <w:div w:id="52002009">
      <w:bodyDiv w:val="1"/>
      <w:marLeft w:val="0"/>
      <w:marRight w:val="0"/>
      <w:marTop w:val="0"/>
      <w:marBottom w:val="0"/>
      <w:divBdr>
        <w:top w:val="none" w:sz="0" w:space="0" w:color="auto"/>
        <w:left w:val="none" w:sz="0" w:space="0" w:color="auto"/>
        <w:bottom w:val="none" w:sz="0" w:space="0" w:color="auto"/>
        <w:right w:val="none" w:sz="0" w:space="0" w:color="auto"/>
      </w:divBdr>
    </w:div>
    <w:div w:id="63188968">
      <w:bodyDiv w:val="1"/>
      <w:marLeft w:val="0"/>
      <w:marRight w:val="0"/>
      <w:marTop w:val="0"/>
      <w:marBottom w:val="0"/>
      <w:divBdr>
        <w:top w:val="none" w:sz="0" w:space="0" w:color="auto"/>
        <w:left w:val="none" w:sz="0" w:space="0" w:color="auto"/>
        <w:bottom w:val="none" w:sz="0" w:space="0" w:color="auto"/>
        <w:right w:val="none" w:sz="0" w:space="0" w:color="auto"/>
      </w:divBdr>
    </w:div>
    <w:div w:id="84423549">
      <w:bodyDiv w:val="1"/>
      <w:marLeft w:val="0"/>
      <w:marRight w:val="0"/>
      <w:marTop w:val="0"/>
      <w:marBottom w:val="0"/>
      <w:divBdr>
        <w:top w:val="none" w:sz="0" w:space="0" w:color="auto"/>
        <w:left w:val="none" w:sz="0" w:space="0" w:color="auto"/>
        <w:bottom w:val="none" w:sz="0" w:space="0" w:color="auto"/>
        <w:right w:val="none" w:sz="0" w:space="0" w:color="auto"/>
      </w:divBdr>
    </w:div>
    <w:div w:id="84503808">
      <w:bodyDiv w:val="1"/>
      <w:marLeft w:val="0"/>
      <w:marRight w:val="0"/>
      <w:marTop w:val="0"/>
      <w:marBottom w:val="0"/>
      <w:divBdr>
        <w:top w:val="none" w:sz="0" w:space="0" w:color="auto"/>
        <w:left w:val="none" w:sz="0" w:space="0" w:color="auto"/>
        <w:bottom w:val="none" w:sz="0" w:space="0" w:color="auto"/>
        <w:right w:val="none" w:sz="0" w:space="0" w:color="auto"/>
      </w:divBdr>
    </w:div>
    <w:div w:id="85031372">
      <w:bodyDiv w:val="1"/>
      <w:marLeft w:val="0"/>
      <w:marRight w:val="0"/>
      <w:marTop w:val="0"/>
      <w:marBottom w:val="0"/>
      <w:divBdr>
        <w:top w:val="none" w:sz="0" w:space="0" w:color="auto"/>
        <w:left w:val="none" w:sz="0" w:space="0" w:color="auto"/>
        <w:bottom w:val="none" w:sz="0" w:space="0" w:color="auto"/>
        <w:right w:val="none" w:sz="0" w:space="0" w:color="auto"/>
      </w:divBdr>
    </w:div>
    <w:div w:id="90782365">
      <w:bodyDiv w:val="1"/>
      <w:marLeft w:val="0"/>
      <w:marRight w:val="0"/>
      <w:marTop w:val="0"/>
      <w:marBottom w:val="0"/>
      <w:divBdr>
        <w:top w:val="none" w:sz="0" w:space="0" w:color="auto"/>
        <w:left w:val="none" w:sz="0" w:space="0" w:color="auto"/>
        <w:bottom w:val="none" w:sz="0" w:space="0" w:color="auto"/>
        <w:right w:val="none" w:sz="0" w:space="0" w:color="auto"/>
      </w:divBdr>
    </w:div>
    <w:div w:id="102265784">
      <w:bodyDiv w:val="1"/>
      <w:marLeft w:val="0"/>
      <w:marRight w:val="0"/>
      <w:marTop w:val="0"/>
      <w:marBottom w:val="0"/>
      <w:divBdr>
        <w:top w:val="none" w:sz="0" w:space="0" w:color="auto"/>
        <w:left w:val="none" w:sz="0" w:space="0" w:color="auto"/>
        <w:bottom w:val="none" w:sz="0" w:space="0" w:color="auto"/>
        <w:right w:val="none" w:sz="0" w:space="0" w:color="auto"/>
      </w:divBdr>
    </w:div>
    <w:div w:id="105006337">
      <w:bodyDiv w:val="1"/>
      <w:marLeft w:val="0"/>
      <w:marRight w:val="0"/>
      <w:marTop w:val="0"/>
      <w:marBottom w:val="0"/>
      <w:divBdr>
        <w:top w:val="none" w:sz="0" w:space="0" w:color="auto"/>
        <w:left w:val="none" w:sz="0" w:space="0" w:color="auto"/>
        <w:bottom w:val="none" w:sz="0" w:space="0" w:color="auto"/>
        <w:right w:val="none" w:sz="0" w:space="0" w:color="auto"/>
      </w:divBdr>
      <w:divsChild>
        <w:div w:id="609974260">
          <w:marLeft w:val="0"/>
          <w:marRight w:val="0"/>
          <w:marTop w:val="0"/>
          <w:marBottom w:val="0"/>
          <w:divBdr>
            <w:top w:val="none" w:sz="0" w:space="0" w:color="auto"/>
            <w:left w:val="none" w:sz="0" w:space="0" w:color="auto"/>
            <w:bottom w:val="none" w:sz="0" w:space="0" w:color="auto"/>
            <w:right w:val="none" w:sz="0" w:space="0" w:color="auto"/>
          </w:divBdr>
        </w:div>
      </w:divsChild>
    </w:div>
    <w:div w:id="113982737">
      <w:bodyDiv w:val="1"/>
      <w:marLeft w:val="0"/>
      <w:marRight w:val="0"/>
      <w:marTop w:val="0"/>
      <w:marBottom w:val="0"/>
      <w:divBdr>
        <w:top w:val="none" w:sz="0" w:space="0" w:color="auto"/>
        <w:left w:val="none" w:sz="0" w:space="0" w:color="auto"/>
        <w:bottom w:val="none" w:sz="0" w:space="0" w:color="auto"/>
        <w:right w:val="none" w:sz="0" w:space="0" w:color="auto"/>
      </w:divBdr>
    </w:div>
    <w:div w:id="127747819">
      <w:bodyDiv w:val="1"/>
      <w:marLeft w:val="0"/>
      <w:marRight w:val="0"/>
      <w:marTop w:val="0"/>
      <w:marBottom w:val="0"/>
      <w:divBdr>
        <w:top w:val="none" w:sz="0" w:space="0" w:color="auto"/>
        <w:left w:val="none" w:sz="0" w:space="0" w:color="auto"/>
        <w:bottom w:val="none" w:sz="0" w:space="0" w:color="auto"/>
        <w:right w:val="none" w:sz="0" w:space="0" w:color="auto"/>
      </w:divBdr>
    </w:div>
    <w:div w:id="128600069">
      <w:bodyDiv w:val="1"/>
      <w:marLeft w:val="0"/>
      <w:marRight w:val="0"/>
      <w:marTop w:val="0"/>
      <w:marBottom w:val="0"/>
      <w:divBdr>
        <w:top w:val="none" w:sz="0" w:space="0" w:color="auto"/>
        <w:left w:val="none" w:sz="0" w:space="0" w:color="auto"/>
        <w:bottom w:val="none" w:sz="0" w:space="0" w:color="auto"/>
        <w:right w:val="none" w:sz="0" w:space="0" w:color="auto"/>
      </w:divBdr>
    </w:div>
    <w:div w:id="135416514">
      <w:bodyDiv w:val="1"/>
      <w:marLeft w:val="0"/>
      <w:marRight w:val="0"/>
      <w:marTop w:val="0"/>
      <w:marBottom w:val="0"/>
      <w:divBdr>
        <w:top w:val="none" w:sz="0" w:space="0" w:color="auto"/>
        <w:left w:val="none" w:sz="0" w:space="0" w:color="auto"/>
        <w:bottom w:val="none" w:sz="0" w:space="0" w:color="auto"/>
        <w:right w:val="none" w:sz="0" w:space="0" w:color="auto"/>
      </w:divBdr>
    </w:div>
    <w:div w:id="135992493">
      <w:bodyDiv w:val="1"/>
      <w:marLeft w:val="0"/>
      <w:marRight w:val="0"/>
      <w:marTop w:val="0"/>
      <w:marBottom w:val="0"/>
      <w:divBdr>
        <w:top w:val="none" w:sz="0" w:space="0" w:color="auto"/>
        <w:left w:val="none" w:sz="0" w:space="0" w:color="auto"/>
        <w:bottom w:val="none" w:sz="0" w:space="0" w:color="auto"/>
        <w:right w:val="none" w:sz="0" w:space="0" w:color="auto"/>
      </w:divBdr>
    </w:div>
    <w:div w:id="138350486">
      <w:bodyDiv w:val="1"/>
      <w:marLeft w:val="0"/>
      <w:marRight w:val="0"/>
      <w:marTop w:val="0"/>
      <w:marBottom w:val="0"/>
      <w:divBdr>
        <w:top w:val="none" w:sz="0" w:space="0" w:color="auto"/>
        <w:left w:val="none" w:sz="0" w:space="0" w:color="auto"/>
        <w:bottom w:val="none" w:sz="0" w:space="0" w:color="auto"/>
        <w:right w:val="none" w:sz="0" w:space="0" w:color="auto"/>
      </w:divBdr>
    </w:div>
    <w:div w:id="139271147">
      <w:bodyDiv w:val="1"/>
      <w:marLeft w:val="0"/>
      <w:marRight w:val="0"/>
      <w:marTop w:val="0"/>
      <w:marBottom w:val="0"/>
      <w:divBdr>
        <w:top w:val="none" w:sz="0" w:space="0" w:color="auto"/>
        <w:left w:val="none" w:sz="0" w:space="0" w:color="auto"/>
        <w:bottom w:val="none" w:sz="0" w:space="0" w:color="auto"/>
        <w:right w:val="none" w:sz="0" w:space="0" w:color="auto"/>
      </w:divBdr>
    </w:div>
    <w:div w:id="149642926">
      <w:bodyDiv w:val="1"/>
      <w:marLeft w:val="0"/>
      <w:marRight w:val="0"/>
      <w:marTop w:val="0"/>
      <w:marBottom w:val="0"/>
      <w:divBdr>
        <w:top w:val="none" w:sz="0" w:space="0" w:color="auto"/>
        <w:left w:val="none" w:sz="0" w:space="0" w:color="auto"/>
        <w:bottom w:val="none" w:sz="0" w:space="0" w:color="auto"/>
        <w:right w:val="none" w:sz="0" w:space="0" w:color="auto"/>
      </w:divBdr>
    </w:div>
    <w:div w:id="152062893">
      <w:bodyDiv w:val="1"/>
      <w:marLeft w:val="0"/>
      <w:marRight w:val="0"/>
      <w:marTop w:val="0"/>
      <w:marBottom w:val="0"/>
      <w:divBdr>
        <w:top w:val="none" w:sz="0" w:space="0" w:color="auto"/>
        <w:left w:val="none" w:sz="0" w:space="0" w:color="auto"/>
        <w:bottom w:val="none" w:sz="0" w:space="0" w:color="auto"/>
        <w:right w:val="none" w:sz="0" w:space="0" w:color="auto"/>
      </w:divBdr>
    </w:div>
    <w:div w:id="174075315">
      <w:bodyDiv w:val="1"/>
      <w:marLeft w:val="0"/>
      <w:marRight w:val="0"/>
      <w:marTop w:val="0"/>
      <w:marBottom w:val="0"/>
      <w:divBdr>
        <w:top w:val="none" w:sz="0" w:space="0" w:color="auto"/>
        <w:left w:val="none" w:sz="0" w:space="0" w:color="auto"/>
        <w:bottom w:val="none" w:sz="0" w:space="0" w:color="auto"/>
        <w:right w:val="none" w:sz="0" w:space="0" w:color="auto"/>
      </w:divBdr>
    </w:div>
    <w:div w:id="189539391">
      <w:bodyDiv w:val="1"/>
      <w:marLeft w:val="0"/>
      <w:marRight w:val="0"/>
      <w:marTop w:val="0"/>
      <w:marBottom w:val="0"/>
      <w:divBdr>
        <w:top w:val="none" w:sz="0" w:space="0" w:color="auto"/>
        <w:left w:val="none" w:sz="0" w:space="0" w:color="auto"/>
        <w:bottom w:val="none" w:sz="0" w:space="0" w:color="auto"/>
        <w:right w:val="none" w:sz="0" w:space="0" w:color="auto"/>
      </w:divBdr>
    </w:div>
    <w:div w:id="232356208">
      <w:bodyDiv w:val="1"/>
      <w:marLeft w:val="0"/>
      <w:marRight w:val="0"/>
      <w:marTop w:val="0"/>
      <w:marBottom w:val="0"/>
      <w:divBdr>
        <w:top w:val="none" w:sz="0" w:space="0" w:color="auto"/>
        <w:left w:val="none" w:sz="0" w:space="0" w:color="auto"/>
        <w:bottom w:val="none" w:sz="0" w:space="0" w:color="auto"/>
        <w:right w:val="none" w:sz="0" w:space="0" w:color="auto"/>
      </w:divBdr>
    </w:div>
    <w:div w:id="239103622">
      <w:bodyDiv w:val="1"/>
      <w:marLeft w:val="0"/>
      <w:marRight w:val="0"/>
      <w:marTop w:val="0"/>
      <w:marBottom w:val="0"/>
      <w:divBdr>
        <w:top w:val="none" w:sz="0" w:space="0" w:color="auto"/>
        <w:left w:val="none" w:sz="0" w:space="0" w:color="auto"/>
        <w:bottom w:val="none" w:sz="0" w:space="0" w:color="auto"/>
        <w:right w:val="none" w:sz="0" w:space="0" w:color="auto"/>
      </w:divBdr>
    </w:div>
    <w:div w:id="270284491">
      <w:bodyDiv w:val="1"/>
      <w:marLeft w:val="0"/>
      <w:marRight w:val="0"/>
      <w:marTop w:val="0"/>
      <w:marBottom w:val="0"/>
      <w:divBdr>
        <w:top w:val="none" w:sz="0" w:space="0" w:color="auto"/>
        <w:left w:val="none" w:sz="0" w:space="0" w:color="auto"/>
        <w:bottom w:val="none" w:sz="0" w:space="0" w:color="auto"/>
        <w:right w:val="none" w:sz="0" w:space="0" w:color="auto"/>
      </w:divBdr>
    </w:div>
    <w:div w:id="288559042">
      <w:bodyDiv w:val="1"/>
      <w:marLeft w:val="0"/>
      <w:marRight w:val="0"/>
      <w:marTop w:val="0"/>
      <w:marBottom w:val="0"/>
      <w:divBdr>
        <w:top w:val="none" w:sz="0" w:space="0" w:color="auto"/>
        <w:left w:val="none" w:sz="0" w:space="0" w:color="auto"/>
        <w:bottom w:val="none" w:sz="0" w:space="0" w:color="auto"/>
        <w:right w:val="none" w:sz="0" w:space="0" w:color="auto"/>
      </w:divBdr>
    </w:div>
    <w:div w:id="289550735">
      <w:bodyDiv w:val="1"/>
      <w:marLeft w:val="0"/>
      <w:marRight w:val="0"/>
      <w:marTop w:val="0"/>
      <w:marBottom w:val="0"/>
      <w:divBdr>
        <w:top w:val="none" w:sz="0" w:space="0" w:color="auto"/>
        <w:left w:val="none" w:sz="0" w:space="0" w:color="auto"/>
        <w:bottom w:val="none" w:sz="0" w:space="0" w:color="auto"/>
        <w:right w:val="none" w:sz="0" w:space="0" w:color="auto"/>
      </w:divBdr>
    </w:div>
    <w:div w:id="302926651">
      <w:bodyDiv w:val="1"/>
      <w:marLeft w:val="0"/>
      <w:marRight w:val="0"/>
      <w:marTop w:val="0"/>
      <w:marBottom w:val="0"/>
      <w:divBdr>
        <w:top w:val="none" w:sz="0" w:space="0" w:color="auto"/>
        <w:left w:val="none" w:sz="0" w:space="0" w:color="auto"/>
        <w:bottom w:val="none" w:sz="0" w:space="0" w:color="auto"/>
        <w:right w:val="none" w:sz="0" w:space="0" w:color="auto"/>
      </w:divBdr>
    </w:div>
    <w:div w:id="303698193">
      <w:bodyDiv w:val="1"/>
      <w:marLeft w:val="0"/>
      <w:marRight w:val="0"/>
      <w:marTop w:val="0"/>
      <w:marBottom w:val="0"/>
      <w:divBdr>
        <w:top w:val="none" w:sz="0" w:space="0" w:color="auto"/>
        <w:left w:val="none" w:sz="0" w:space="0" w:color="auto"/>
        <w:bottom w:val="none" w:sz="0" w:space="0" w:color="auto"/>
        <w:right w:val="none" w:sz="0" w:space="0" w:color="auto"/>
      </w:divBdr>
    </w:div>
    <w:div w:id="306983773">
      <w:bodyDiv w:val="1"/>
      <w:marLeft w:val="0"/>
      <w:marRight w:val="0"/>
      <w:marTop w:val="0"/>
      <w:marBottom w:val="0"/>
      <w:divBdr>
        <w:top w:val="none" w:sz="0" w:space="0" w:color="auto"/>
        <w:left w:val="none" w:sz="0" w:space="0" w:color="auto"/>
        <w:bottom w:val="none" w:sz="0" w:space="0" w:color="auto"/>
        <w:right w:val="none" w:sz="0" w:space="0" w:color="auto"/>
      </w:divBdr>
    </w:div>
    <w:div w:id="350618401">
      <w:bodyDiv w:val="1"/>
      <w:marLeft w:val="0"/>
      <w:marRight w:val="0"/>
      <w:marTop w:val="0"/>
      <w:marBottom w:val="0"/>
      <w:divBdr>
        <w:top w:val="none" w:sz="0" w:space="0" w:color="auto"/>
        <w:left w:val="none" w:sz="0" w:space="0" w:color="auto"/>
        <w:bottom w:val="none" w:sz="0" w:space="0" w:color="auto"/>
        <w:right w:val="none" w:sz="0" w:space="0" w:color="auto"/>
      </w:divBdr>
    </w:div>
    <w:div w:id="351029921">
      <w:bodyDiv w:val="1"/>
      <w:marLeft w:val="0"/>
      <w:marRight w:val="0"/>
      <w:marTop w:val="0"/>
      <w:marBottom w:val="0"/>
      <w:divBdr>
        <w:top w:val="none" w:sz="0" w:space="0" w:color="auto"/>
        <w:left w:val="none" w:sz="0" w:space="0" w:color="auto"/>
        <w:bottom w:val="none" w:sz="0" w:space="0" w:color="auto"/>
        <w:right w:val="none" w:sz="0" w:space="0" w:color="auto"/>
      </w:divBdr>
    </w:div>
    <w:div w:id="359400995">
      <w:bodyDiv w:val="1"/>
      <w:marLeft w:val="0"/>
      <w:marRight w:val="0"/>
      <w:marTop w:val="0"/>
      <w:marBottom w:val="0"/>
      <w:divBdr>
        <w:top w:val="none" w:sz="0" w:space="0" w:color="auto"/>
        <w:left w:val="none" w:sz="0" w:space="0" w:color="auto"/>
        <w:bottom w:val="none" w:sz="0" w:space="0" w:color="auto"/>
        <w:right w:val="none" w:sz="0" w:space="0" w:color="auto"/>
      </w:divBdr>
    </w:div>
    <w:div w:id="364214719">
      <w:bodyDiv w:val="1"/>
      <w:marLeft w:val="0"/>
      <w:marRight w:val="0"/>
      <w:marTop w:val="0"/>
      <w:marBottom w:val="0"/>
      <w:divBdr>
        <w:top w:val="none" w:sz="0" w:space="0" w:color="auto"/>
        <w:left w:val="none" w:sz="0" w:space="0" w:color="auto"/>
        <w:bottom w:val="none" w:sz="0" w:space="0" w:color="auto"/>
        <w:right w:val="none" w:sz="0" w:space="0" w:color="auto"/>
      </w:divBdr>
    </w:div>
    <w:div w:id="388572633">
      <w:bodyDiv w:val="1"/>
      <w:marLeft w:val="0"/>
      <w:marRight w:val="0"/>
      <w:marTop w:val="0"/>
      <w:marBottom w:val="0"/>
      <w:divBdr>
        <w:top w:val="none" w:sz="0" w:space="0" w:color="auto"/>
        <w:left w:val="none" w:sz="0" w:space="0" w:color="auto"/>
        <w:bottom w:val="none" w:sz="0" w:space="0" w:color="auto"/>
        <w:right w:val="none" w:sz="0" w:space="0" w:color="auto"/>
      </w:divBdr>
    </w:div>
    <w:div w:id="430857169">
      <w:bodyDiv w:val="1"/>
      <w:marLeft w:val="0"/>
      <w:marRight w:val="0"/>
      <w:marTop w:val="0"/>
      <w:marBottom w:val="0"/>
      <w:divBdr>
        <w:top w:val="none" w:sz="0" w:space="0" w:color="auto"/>
        <w:left w:val="none" w:sz="0" w:space="0" w:color="auto"/>
        <w:bottom w:val="none" w:sz="0" w:space="0" w:color="auto"/>
        <w:right w:val="none" w:sz="0" w:space="0" w:color="auto"/>
      </w:divBdr>
    </w:div>
    <w:div w:id="435370987">
      <w:bodyDiv w:val="1"/>
      <w:marLeft w:val="0"/>
      <w:marRight w:val="0"/>
      <w:marTop w:val="0"/>
      <w:marBottom w:val="0"/>
      <w:divBdr>
        <w:top w:val="none" w:sz="0" w:space="0" w:color="auto"/>
        <w:left w:val="none" w:sz="0" w:space="0" w:color="auto"/>
        <w:bottom w:val="none" w:sz="0" w:space="0" w:color="auto"/>
        <w:right w:val="none" w:sz="0" w:space="0" w:color="auto"/>
      </w:divBdr>
    </w:div>
    <w:div w:id="435911194">
      <w:bodyDiv w:val="1"/>
      <w:marLeft w:val="0"/>
      <w:marRight w:val="0"/>
      <w:marTop w:val="0"/>
      <w:marBottom w:val="0"/>
      <w:divBdr>
        <w:top w:val="none" w:sz="0" w:space="0" w:color="auto"/>
        <w:left w:val="none" w:sz="0" w:space="0" w:color="auto"/>
        <w:bottom w:val="none" w:sz="0" w:space="0" w:color="auto"/>
        <w:right w:val="none" w:sz="0" w:space="0" w:color="auto"/>
      </w:divBdr>
    </w:div>
    <w:div w:id="478376345">
      <w:bodyDiv w:val="1"/>
      <w:marLeft w:val="0"/>
      <w:marRight w:val="0"/>
      <w:marTop w:val="0"/>
      <w:marBottom w:val="0"/>
      <w:divBdr>
        <w:top w:val="none" w:sz="0" w:space="0" w:color="auto"/>
        <w:left w:val="none" w:sz="0" w:space="0" w:color="auto"/>
        <w:bottom w:val="none" w:sz="0" w:space="0" w:color="auto"/>
        <w:right w:val="none" w:sz="0" w:space="0" w:color="auto"/>
      </w:divBdr>
    </w:div>
    <w:div w:id="485122979">
      <w:bodyDiv w:val="1"/>
      <w:marLeft w:val="0"/>
      <w:marRight w:val="0"/>
      <w:marTop w:val="0"/>
      <w:marBottom w:val="0"/>
      <w:divBdr>
        <w:top w:val="none" w:sz="0" w:space="0" w:color="auto"/>
        <w:left w:val="none" w:sz="0" w:space="0" w:color="auto"/>
        <w:bottom w:val="none" w:sz="0" w:space="0" w:color="auto"/>
        <w:right w:val="none" w:sz="0" w:space="0" w:color="auto"/>
      </w:divBdr>
    </w:div>
    <w:div w:id="516385366">
      <w:bodyDiv w:val="1"/>
      <w:marLeft w:val="0"/>
      <w:marRight w:val="0"/>
      <w:marTop w:val="0"/>
      <w:marBottom w:val="0"/>
      <w:divBdr>
        <w:top w:val="none" w:sz="0" w:space="0" w:color="auto"/>
        <w:left w:val="none" w:sz="0" w:space="0" w:color="auto"/>
        <w:bottom w:val="none" w:sz="0" w:space="0" w:color="auto"/>
        <w:right w:val="none" w:sz="0" w:space="0" w:color="auto"/>
      </w:divBdr>
    </w:div>
    <w:div w:id="521893083">
      <w:bodyDiv w:val="1"/>
      <w:marLeft w:val="0"/>
      <w:marRight w:val="0"/>
      <w:marTop w:val="0"/>
      <w:marBottom w:val="0"/>
      <w:divBdr>
        <w:top w:val="none" w:sz="0" w:space="0" w:color="auto"/>
        <w:left w:val="none" w:sz="0" w:space="0" w:color="auto"/>
        <w:bottom w:val="none" w:sz="0" w:space="0" w:color="auto"/>
        <w:right w:val="none" w:sz="0" w:space="0" w:color="auto"/>
      </w:divBdr>
    </w:div>
    <w:div w:id="544145418">
      <w:bodyDiv w:val="1"/>
      <w:marLeft w:val="0"/>
      <w:marRight w:val="0"/>
      <w:marTop w:val="0"/>
      <w:marBottom w:val="0"/>
      <w:divBdr>
        <w:top w:val="none" w:sz="0" w:space="0" w:color="auto"/>
        <w:left w:val="none" w:sz="0" w:space="0" w:color="auto"/>
        <w:bottom w:val="none" w:sz="0" w:space="0" w:color="auto"/>
        <w:right w:val="none" w:sz="0" w:space="0" w:color="auto"/>
      </w:divBdr>
    </w:div>
    <w:div w:id="559368399">
      <w:bodyDiv w:val="1"/>
      <w:marLeft w:val="0"/>
      <w:marRight w:val="0"/>
      <w:marTop w:val="0"/>
      <w:marBottom w:val="0"/>
      <w:divBdr>
        <w:top w:val="none" w:sz="0" w:space="0" w:color="auto"/>
        <w:left w:val="none" w:sz="0" w:space="0" w:color="auto"/>
        <w:bottom w:val="none" w:sz="0" w:space="0" w:color="auto"/>
        <w:right w:val="none" w:sz="0" w:space="0" w:color="auto"/>
      </w:divBdr>
      <w:divsChild>
        <w:div w:id="632060987">
          <w:marLeft w:val="0"/>
          <w:marRight w:val="0"/>
          <w:marTop w:val="0"/>
          <w:marBottom w:val="0"/>
          <w:divBdr>
            <w:top w:val="none" w:sz="0" w:space="0" w:color="auto"/>
            <w:left w:val="none" w:sz="0" w:space="0" w:color="auto"/>
            <w:bottom w:val="none" w:sz="0" w:space="0" w:color="auto"/>
            <w:right w:val="none" w:sz="0" w:space="0" w:color="auto"/>
          </w:divBdr>
        </w:div>
      </w:divsChild>
    </w:div>
    <w:div w:id="599681462">
      <w:bodyDiv w:val="1"/>
      <w:marLeft w:val="0"/>
      <w:marRight w:val="0"/>
      <w:marTop w:val="0"/>
      <w:marBottom w:val="0"/>
      <w:divBdr>
        <w:top w:val="none" w:sz="0" w:space="0" w:color="auto"/>
        <w:left w:val="none" w:sz="0" w:space="0" w:color="auto"/>
        <w:bottom w:val="none" w:sz="0" w:space="0" w:color="auto"/>
        <w:right w:val="none" w:sz="0" w:space="0" w:color="auto"/>
      </w:divBdr>
    </w:div>
    <w:div w:id="610741349">
      <w:bodyDiv w:val="1"/>
      <w:marLeft w:val="0"/>
      <w:marRight w:val="0"/>
      <w:marTop w:val="0"/>
      <w:marBottom w:val="0"/>
      <w:divBdr>
        <w:top w:val="none" w:sz="0" w:space="0" w:color="auto"/>
        <w:left w:val="none" w:sz="0" w:space="0" w:color="auto"/>
        <w:bottom w:val="none" w:sz="0" w:space="0" w:color="auto"/>
        <w:right w:val="none" w:sz="0" w:space="0" w:color="auto"/>
      </w:divBdr>
    </w:div>
    <w:div w:id="619609501">
      <w:bodyDiv w:val="1"/>
      <w:marLeft w:val="0"/>
      <w:marRight w:val="0"/>
      <w:marTop w:val="0"/>
      <w:marBottom w:val="0"/>
      <w:divBdr>
        <w:top w:val="none" w:sz="0" w:space="0" w:color="auto"/>
        <w:left w:val="none" w:sz="0" w:space="0" w:color="auto"/>
        <w:bottom w:val="none" w:sz="0" w:space="0" w:color="auto"/>
        <w:right w:val="none" w:sz="0" w:space="0" w:color="auto"/>
      </w:divBdr>
    </w:div>
    <w:div w:id="624583376">
      <w:bodyDiv w:val="1"/>
      <w:marLeft w:val="0"/>
      <w:marRight w:val="0"/>
      <w:marTop w:val="0"/>
      <w:marBottom w:val="0"/>
      <w:divBdr>
        <w:top w:val="none" w:sz="0" w:space="0" w:color="auto"/>
        <w:left w:val="none" w:sz="0" w:space="0" w:color="auto"/>
        <w:bottom w:val="none" w:sz="0" w:space="0" w:color="auto"/>
        <w:right w:val="none" w:sz="0" w:space="0" w:color="auto"/>
      </w:divBdr>
    </w:div>
    <w:div w:id="629475756">
      <w:bodyDiv w:val="1"/>
      <w:marLeft w:val="0"/>
      <w:marRight w:val="0"/>
      <w:marTop w:val="0"/>
      <w:marBottom w:val="0"/>
      <w:divBdr>
        <w:top w:val="none" w:sz="0" w:space="0" w:color="auto"/>
        <w:left w:val="none" w:sz="0" w:space="0" w:color="auto"/>
        <w:bottom w:val="none" w:sz="0" w:space="0" w:color="auto"/>
        <w:right w:val="none" w:sz="0" w:space="0" w:color="auto"/>
      </w:divBdr>
    </w:div>
    <w:div w:id="630284656">
      <w:bodyDiv w:val="1"/>
      <w:marLeft w:val="0"/>
      <w:marRight w:val="0"/>
      <w:marTop w:val="0"/>
      <w:marBottom w:val="0"/>
      <w:divBdr>
        <w:top w:val="none" w:sz="0" w:space="0" w:color="auto"/>
        <w:left w:val="none" w:sz="0" w:space="0" w:color="auto"/>
        <w:bottom w:val="none" w:sz="0" w:space="0" w:color="auto"/>
        <w:right w:val="none" w:sz="0" w:space="0" w:color="auto"/>
      </w:divBdr>
    </w:div>
    <w:div w:id="658655452">
      <w:bodyDiv w:val="1"/>
      <w:marLeft w:val="0"/>
      <w:marRight w:val="0"/>
      <w:marTop w:val="0"/>
      <w:marBottom w:val="0"/>
      <w:divBdr>
        <w:top w:val="none" w:sz="0" w:space="0" w:color="auto"/>
        <w:left w:val="none" w:sz="0" w:space="0" w:color="auto"/>
        <w:bottom w:val="none" w:sz="0" w:space="0" w:color="auto"/>
        <w:right w:val="none" w:sz="0" w:space="0" w:color="auto"/>
      </w:divBdr>
    </w:div>
    <w:div w:id="667027078">
      <w:bodyDiv w:val="1"/>
      <w:marLeft w:val="0"/>
      <w:marRight w:val="0"/>
      <w:marTop w:val="0"/>
      <w:marBottom w:val="0"/>
      <w:divBdr>
        <w:top w:val="none" w:sz="0" w:space="0" w:color="auto"/>
        <w:left w:val="none" w:sz="0" w:space="0" w:color="auto"/>
        <w:bottom w:val="none" w:sz="0" w:space="0" w:color="auto"/>
        <w:right w:val="none" w:sz="0" w:space="0" w:color="auto"/>
      </w:divBdr>
    </w:div>
    <w:div w:id="674118032">
      <w:bodyDiv w:val="1"/>
      <w:marLeft w:val="0"/>
      <w:marRight w:val="0"/>
      <w:marTop w:val="0"/>
      <w:marBottom w:val="0"/>
      <w:divBdr>
        <w:top w:val="none" w:sz="0" w:space="0" w:color="auto"/>
        <w:left w:val="none" w:sz="0" w:space="0" w:color="auto"/>
        <w:bottom w:val="none" w:sz="0" w:space="0" w:color="auto"/>
        <w:right w:val="none" w:sz="0" w:space="0" w:color="auto"/>
      </w:divBdr>
    </w:div>
    <w:div w:id="681783838">
      <w:bodyDiv w:val="1"/>
      <w:marLeft w:val="0"/>
      <w:marRight w:val="0"/>
      <w:marTop w:val="0"/>
      <w:marBottom w:val="0"/>
      <w:divBdr>
        <w:top w:val="none" w:sz="0" w:space="0" w:color="auto"/>
        <w:left w:val="none" w:sz="0" w:space="0" w:color="auto"/>
        <w:bottom w:val="none" w:sz="0" w:space="0" w:color="auto"/>
        <w:right w:val="none" w:sz="0" w:space="0" w:color="auto"/>
      </w:divBdr>
    </w:div>
    <w:div w:id="688683517">
      <w:bodyDiv w:val="1"/>
      <w:marLeft w:val="0"/>
      <w:marRight w:val="0"/>
      <w:marTop w:val="0"/>
      <w:marBottom w:val="0"/>
      <w:divBdr>
        <w:top w:val="none" w:sz="0" w:space="0" w:color="auto"/>
        <w:left w:val="none" w:sz="0" w:space="0" w:color="auto"/>
        <w:bottom w:val="none" w:sz="0" w:space="0" w:color="auto"/>
        <w:right w:val="none" w:sz="0" w:space="0" w:color="auto"/>
      </w:divBdr>
    </w:div>
    <w:div w:id="701830015">
      <w:bodyDiv w:val="1"/>
      <w:marLeft w:val="0"/>
      <w:marRight w:val="0"/>
      <w:marTop w:val="0"/>
      <w:marBottom w:val="0"/>
      <w:divBdr>
        <w:top w:val="none" w:sz="0" w:space="0" w:color="auto"/>
        <w:left w:val="none" w:sz="0" w:space="0" w:color="auto"/>
        <w:bottom w:val="none" w:sz="0" w:space="0" w:color="auto"/>
        <w:right w:val="none" w:sz="0" w:space="0" w:color="auto"/>
      </w:divBdr>
    </w:div>
    <w:div w:id="707604871">
      <w:bodyDiv w:val="1"/>
      <w:marLeft w:val="0"/>
      <w:marRight w:val="0"/>
      <w:marTop w:val="0"/>
      <w:marBottom w:val="0"/>
      <w:divBdr>
        <w:top w:val="none" w:sz="0" w:space="0" w:color="auto"/>
        <w:left w:val="none" w:sz="0" w:space="0" w:color="auto"/>
        <w:bottom w:val="none" w:sz="0" w:space="0" w:color="auto"/>
        <w:right w:val="none" w:sz="0" w:space="0" w:color="auto"/>
      </w:divBdr>
    </w:div>
    <w:div w:id="737441525">
      <w:bodyDiv w:val="1"/>
      <w:marLeft w:val="0"/>
      <w:marRight w:val="0"/>
      <w:marTop w:val="0"/>
      <w:marBottom w:val="0"/>
      <w:divBdr>
        <w:top w:val="none" w:sz="0" w:space="0" w:color="auto"/>
        <w:left w:val="none" w:sz="0" w:space="0" w:color="auto"/>
        <w:bottom w:val="none" w:sz="0" w:space="0" w:color="auto"/>
        <w:right w:val="none" w:sz="0" w:space="0" w:color="auto"/>
      </w:divBdr>
    </w:div>
    <w:div w:id="751200497">
      <w:bodyDiv w:val="1"/>
      <w:marLeft w:val="0"/>
      <w:marRight w:val="0"/>
      <w:marTop w:val="0"/>
      <w:marBottom w:val="0"/>
      <w:divBdr>
        <w:top w:val="none" w:sz="0" w:space="0" w:color="auto"/>
        <w:left w:val="none" w:sz="0" w:space="0" w:color="auto"/>
        <w:bottom w:val="none" w:sz="0" w:space="0" w:color="auto"/>
        <w:right w:val="none" w:sz="0" w:space="0" w:color="auto"/>
      </w:divBdr>
    </w:div>
    <w:div w:id="753163380">
      <w:bodyDiv w:val="1"/>
      <w:marLeft w:val="0"/>
      <w:marRight w:val="0"/>
      <w:marTop w:val="0"/>
      <w:marBottom w:val="0"/>
      <w:divBdr>
        <w:top w:val="none" w:sz="0" w:space="0" w:color="auto"/>
        <w:left w:val="none" w:sz="0" w:space="0" w:color="auto"/>
        <w:bottom w:val="none" w:sz="0" w:space="0" w:color="auto"/>
        <w:right w:val="none" w:sz="0" w:space="0" w:color="auto"/>
      </w:divBdr>
    </w:div>
    <w:div w:id="754592011">
      <w:bodyDiv w:val="1"/>
      <w:marLeft w:val="0"/>
      <w:marRight w:val="0"/>
      <w:marTop w:val="0"/>
      <w:marBottom w:val="0"/>
      <w:divBdr>
        <w:top w:val="none" w:sz="0" w:space="0" w:color="auto"/>
        <w:left w:val="none" w:sz="0" w:space="0" w:color="auto"/>
        <w:bottom w:val="none" w:sz="0" w:space="0" w:color="auto"/>
        <w:right w:val="none" w:sz="0" w:space="0" w:color="auto"/>
      </w:divBdr>
    </w:div>
    <w:div w:id="759446075">
      <w:bodyDiv w:val="1"/>
      <w:marLeft w:val="0"/>
      <w:marRight w:val="0"/>
      <w:marTop w:val="0"/>
      <w:marBottom w:val="0"/>
      <w:divBdr>
        <w:top w:val="none" w:sz="0" w:space="0" w:color="auto"/>
        <w:left w:val="none" w:sz="0" w:space="0" w:color="auto"/>
        <w:bottom w:val="none" w:sz="0" w:space="0" w:color="auto"/>
        <w:right w:val="none" w:sz="0" w:space="0" w:color="auto"/>
      </w:divBdr>
    </w:div>
    <w:div w:id="763384083">
      <w:bodyDiv w:val="1"/>
      <w:marLeft w:val="0"/>
      <w:marRight w:val="0"/>
      <w:marTop w:val="0"/>
      <w:marBottom w:val="0"/>
      <w:divBdr>
        <w:top w:val="none" w:sz="0" w:space="0" w:color="auto"/>
        <w:left w:val="none" w:sz="0" w:space="0" w:color="auto"/>
        <w:bottom w:val="none" w:sz="0" w:space="0" w:color="auto"/>
        <w:right w:val="none" w:sz="0" w:space="0" w:color="auto"/>
      </w:divBdr>
    </w:div>
    <w:div w:id="765492331">
      <w:bodyDiv w:val="1"/>
      <w:marLeft w:val="0"/>
      <w:marRight w:val="0"/>
      <w:marTop w:val="0"/>
      <w:marBottom w:val="0"/>
      <w:divBdr>
        <w:top w:val="none" w:sz="0" w:space="0" w:color="auto"/>
        <w:left w:val="none" w:sz="0" w:space="0" w:color="auto"/>
        <w:bottom w:val="none" w:sz="0" w:space="0" w:color="auto"/>
        <w:right w:val="none" w:sz="0" w:space="0" w:color="auto"/>
      </w:divBdr>
    </w:div>
    <w:div w:id="766510488">
      <w:bodyDiv w:val="1"/>
      <w:marLeft w:val="0"/>
      <w:marRight w:val="0"/>
      <w:marTop w:val="0"/>
      <w:marBottom w:val="0"/>
      <w:divBdr>
        <w:top w:val="none" w:sz="0" w:space="0" w:color="auto"/>
        <w:left w:val="none" w:sz="0" w:space="0" w:color="auto"/>
        <w:bottom w:val="none" w:sz="0" w:space="0" w:color="auto"/>
        <w:right w:val="none" w:sz="0" w:space="0" w:color="auto"/>
      </w:divBdr>
    </w:div>
    <w:div w:id="778524925">
      <w:bodyDiv w:val="1"/>
      <w:marLeft w:val="0"/>
      <w:marRight w:val="0"/>
      <w:marTop w:val="0"/>
      <w:marBottom w:val="0"/>
      <w:divBdr>
        <w:top w:val="none" w:sz="0" w:space="0" w:color="auto"/>
        <w:left w:val="none" w:sz="0" w:space="0" w:color="auto"/>
        <w:bottom w:val="none" w:sz="0" w:space="0" w:color="auto"/>
        <w:right w:val="none" w:sz="0" w:space="0" w:color="auto"/>
      </w:divBdr>
    </w:div>
    <w:div w:id="792213975">
      <w:bodyDiv w:val="1"/>
      <w:marLeft w:val="0"/>
      <w:marRight w:val="0"/>
      <w:marTop w:val="0"/>
      <w:marBottom w:val="0"/>
      <w:divBdr>
        <w:top w:val="none" w:sz="0" w:space="0" w:color="auto"/>
        <w:left w:val="none" w:sz="0" w:space="0" w:color="auto"/>
        <w:bottom w:val="none" w:sz="0" w:space="0" w:color="auto"/>
        <w:right w:val="none" w:sz="0" w:space="0" w:color="auto"/>
      </w:divBdr>
    </w:div>
    <w:div w:id="802816664">
      <w:bodyDiv w:val="1"/>
      <w:marLeft w:val="0"/>
      <w:marRight w:val="0"/>
      <w:marTop w:val="0"/>
      <w:marBottom w:val="0"/>
      <w:divBdr>
        <w:top w:val="none" w:sz="0" w:space="0" w:color="auto"/>
        <w:left w:val="none" w:sz="0" w:space="0" w:color="auto"/>
        <w:bottom w:val="none" w:sz="0" w:space="0" w:color="auto"/>
        <w:right w:val="none" w:sz="0" w:space="0" w:color="auto"/>
      </w:divBdr>
    </w:div>
    <w:div w:id="808205914">
      <w:bodyDiv w:val="1"/>
      <w:marLeft w:val="0"/>
      <w:marRight w:val="0"/>
      <w:marTop w:val="0"/>
      <w:marBottom w:val="0"/>
      <w:divBdr>
        <w:top w:val="none" w:sz="0" w:space="0" w:color="auto"/>
        <w:left w:val="none" w:sz="0" w:space="0" w:color="auto"/>
        <w:bottom w:val="none" w:sz="0" w:space="0" w:color="auto"/>
        <w:right w:val="none" w:sz="0" w:space="0" w:color="auto"/>
      </w:divBdr>
    </w:div>
    <w:div w:id="819032567">
      <w:bodyDiv w:val="1"/>
      <w:marLeft w:val="0"/>
      <w:marRight w:val="0"/>
      <w:marTop w:val="0"/>
      <w:marBottom w:val="0"/>
      <w:divBdr>
        <w:top w:val="none" w:sz="0" w:space="0" w:color="auto"/>
        <w:left w:val="none" w:sz="0" w:space="0" w:color="auto"/>
        <w:bottom w:val="none" w:sz="0" w:space="0" w:color="auto"/>
        <w:right w:val="none" w:sz="0" w:space="0" w:color="auto"/>
      </w:divBdr>
    </w:div>
    <w:div w:id="820391692">
      <w:bodyDiv w:val="1"/>
      <w:marLeft w:val="0"/>
      <w:marRight w:val="0"/>
      <w:marTop w:val="0"/>
      <w:marBottom w:val="0"/>
      <w:divBdr>
        <w:top w:val="none" w:sz="0" w:space="0" w:color="auto"/>
        <w:left w:val="none" w:sz="0" w:space="0" w:color="auto"/>
        <w:bottom w:val="none" w:sz="0" w:space="0" w:color="auto"/>
        <w:right w:val="none" w:sz="0" w:space="0" w:color="auto"/>
      </w:divBdr>
    </w:div>
    <w:div w:id="820969692">
      <w:bodyDiv w:val="1"/>
      <w:marLeft w:val="0"/>
      <w:marRight w:val="0"/>
      <w:marTop w:val="0"/>
      <w:marBottom w:val="0"/>
      <w:divBdr>
        <w:top w:val="none" w:sz="0" w:space="0" w:color="auto"/>
        <w:left w:val="none" w:sz="0" w:space="0" w:color="auto"/>
        <w:bottom w:val="none" w:sz="0" w:space="0" w:color="auto"/>
        <w:right w:val="none" w:sz="0" w:space="0" w:color="auto"/>
      </w:divBdr>
    </w:div>
    <w:div w:id="826167982">
      <w:bodyDiv w:val="1"/>
      <w:marLeft w:val="0"/>
      <w:marRight w:val="0"/>
      <w:marTop w:val="0"/>
      <w:marBottom w:val="0"/>
      <w:divBdr>
        <w:top w:val="none" w:sz="0" w:space="0" w:color="auto"/>
        <w:left w:val="none" w:sz="0" w:space="0" w:color="auto"/>
        <w:bottom w:val="none" w:sz="0" w:space="0" w:color="auto"/>
        <w:right w:val="none" w:sz="0" w:space="0" w:color="auto"/>
      </w:divBdr>
    </w:div>
    <w:div w:id="829180532">
      <w:bodyDiv w:val="1"/>
      <w:marLeft w:val="0"/>
      <w:marRight w:val="0"/>
      <w:marTop w:val="0"/>
      <w:marBottom w:val="0"/>
      <w:divBdr>
        <w:top w:val="none" w:sz="0" w:space="0" w:color="auto"/>
        <w:left w:val="none" w:sz="0" w:space="0" w:color="auto"/>
        <w:bottom w:val="none" w:sz="0" w:space="0" w:color="auto"/>
        <w:right w:val="none" w:sz="0" w:space="0" w:color="auto"/>
      </w:divBdr>
    </w:div>
    <w:div w:id="840848295">
      <w:bodyDiv w:val="1"/>
      <w:marLeft w:val="0"/>
      <w:marRight w:val="0"/>
      <w:marTop w:val="0"/>
      <w:marBottom w:val="0"/>
      <w:divBdr>
        <w:top w:val="none" w:sz="0" w:space="0" w:color="auto"/>
        <w:left w:val="none" w:sz="0" w:space="0" w:color="auto"/>
        <w:bottom w:val="none" w:sz="0" w:space="0" w:color="auto"/>
        <w:right w:val="none" w:sz="0" w:space="0" w:color="auto"/>
      </w:divBdr>
    </w:div>
    <w:div w:id="853571894">
      <w:bodyDiv w:val="1"/>
      <w:marLeft w:val="0"/>
      <w:marRight w:val="0"/>
      <w:marTop w:val="0"/>
      <w:marBottom w:val="0"/>
      <w:divBdr>
        <w:top w:val="none" w:sz="0" w:space="0" w:color="auto"/>
        <w:left w:val="none" w:sz="0" w:space="0" w:color="auto"/>
        <w:bottom w:val="none" w:sz="0" w:space="0" w:color="auto"/>
        <w:right w:val="none" w:sz="0" w:space="0" w:color="auto"/>
      </w:divBdr>
    </w:div>
    <w:div w:id="869294130">
      <w:bodyDiv w:val="1"/>
      <w:marLeft w:val="0"/>
      <w:marRight w:val="0"/>
      <w:marTop w:val="0"/>
      <w:marBottom w:val="0"/>
      <w:divBdr>
        <w:top w:val="none" w:sz="0" w:space="0" w:color="auto"/>
        <w:left w:val="none" w:sz="0" w:space="0" w:color="auto"/>
        <w:bottom w:val="none" w:sz="0" w:space="0" w:color="auto"/>
        <w:right w:val="none" w:sz="0" w:space="0" w:color="auto"/>
      </w:divBdr>
    </w:div>
    <w:div w:id="875460774">
      <w:bodyDiv w:val="1"/>
      <w:marLeft w:val="0"/>
      <w:marRight w:val="0"/>
      <w:marTop w:val="0"/>
      <w:marBottom w:val="0"/>
      <w:divBdr>
        <w:top w:val="none" w:sz="0" w:space="0" w:color="auto"/>
        <w:left w:val="none" w:sz="0" w:space="0" w:color="auto"/>
        <w:bottom w:val="none" w:sz="0" w:space="0" w:color="auto"/>
        <w:right w:val="none" w:sz="0" w:space="0" w:color="auto"/>
      </w:divBdr>
    </w:div>
    <w:div w:id="881792650">
      <w:bodyDiv w:val="1"/>
      <w:marLeft w:val="0"/>
      <w:marRight w:val="0"/>
      <w:marTop w:val="0"/>
      <w:marBottom w:val="0"/>
      <w:divBdr>
        <w:top w:val="none" w:sz="0" w:space="0" w:color="auto"/>
        <w:left w:val="none" w:sz="0" w:space="0" w:color="auto"/>
        <w:bottom w:val="none" w:sz="0" w:space="0" w:color="auto"/>
        <w:right w:val="none" w:sz="0" w:space="0" w:color="auto"/>
      </w:divBdr>
    </w:div>
    <w:div w:id="883828711">
      <w:bodyDiv w:val="1"/>
      <w:marLeft w:val="0"/>
      <w:marRight w:val="0"/>
      <w:marTop w:val="0"/>
      <w:marBottom w:val="0"/>
      <w:divBdr>
        <w:top w:val="none" w:sz="0" w:space="0" w:color="auto"/>
        <w:left w:val="none" w:sz="0" w:space="0" w:color="auto"/>
        <w:bottom w:val="none" w:sz="0" w:space="0" w:color="auto"/>
        <w:right w:val="none" w:sz="0" w:space="0" w:color="auto"/>
      </w:divBdr>
    </w:div>
    <w:div w:id="892353569">
      <w:bodyDiv w:val="1"/>
      <w:marLeft w:val="0"/>
      <w:marRight w:val="0"/>
      <w:marTop w:val="0"/>
      <w:marBottom w:val="0"/>
      <w:divBdr>
        <w:top w:val="none" w:sz="0" w:space="0" w:color="auto"/>
        <w:left w:val="none" w:sz="0" w:space="0" w:color="auto"/>
        <w:bottom w:val="none" w:sz="0" w:space="0" w:color="auto"/>
        <w:right w:val="none" w:sz="0" w:space="0" w:color="auto"/>
      </w:divBdr>
    </w:div>
    <w:div w:id="941648636">
      <w:bodyDiv w:val="1"/>
      <w:marLeft w:val="0"/>
      <w:marRight w:val="0"/>
      <w:marTop w:val="0"/>
      <w:marBottom w:val="0"/>
      <w:divBdr>
        <w:top w:val="none" w:sz="0" w:space="0" w:color="auto"/>
        <w:left w:val="none" w:sz="0" w:space="0" w:color="auto"/>
        <w:bottom w:val="none" w:sz="0" w:space="0" w:color="auto"/>
        <w:right w:val="none" w:sz="0" w:space="0" w:color="auto"/>
      </w:divBdr>
    </w:div>
    <w:div w:id="959845092">
      <w:bodyDiv w:val="1"/>
      <w:marLeft w:val="0"/>
      <w:marRight w:val="0"/>
      <w:marTop w:val="0"/>
      <w:marBottom w:val="0"/>
      <w:divBdr>
        <w:top w:val="none" w:sz="0" w:space="0" w:color="auto"/>
        <w:left w:val="none" w:sz="0" w:space="0" w:color="auto"/>
        <w:bottom w:val="none" w:sz="0" w:space="0" w:color="auto"/>
        <w:right w:val="none" w:sz="0" w:space="0" w:color="auto"/>
      </w:divBdr>
    </w:div>
    <w:div w:id="960040040">
      <w:bodyDiv w:val="1"/>
      <w:marLeft w:val="0"/>
      <w:marRight w:val="0"/>
      <w:marTop w:val="0"/>
      <w:marBottom w:val="0"/>
      <w:divBdr>
        <w:top w:val="none" w:sz="0" w:space="0" w:color="auto"/>
        <w:left w:val="none" w:sz="0" w:space="0" w:color="auto"/>
        <w:bottom w:val="none" w:sz="0" w:space="0" w:color="auto"/>
        <w:right w:val="none" w:sz="0" w:space="0" w:color="auto"/>
      </w:divBdr>
    </w:div>
    <w:div w:id="964383461">
      <w:bodyDiv w:val="1"/>
      <w:marLeft w:val="0"/>
      <w:marRight w:val="0"/>
      <w:marTop w:val="0"/>
      <w:marBottom w:val="0"/>
      <w:divBdr>
        <w:top w:val="none" w:sz="0" w:space="0" w:color="auto"/>
        <w:left w:val="none" w:sz="0" w:space="0" w:color="auto"/>
        <w:bottom w:val="none" w:sz="0" w:space="0" w:color="auto"/>
        <w:right w:val="none" w:sz="0" w:space="0" w:color="auto"/>
      </w:divBdr>
    </w:div>
    <w:div w:id="969558009">
      <w:bodyDiv w:val="1"/>
      <w:marLeft w:val="0"/>
      <w:marRight w:val="0"/>
      <w:marTop w:val="0"/>
      <w:marBottom w:val="0"/>
      <w:divBdr>
        <w:top w:val="none" w:sz="0" w:space="0" w:color="auto"/>
        <w:left w:val="none" w:sz="0" w:space="0" w:color="auto"/>
        <w:bottom w:val="none" w:sz="0" w:space="0" w:color="auto"/>
        <w:right w:val="none" w:sz="0" w:space="0" w:color="auto"/>
      </w:divBdr>
    </w:div>
    <w:div w:id="975836803">
      <w:bodyDiv w:val="1"/>
      <w:marLeft w:val="0"/>
      <w:marRight w:val="0"/>
      <w:marTop w:val="0"/>
      <w:marBottom w:val="0"/>
      <w:divBdr>
        <w:top w:val="none" w:sz="0" w:space="0" w:color="auto"/>
        <w:left w:val="none" w:sz="0" w:space="0" w:color="auto"/>
        <w:bottom w:val="none" w:sz="0" w:space="0" w:color="auto"/>
        <w:right w:val="none" w:sz="0" w:space="0" w:color="auto"/>
      </w:divBdr>
      <w:divsChild>
        <w:div w:id="488713842">
          <w:marLeft w:val="0"/>
          <w:marRight w:val="0"/>
          <w:marTop w:val="0"/>
          <w:marBottom w:val="0"/>
          <w:divBdr>
            <w:top w:val="none" w:sz="0" w:space="0" w:color="auto"/>
            <w:left w:val="none" w:sz="0" w:space="0" w:color="auto"/>
            <w:bottom w:val="none" w:sz="0" w:space="0" w:color="auto"/>
            <w:right w:val="none" w:sz="0" w:space="0" w:color="auto"/>
          </w:divBdr>
        </w:div>
        <w:div w:id="1646396325">
          <w:marLeft w:val="0"/>
          <w:marRight w:val="0"/>
          <w:marTop w:val="0"/>
          <w:marBottom w:val="0"/>
          <w:divBdr>
            <w:top w:val="none" w:sz="0" w:space="0" w:color="auto"/>
            <w:left w:val="none" w:sz="0" w:space="0" w:color="auto"/>
            <w:bottom w:val="none" w:sz="0" w:space="0" w:color="auto"/>
            <w:right w:val="none" w:sz="0" w:space="0" w:color="auto"/>
          </w:divBdr>
        </w:div>
        <w:div w:id="1201212267">
          <w:marLeft w:val="0"/>
          <w:marRight w:val="0"/>
          <w:marTop w:val="0"/>
          <w:marBottom w:val="0"/>
          <w:divBdr>
            <w:top w:val="none" w:sz="0" w:space="0" w:color="auto"/>
            <w:left w:val="none" w:sz="0" w:space="0" w:color="auto"/>
            <w:bottom w:val="none" w:sz="0" w:space="0" w:color="auto"/>
            <w:right w:val="none" w:sz="0" w:space="0" w:color="auto"/>
          </w:divBdr>
        </w:div>
        <w:div w:id="393772464">
          <w:marLeft w:val="0"/>
          <w:marRight w:val="0"/>
          <w:marTop w:val="0"/>
          <w:marBottom w:val="0"/>
          <w:divBdr>
            <w:top w:val="none" w:sz="0" w:space="0" w:color="auto"/>
            <w:left w:val="none" w:sz="0" w:space="0" w:color="auto"/>
            <w:bottom w:val="none" w:sz="0" w:space="0" w:color="auto"/>
            <w:right w:val="none" w:sz="0" w:space="0" w:color="auto"/>
          </w:divBdr>
        </w:div>
        <w:div w:id="134493291">
          <w:marLeft w:val="0"/>
          <w:marRight w:val="0"/>
          <w:marTop w:val="0"/>
          <w:marBottom w:val="0"/>
          <w:divBdr>
            <w:top w:val="none" w:sz="0" w:space="0" w:color="auto"/>
            <w:left w:val="none" w:sz="0" w:space="0" w:color="auto"/>
            <w:bottom w:val="none" w:sz="0" w:space="0" w:color="auto"/>
            <w:right w:val="none" w:sz="0" w:space="0" w:color="auto"/>
          </w:divBdr>
        </w:div>
        <w:div w:id="2076002197">
          <w:marLeft w:val="0"/>
          <w:marRight w:val="0"/>
          <w:marTop w:val="0"/>
          <w:marBottom w:val="0"/>
          <w:divBdr>
            <w:top w:val="none" w:sz="0" w:space="0" w:color="auto"/>
            <w:left w:val="none" w:sz="0" w:space="0" w:color="auto"/>
            <w:bottom w:val="none" w:sz="0" w:space="0" w:color="auto"/>
            <w:right w:val="none" w:sz="0" w:space="0" w:color="auto"/>
          </w:divBdr>
        </w:div>
        <w:div w:id="1097361970">
          <w:marLeft w:val="0"/>
          <w:marRight w:val="0"/>
          <w:marTop w:val="0"/>
          <w:marBottom w:val="0"/>
          <w:divBdr>
            <w:top w:val="none" w:sz="0" w:space="0" w:color="auto"/>
            <w:left w:val="none" w:sz="0" w:space="0" w:color="auto"/>
            <w:bottom w:val="none" w:sz="0" w:space="0" w:color="auto"/>
            <w:right w:val="none" w:sz="0" w:space="0" w:color="auto"/>
          </w:divBdr>
        </w:div>
        <w:div w:id="453672586">
          <w:marLeft w:val="0"/>
          <w:marRight w:val="0"/>
          <w:marTop w:val="0"/>
          <w:marBottom w:val="0"/>
          <w:divBdr>
            <w:top w:val="none" w:sz="0" w:space="0" w:color="auto"/>
            <w:left w:val="none" w:sz="0" w:space="0" w:color="auto"/>
            <w:bottom w:val="none" w:sz="0" w:space="0" w:color="auto"/>
            <w:right w:val="none" w:sz="0" w:space="0" w:color="auto"/>
          </w:divBdr>
        </w:div>
        <w:div w:id="798037619">
          <w:marLeft w:val="0"/>
          <w:marRight w:val="0"/>
          <w:marTop w:val="0"/>
          <w:marBottom w:val="0"/>
          <w:divBdr>
            <w:top w:val="none" w:sz="0" w:space="0" w:color="auto"/>
            <w:left w:val="none" w:sz="0" w:space="0" w:color="auto"/>
            <w:bottom w:val="none" w:sz="0" w:space="0" w:color="auto"/>
            <w:right w:val="none" w:sz="0" w:space="0" w:color="auto"/>
          </w:divBdr>
        </w:div>
      </w:divsChild>
    </w:div>
    <w:div w:id="982852402">
      <w:bodyDiv w:val="1"/>
      <w:marLeft w:val="0"/>
      <w:marRight w:val="0"/>
      <w:marTop w:val="0"/>
      <w:marBottom w:val="0"/>
      <w:divBdr>
        <w:top w:val="none" w:sz="0" w:space="0" w:color="auto"/>
        <w:left w:val="none" w:sz="0" w:space="0" w:color="auto"/>
        <w:bottom w:val="none" w:sz="0" w:space="0" w:color="auto"/>
        <w:right w:val="none" w:sz="0" w:space="0" w:color="auto"/>
      </w:divBdr>
    </w:div>
    <w:div w:id="985011337">
      <w:bodyDiv w:val="1"/>
      <w:marLeft w:val="0"/>
      <w:marRight w:val="0"/>
      <w:marTop w:val="0"/>
      <w:marBottom w:val="0"/>
      <w:divBdr>
        <w:top w:val="none" w:sz="0" w:space="0" w:color="auto"/>
        <w:left w:val="none" w:sz="0" w:space="0" w:color="auto"/>
        <w:bottom w:val="none" w:sz="0" w:space="0" w:color="auto"/>
        <w:right w:val="none" w:sz="0" w:space="0" w:color="auto"/>
      </w:divBdr>
    </w:div>
    <w:div w:id="989165059">
      <w:bodyDiv w:val="1"/>
      <w:marLeft w:val="0"/>
      <w:marRight w:val="0"/>
      <w:marTop w:val="0"/>
      <w:marBottom w:val="0"/>
      <w:divBdr>
        <w:top w:val="none" w:sz="0" w:space="0" w:color="auto"/>
        <w:left w:val="none" w:sz="0" w:space="0" w:color="auto"/>
        <w:bottom w:val="none" w:sz="0" w:space="0" w:color="auto"/>
        <w:right w:val="none" w:sz="0" w:space="0" w:color="auto"/>
      </w:divBdr>
    </w:div>
    <w:div w:id="991713337">
      <w:bodyDiv w:val="1"/>
      <w:marLeft w:val="0"/>
      <w:marRight w:val="0"/>
      <w:marTop w:val="0"/>
      <w:marBottom w:val="0"/>
      <w:divBdr>
        <w:top w:val="none" w:sz="0" w:space="0" w:color="auto"/>
        <w:left w:val="none" w:sz="0" w:space="0" w:color="auto"/>
        <w:bottom w:val="none" w:sz="0" w:space="0" w:color="auto"/>
        <w:right w:val="none" w:sz="0" w:space="0" w:color="auto"/>
      </w:divBdr>
    </w:div>
    <w:div w:id="1031147327">
      <w:bodyDiv w:val="1"/>
      <w:marLeft w:val="0"/>
      <w:marRight w:val="0"/>
      <w:marTop w:val="0"/>
      <w:marBottom w:val="0"/>
      <w:divBdr>
        <w:top w:val="none" w:sz="0" w:space="0" w:color="auto"/>
        <w:left w:val="none" w:sz="0" w:space="0" w:color="auto"/>
        <w:bottom w:val="none" w:sz="0" w:space="0" w:color="auto"/>
        <w:right w:val="none" w:sz="0" w:space="0" w:color="auto"/>
      </w:divBdr>
    </w:div>
    <w:div w:id="1036466968">
      <w:bodyDiv w:val="1"/>
      <w:marLeft w:val="0"/>
      <w:marRight w:val="0"/>
      <w:marTop w:val="0"/>
      <w:marBottom w:val="0"/>
      <w:divBdr>
        <w:top w:val="none" w:sz="0" w:space="0" w:color="auto"/>
        <w:left w:val="none" w:sz="0" w:space="0" w:color="auto"/>
        <w:bottom w:val="none" w:sz="0" w:space="0" w:color="auto"/>
        <w:right w:val="none" w:sz="0" w:space="0" w:color="auto"/>
      </w:divBdr>
    </w:div>
    <w:div w:id="1064059420">
      <w:bodyDiv w:val="1"/>
      <w:marLeft w:val="0"/>
      <w:marRight w:val="0"/>
      <w:marTop w:val="0"/>
      <w:marBottom w:val="0"/>
      <w:divBdr>
        <w:top w:val="none" w:sz="0" w:space="0" w:color="auto"/>
        <w:left w:val="none" w:sz="0" w:space="0" w:color="auto"/>
        <w:bottom w:val="none" w:sz="0" w:space="0" w:color="auto"/>
        <w:right w:val="none" w:sz="0" w:space="0" w:color="auto"/>
      </w:divBdr>
    </w:div>
    <w:div w:id="1071344948">
      <w:bodyDiv w:val="1"/>
      <w:marLeft w:val="0"/>
      <w:marRight w:val="0"/>
      <w:marTop w:val="0"/>
      <w:marBottom w:val="0"/>
      <w:divBdr>
        <w:top w:val="none" w:sz="0" w:space="0" w:color="auto"/>
        <w:left w:val="none" w:sz="0" w:space="0" w:color="auto"/>
        <w:bottom w:val="none" w:sz="0" w:space="0" w:color="auto"/>
        <w:right w:val="none" w:sz="0" w:space="0" w:color="auto"/>
      </w:divBdr>
    </w:div>
    <w:div w:id="1116363132">
      <w:bodyDiv w:val="1"/>
      <w:marLeft w:val="0"/>
      <w:marRight w:val="0"/>
      <w:marTop w:val="0"/>
      <w:marBottom w:val="0"/>
      <w:divBdr>
        <w:top w:val="none" w:sz="0" w:space="0" w:color="auto"/>
        <w:left w:val="none" w:sz="0" w:space="0" w:color="auto"/>
        <w:bottom w:val="none" w:sz="0" w:space="0" w:color="auto"/>
        <w:right w:val="none" w:sz="0" w:space="0" w:color="auto"/>
      </w:divBdr>
    </w:div>
    <w:div w:id="1138692113">
      <w:bodyDiv w:val="1"/>
      <w:marLeft w:val="0"/>
      <w:marRight w:val="0"/>
      <w:marTop w:val="0"/>
      <w:marBottom w:val="0"/>
      <w:divBdr>
        <w:top w:val="none" w:sz="0" w:space="0" w:color="auto"/>
        <w:left w:val="none" w:sz="0" w:space="0" w:color="auto"/>
        <w:bottom w:val="none" w:sz="0" w:space="0" w:color="auto"/>
        <w:right w:val="none" w:sz="0" w:space="0" w:color="auto"/>
      </w:divBdr>
    </w:div>
    <w:div w:id="1146556196">
      <w:bodyDiv w:val="1"/>
      <w:marLeft w:val="0"/>
      <w:marRight w:val="0"/>
      <w:marTop w:val="0"/>
      <w:marBottom w:val="0"/>
      <w:divBdr>
        <w:top w:val="none" w:sz="0" w:space="0" w:color="auto"/>
        <w:left w:val="none" w:sz="0" w:space="0" w:color="auto"/>
        <w:bottom w:val="none" w:sz="0" w:space="0" w:color="auto"/>
        <w:right w:val="none" w:sz="0" w:space="0" w:color="auto"/>
      </w:divBdr>
    </w:div>
    <w:div w:id="1159612918">
      <w:bodyDiv w:val="1"/>
      <w:marLeft w:val="0"/>
      <w:marRight w:val="0"/>
      <w:marTop w:val="0"/>
      <w:marBottom w:val="0"/>
      <w:divBdr>
        <w:top w:val="none" w:sz="0" w:space="0" w:color="auto"/>
        <w:left w:val="none" w:sz="0" w:space="0" w:color="auto"/>
        <w:bottom w:val="none" w:sz="0" w:space="0" w:color="auto"/>
        <w:right w:val="none" w:sz="0" w:space="0" w:color="auto"/>
      </w:divBdr>
    </w:div>
    <w:div w:id="1178278621">
      <w:bodyDiv w:val="1"/>
      <w:marLeft w:val="0"/>
      <w:marRight w:val="0"/>
      <w:marTop w:val="0"/>
      <w:marBottom w:val="0"/>
      <w:divBdr>
        <w:top w:val="none" w:sz="0" w:space="0" w:color="auto"/>
        <w:left w:val="none" w:sz="0" w:space="0" w:color="auto"/>
        <w:bottom w:val="none" w:sz="0" w:space="0" w:color="auto"/>
        <w:right w:val="none" w:sz="0" w:space="0" w:color="auto"/>
      </w:divBdr>
    </w:div>
    <w:div w:id="1190684718">
      <w:bodyDiv w:val="1"/>
      <w:marLeft w:val="0"/>
      <w:marRight w:val="0"/>
      <w:marTop w:val="0"/>
      <w:marBottom w:val="0"/>
      <w:divBdr>
        <w:top w:val="none" w:sz="0" w:space="0" w:color="auto"/>
        <w:left w:val="none" w:sz="0" w:space="0" w:color="auto"/>
        <w:bottom w:val="none" w:sz="0" w:space="0" w:color="auto"/>
        <w:right w:val="none" w:sz="0" w:space="0" w:color="auto"/>
      </w:divBdr>
    </w:div>
    <w:div w:id="1216429906">
      <w:bodyDiv w:val="1"/>
      <w:marLeft w:val="0"/>
      <w:marRight w:val="0"/>
      <w:marTop w:val="0"/>
      <w:marBottom w:val="0"/>
      <w:divBdr>
        <w:top w:val="none" w:sz="0" w:space="0" w:color="auto"/>
        <w:left w:val="none" w:sz="0" w:space="0" w:color="auto"/>
        <w:bottom w:val="none" w:sz="0" w:space="0" w:color="auto"/>
        <w:right w:val="none" w:sz="0" w:space="0" w:color="auto"/>
      </w:divBdr>
    </w:div>
    <w:div w:id="1221861519">
      <w:bodyDiv w:val="1"/>
      <w:marLeft w:val="0"/>
      <w:marRight w:val="0"/>
      <w:marTop w:val="0"/>
      <w:marBottom w:val="0"/>
      <w:divBdr>
        <w:top w:val="none" w:sz="0" w:space="0" w:color="auto"/>
        <w:left w:val="none" w:sz="0" w:space="0" w:color="auto"/>
        <w:bottom w:val="none" w:sz="0" w:space="0" w:color="auto"/>
        <w:right w:val="none" w:sz="0" w:space="0" w:color="auto"/>
      </w:divBdr>
    </w:div>
    <w:div w:id="1226985522">
      <w:bodyDiv w:val="1"/>
      <w:marLeft w:val="0"/>
      <w:marRight w:val="0"/>
      <w:marTop w:val="0"/>
      <w:marBottom w:val="0"/>
      <w:divBdr>
        <w:top w:val="none" w:sz="0" w:space="0" w:color="auto"/>
        <w:left w:val="none" w:sz="0" w:space="0" w:color="auto"/>
        <w:bottom w:val="none" w:sz="0" w:space="0" w:color="auto"/>
        <w:right w:val="none" w:sz="0" w:space="0" w:color="auto"/>
      </w:divBdr>
    </w:div>
    <w:div w:id="1231385634">
      <w:bodyDiv w:val="1"/>
      <w:marLeft w:val="0"/>
      <w:marRight w:val="0"/>
      <w:marTop w:val="0"/>
      <w:marBottom w:val="0"/>
      <w:divBdr>
        <w:top w:val="none" w:sz="0" w:space="0" w:color="auto"/>
        <w:left w:val="none" w:sz="0" w:space="0" w:color="auto"/>
        <w:bottom w:val="none" w:sz="0" w:space="0" w:color="auto"/>
        <w:right w:val="none" w:sz="0" w:space="0" w:color="auto"/>
      </w:divBdr>
    </w:div>
    <w:div w:id="1264605323">
      <w:bodyDiv w:val="1"/>
      <w:marLeft w:val="0"/>
      <w:marRight w:val="0"/>
      <w:marTop w:val="0"/>
      <w:marBottom w:val="0"/>
      <w:divBdr>
        <w:top w:val="none" w:sz="0" w:space="0" w:color="auto"/>
        <w:left w:val="none" w:sz="0" w:space="0" w:color="auto"/>
        <w:bottom w:val="none" w:sz="0" w:space="0" w:color="auto"/>
        <w:right w:val="none" w:sz="0" w:space="0" w:color="auto"/>
      </w:divBdr>
    </w:div>
    <w:div w:id="1275676847">
      <w:bodyDiv w:val="1"/>
      <w:marLeft w:val="0"/>
      <w:marRight w:val="0"/>
      <w:marTop w:val="0"/>
      <w:marBottom w:val="0"/>
      <w:divBdr>
        <w:top w:val="none" w:sz="0" w:space="0" w:color="auto"/>
        <w:left w:val="none" w:sz="0" w:space="0" w:color="auto"/>
        <w:bottom w:val="none" w:sz="0" w:space="0" w:color="auto"/>
        <w:right w:val="none" w:sz="0" w:space="0" w:color="auto"/>
      </w:divBdr>
    </w:div>
    <w:div w:id="1346786408">
      <w:bodyDiv w:val="1"/>
      <w:marLeft w:val="0"/>
      <w:marRight w:val="0"/>
      <w:marTop w:val="0"/>
      <w:marBottom w:val="0"/>
      <w:divBdr>
        <w:top w:val="none" w:sz="0" w:space="0" w:color="auto"/>
        <w:left w:val="none" w:sz="0" w:space="0" w:color="auto"/>
        <w:bottom w:val="none" w:sz="0" w:space="0" w:color="auto"/>
        <w:right w:val="none" w:sz="0" w:space="0" w:color="auto"/>
      </w:divBdr>
    </w:div>
    <w:div w:id="1349866578">
      <w:bodyDiv w:val="1"/>
      <w:marLeft w:val="0"/>
      <w:marRight w:val="0"/>
      <w:marTop w:val="0"/>
      <w:marBottom w:val="0"/>
      <w:divBdr>
        <w:top w:val="none" w:sz="0" w:space="0" w:color="auto"/>
        <w:left w:val="none" w:sz="0" w:space="0" w:color="auto"/>
        <w:bottom w:val="none" w:sz="0" w:space="0" w:color="auto"/>
        <w:right w:val="none" w:sz="0" w:space="0" w:color="auto"/>
      </w:divBdr>
    </w:div>
    <w:div w:id="1357659246">
      <w:bodyDiv w:val="1"/>
      <w:marLeft w:val="0"/>
      <w:marRight w:val="0"/>
      <w:marTop w:val="0"/>
      <w:marBottom w:val="0"/>
      <w:divBdr>
        <w:top w:val="none" w:sz="0" w:space="0" w:color="auto"/>
        <w:left w:val="none" w:sz="0" w:space="0" w:color="auto"/>
        <w:bottom w:val="none" w:sz="0" w:space="0" w:color="auto"/>
        <w:right w:val="none" w:sz="0" w:space="0" w:color="auto"/>
      </w:divBdr>
    </w:div>
    <w:div w:id="1363483294">
      <w:bodyDiv w:val="1"/>
      <w:marLeft w:val="0"/>
      <w:marRight w:val="0"/>
      <w:marTop w:val="0"/>
      <w:marBottom w:val="0"/>
      <w:divBdr>
        <w:top w:val="none" w:sz="0" w:space="0" w:color="auto"/>
        <w:left w:val="none" w:sz="0" w:space="0" w:color="auto"/>
        <w:bottom w:val="none" w:sz="0" w:space="0" w:color="auto"/>
        <w:right w:val="none" w:sz="0" w:space="0" w:color="auto"/>
      </w:divBdr>
    </w:div>
    <w:div w:id="1365866427">
      <w:bodyDiv w:val="1"/>
      <w:marLeft w:val="0"/>
      <w:marRight w:val="0"/>
      <w:marTop w:val="0"/>
      <w:marBottom w:val="0"/>
      <w:divBdr>
        <w:top w:val="none" w:sz="0" w:space="0" w:color="auto"/>
        <w:left w:val="none" w:sz="0" w:space="0" w:color="auto"/>
        <w:bottom w:val="none" w:sz="0" w:space="0" w:color="auto"/>
        <w:right w:val="none" w:sz="0" w:space="0" w:color="auto"/>
      </w:divBdr>
    </w:div>
    <w:div w:id="1378435374">
      <w:bodyDiv w:val="1"/>
      <w:marLeft w:val="0"/>
      <w:marRight w:val="0"/>
      <w:marTop w:val="0"/>
      <w:marBottom w:val="0"/>
      <w:divBdr>
        <w:top w:val="none" w:sz="0" w:space="0" w:color="auto"/>
        <w:left w:val="none" w:sz="0" w:space="0" w:color="auto"/>
        <w:bottom w:val="none" w:sz="0" w:space="0" w:color="auto"/>
        <w:right w:val="none" w:sz="0" w:space="0" w:color="auto"/>
      </w:divBdr>
    </w:div>
    <w:div w:id="1382754476">
      <w:bodyDiv w:val="1"/>
      <w:marLeft w:val="0"/>
      <w:marRight w:val="0"/>
      <w:marTop w:val="0"/>
      <w:marBottom w:val="0"/>
      <w:divBdr>
        <w:top w:val="none" w:sz="0" w:space="0" w:color="auto"/>
        <w:left w:val="none" w:sz="0" w:space="0" w:color="auto"/>
        <w:bottom w:val="none" w:sz="0" w:space="0" w:color="auto"/>
        <w:right w:val="none" w:sz="0" w:space="0" w:color="auto"/>
      </w:divBdr>
    </w:div>
    <w:div w:id="1411346624">
      <w:bodyDiv w:val="1"/>
      <w:marLeft w:val="0"/>
      <w:marRight w:val="0"/>
      <w:marTop w:val="0"/>
      <w:marBottom w:val="0"/>
      <w:divBdr>
        <w:top w:val="none" w:sz="0" w:space="0" w:color="auto"/>
        <w:left w:val="none" w:sz="0" w:space="0" w:color="auto"/>
        <w:bottom w:val="none" w:sz="0" w:space="0" w:color="auto"/>
        <w:right w:val="none" w:sz="0" w:space="0" w:color="auto"/>
      </w:divBdr>
    </w:div>
    <w:div w:id="1415125038">
      <w:bodyDiv w:val="1"/>
      <w:marLeft w:val="0"/>
      <w:marRight w:val="0"/>
      <w:marTop w:val="0"/>
      <w:marBottom w:val="0"/>
      <w:divBdr>
        <w:top w:val="none" w:sz="0" w:space="0" w:color="auto"/>
        <w:left w:val="none" w:sz="0" w:space="0" w:color="auto"/>
        <w:bottom w:val="none" w:sz="0" w:space="0" w:color="auto"/>
        <w:right w:val="none" w:sz="0" w:space="0" w:color="auto"/>
      </w:divBdr>
    </w:div>
    <w:div w:id="1436557395">
      <w:bodyDiv w:val="1"/>
      <w:marLeft w:val="0"/>
      <w:marRight w:val="0"/>
      <w:marTop w:val="0"/>
      <w:marBottom w:val="0"/>
      <w:divBdr>
        <w:top w:val="none" w:sz="0" w:space="0" w:color="auto"/>
        <w:left w:val="none" w:sz="0" w:space="0" w:color="auto"/>
        <w:bottom w:val="none" w:sz="0" w:space="0" w:color="auto"/>
        <w:right w:val="none" w:sz="0" w:space="0" w:color="auto"/>
      </w:divBdr>
    </w:div>
    <w:div w:id="1458525661">
      <w:bodyDiv w:val="1"/>
      <w:marLeft w:val="0"/>
      <w:marRight w:val="0"/>
      <w:marTop w:val="0"/>
      <w:marBottom w:val="0"/>
      <w:divBdr>
        <w:top w:val="none" w:sz="0" w:space="0" w:color="auto"/>
        <w:left w:val="none" w:sz="0" w:space="0" w:color="auto"/>
        <w:bottom w:val="none" w:sz="0" w:space="0" w:color="auto"/>
        <w:right w:val="none" w:sz="0" w:space="0" w:color="auto"/>
      </w:divBdr>
    </w:div>
    <w:div w:id="1465926590">
      <w:bodyDiv w:val="1"/>
      <w:marLeft w:val="0"/>
      <w:marRight w:val="0"/>
      <w:marTop w:val="0"/>
      <w:marBottom w:val="0"/>
      <w:divBdr>
        <w:top w:val="none" w:sz="0" w:space="0" w:color="auto"/>
        <w:left w:val="none" w:sz="0" w:space="0" w:color="auto"/>
        <w:bottom w:val="none" w:sz="0" w:space="0" w:color="auto"/>
        <w:right w:val="none" w:sz="0" w:space="0" w:color="auto"/>
      </w:divBdr>
    </w:div>
    <w:div w:id="1471897547">
      <w:bodyDiv w:val="1"/>
      <w:marLeft w:val="0"/>
      <w:marRight w:val="0"/>
      <w:marTop w:val="0"/>
      <w:marBottom w:val="0"/>
      <w:divBdr>
        <w:top w:val="none" w:sz="0" w:space="0" w:color="auto"/>
        <w:left w:val="none" w:sz="0" w:space="0" w:color="auto"/>
        <w:bottom w:val="none" w:sz="0" w:space="0" w:color="auto"/>
        <w:right w:val="none" w:sz="0" w:space="0" w:color="auto"/>
      </w:divBdr>
    </w:div>
    <w:div w:id="1482965755">
      <w:bodyDiv w:val="1"/>
      <w:marLeft w:val="0"/>
      <w:marRight w:val="0"/>
      <w:marTop w:val="0"/>
      <w:marBottom w:val="0"/>
      <w:divBdr>
        <w:top w:val="none" w:sz="0" w:space="0" w:color="auto"/>
        <w:left w:val="none" w:sz="0" w:space="0" w:color="auto"/>
        <w:bottom w:val="none" w:sz="0" w:space="0" w:color="auto"/>
        <w:right w:val="none" w:sz="0" w:space="0" w:color="auto"/>
      </w:divBdr>
    </w:div>
    <w:div w:id="1500271825">
      <w:bodyDiv w:val="1"/>
      <w:marLeft w:val="0"/>
      <w:marRight w:val="0"/>
      <w:marTop w:val="0"/>
      <w:marBottom w:val="0"/>
      <w:divBdr>
        <w:top w:val="none" w:sz="0" w:space="0" w:color="auto"/>
        <w:left w:val="none" w:sz="0" w:space="0" w:color="auto"/>
        <w:bottom w:val="none" w:sz="0" w:space="0" w:color="auto"/>
        <w:right w:val="none" w:sz="0" w:space="0" w:color="auto"/>
      </w:divBdr>
    </w:div>
    <w:div w:id="1504976314">
      <w:bodyDiv w:val="1"/>
      <w:marLeft w:val="0"/>
      <w:marRight w:val="0"/>
      <w:marTop w:val="0"/>
      <w:marBottom w:val="0"/>
      <w:divBdr>
        <w:top w:val="none" w:sz="0" w:space="0" w:color="auto"/>
        <w:left w:val="none" w:sz="0" w:space="0" w:color="auto"/>
        <w:bottom w:val="none" w:sz="0" w:space="0" w:color="auto"/>
        <w:right w:val="none" w:sz="0" w:space="0" w:color="auto"/>
      </w:divBdr>
    </w:div>
    <w:div w:id="1514103603">
      <w:bodyDiv w:val="1"/>
      <w:marLeft w:val="0"/>
      <w:marRight w:val="0"/>
      <w:marTop w:val="0"/>
      <w:marBottom w:val="0"/>
      <w:divBdr>
        <w:top w:val="none" w:sz="0" w:space="0" w:color="auto"/>
        <w:left w:val="none" w:sz="0" w:space="0" w:color="auto"/>
        <w:bottom w:val="none" w:sz="0" w:space="0" w:color="auto"/>
        <w:right w:val="none" w:sz="0" w:space="0" w:color="auto"/>
      </w:divBdr>
    </w:div>
    <w:div w:id="1516383491">
      <w:bodyDiv w:val="1"/>
      <w:marLeft w:val="0"/>
      <w:marRight w:val="0"/>
      <w:marTop w:val="0"/>
      <w:marBottom w:val="0"/>
      <w:divBdr>
        <w:top w:val="none" w:sz="0" w:space="0" w:color="auto"/>
        <w:left w:val="none" w:sz="0" w:space="0" w:color="auto"/>
        <w:bottom w:val="none" w:sz="0" w:space="0" w:color="auto"/>
        <w:right w:val="none" w:sz="0" w:space="0" w:color="auto"/>
      </w:divBdr>
    </w:div>
    <w:div w:id="1538616381">
      <w:bodyDiv w:val="1"/>
      <w:marLeft w:val="0"/>
      <w:marRight w:val="0"/>
      <w:marTop w:val="0"/>
      <w:marBottom w:val="0"/>
      <w:divBdr>
        <w:top w:val="none" w:sz="0" w:space="0" w:color="auto"/>
        <w:left w:val="none" w:sz="0" w:space="0" w:color="auto"/>
        <w:bottom w:val="none" w:sz="0" w:space="0" w:color="auto"/>
        <w:right w:val="none" w:sz="0" w:space="0" w:color="auto"/>
      </w:divBdr>
    </w:div>
    <w:div w:id="1542328956">
      <w:bodyDiv w:val="1"/>
      <w:marLeft w:val="0"/>
      <w:marRight w:val="0"/>
      <w:marTop w:val="0"/>
      <w:marBottom w:val="0"/>
      <w:divBdr>
        <w:top w:val="none" w:sz="0" w:space="0" w:color="auto"/>
        <w:left w:val="none" w:sz="0" w:space="0" w:color="auto"/>
        <w:bottom w:val="none" w:sz="0" w:space="0" w:color="auto"/>
        <w:right w:val="none" w:sz="0" w:space="0" w:color="auto"/>
      </w:divBdr>
    </w:div>
    <w:div w:id="1554612132">
      <w:bodyDiv w:val="1"/>
      <w:marLeft w:val="0"/>
      <w:marRight w:val="0"/>
      <w:marTop w:val="0"/>
      <w:marBottom w:val="0"/>
      <w:divBdr>
        <w:top w:val="none" w:sz="0" w:space="0" w:color="auto"/>
        <w:left w:val="none" w:sz="0" w:space="0" w:color="auto"/>
        <w:bottom w:val="none" w:sz="0" w:space="0" w:color="auto"/>
        <w:right w:val="none" w:sz="0" w:space="0" w:color="auto"/>
      </w:divBdr>
    </w:div>
    <w:div w:id="1555848931">
      <w:bodyDiv w:val="1"/>
      <w:marLeft w:val="0"/>
      <w:marRight w:val="0"/>
      <w:marTop w:val="0"/>
      <w:marBottom w:val="0"/>
      <w:divBdr>
        <w:top w:val="none" w:sz="0" w:space="0" w:color="auto"/>
        <w:left w:val="none" w:sz="0" w:space="0" w:color="auto"/>
        <w:bottom w:val="none" w:sz="0" w:space="0" w:color="auto"/>
        <w:right w:val="none" w:sz="0" w:space="0" w:color="auto"/>
      </w:divBdr>
    </w:div>
    <w:div w:id="1559584420">
      <w:bodyDiv w:val="1"/>
      <w:marLeft w:val="0"/>
      <w:marRight w:val="0"/>
      <w:marTop w:val="0"/>
      <w:marBottom w:val="0"/>
      <w:divBdr>
        <w:top w:val="none" w:sz="0" w:space="0" w:color="auto"/>
        <w:left w:val="none" w:sz="0" w:space="0" w:color="auto"/>
        <w:bottom w:val="none" w:sz="0" w:space="0" w:color="auto"/>
        <w:right w:val="none" w:sz="0" w:space="0" w:color="auto"/>
      </w:divBdr>
    </w:div>
    <w:div w:id="1566451668">
      <w:bodyDiv w:val="1"/>
      <w:marLeft w:val="0"/>
      <w:marRight w:val="0"/>
      <w:marTop w:val="0"/>
      <w:marBottom w:val="0"/>
      <w:divBdr>
        <w:top w:val="none" w:sz="0" w:space="0" w:color="auto"/>
        <w:left w:val="none" w:sz="0" w:space="0" w:color="auto"/>
        <w:bottom w:val="none" w:sz="0" w:space="0" w:color="auto"/>
        <w:right w:val="none" w:sz="0" w:space="0" w:color="auto"/>
      </w:divBdr>
    </w:div>
    <w:div w:id="1578635392">
      <w:bodyDiv w:val="1"/>
      <w:marLeft w:val="0"/>
      <w:marRight w:val="0"/>
      <w:marTop w:val="0"/>
      <w:marBottom w:val="0"/>
      <w:divBdr>
        <w:top w:val="none" w:sz="0" w:space="0" w:color="auto"/>
        <w:left w:val="none" w:sz="0" w:space="0" w:color="auto"/>
        <w:bottom w:val="none" w:sz="0" w:space="0" w:color="auto"/>
        <w:right w:val="none" w:sz="0" w:space="0" w:color="auto"/>
      </w:divBdr>
    </w:div>
    <w:div w:id="1592003888">
      <w:bodyDiv w:val="1"/>
      <w:marLeft w:val="0"/>
      <w:marRight w:val="0"/>
      <w:marTop w:val="0"/>
      <w:marBottom w:val="0"/>
      <w:divBdr>
        <w:top w:val="none" w:sz="0" w:space="0" w:color="auto"/>
        <w:left w:val="none" w:sz="0" w:space="0" w:color="auto"/>
        <w:bottom w:val="none" w:sz="0" w:space="0" w:color="auto"/>
        <w:right w:val="none" w:sz="0" w:space="0" w:color="auto"/>
      </w:divBdr>
    </w:div>
    <w:div w:id="1597129504">
      <w:bodyDiv w:val="1"/>
      <w:marLeft w:val="0"/>
      <w:marRight w:val="0"/>
      <w:marTop w:val="0"/>
      <w:marBottom w:val="0"/>
      <w:divBdr>
        <w:top w:val="none" w:sz="0" w:space="0" w:color="auto"/>
        <w:left w:val="none" w:sz="0" w:space="0" w:color="auto"/>
        <w:bottom w:val="none" w:sz="0" w:space="0" w:color="auto"/>
        <w:right w:val="none" w:sz="0" w:space="0" w:color="auto"/>
      </w:divBdr>
    </w:div>
    <w:div w:id="1600865370">
      <w:bodyDiv w:val="1"/>
      <w:marLeft w:val="0"/>
      <w:marRight w:val="0"/>
      <w:marTop w:val="0"/>
      <w:marBottom w:val="0"/>
      <w:divBdr>
        <w:top w:val="none" w:sz="0" w:space="0" w:color="auto"/>
        <w:left w:val="none" w:sz="0" w:space="0" w:color="auto"/>
        <w:bottom w:val="none" w:sz="0" w:space="0" w:color="auto"/>
        <w:right w:val="none" w:sz="0" w:space="0" w:color="auto"/>
      </w:divBdr>
    </w:div>
    <w:div w:id="1640064053">
      <w:bodyDiv w:val="1"/>
      <w:marLeft w:val="0"/>
      <w:marRight w:val="0"/>
      <w:marTop w:val="0"/>
      <w:marBottom w:val="0"/>
      <w:divBdr>
        <w:top w:val="none" w:sz="0" w:space="0" w:color="auto"/>
        <w:left w:val="none" w:sz="0" w:space="0" w:color="auto"/>
        <w:bottom w:val="none" w:sz="0" w:space="0" w:color="auto"/>
        <w:right w:val="none" w:sz="0" w:space="0" w:color="auto"/>
      </w:divBdr>
    </w:div>
    <w:div w:id="1640502252">
      <w:bodyDiv w:val="1"/>
      <w:marLeft w:val="0"/>
      <w:marRight w:val="0"/>
      <w:marTop w:val="0"/>
      <w:marBottom w:val="0"/>
      <w:divBdr>
        <w:top w:val="none" w:sz="0" w:space="0" w:color="auto"/>
        <w:left w:val="none" w:sz="0" w:space="0" w:color="auto"/>
        <w:bottom w:val="none" w:sz="0" w:space="0" w:color="auto"/>
        <w:right w:val="none" w:sz="0" w:space="0" w:color="auto"/>
      </w:divBdr>
    </w:div>
    <w:div w:id="1650204158">
      <w:bodyDiv w:val="1"/>
      <w:marLeft w:val="0"/>
      <w:marRight w:val="0"/>
      <w:marTop w:val="0"/>
      <w:marBottom w:val="0"/>
      <w:divBdr>
        <w:top w:val="none" w:sz="0" w:space="0" w:color="auto"/>
        <w:left w:val="none" w:sz="0" w:space="0" w:color="auto"/>
        <w:bottom w:val="none" w:sz="0" w:space="0" w:color="auto"/>
        <w:right w:val="none" w:sz="0" w:space="0" w:color="auto"/>
      </w:divBdr>
    </w:div>
    <w:div w:id="1656716646">
      <w:bodyDiv w:val="1"/>
      <w:marLeft w:val="0"/>
      <w:marRight w:val="0"/>
      <w:marTop w:val="0"/>
      <w:marBottom w:val="0"/>
      <w:divBdr>
        <w:top w:val="none" w:sz="0" w:space="0" w:color="auto"/>
        <w:left w:val="none" w:sz="0" w:space="0" w:color="auto"/>
        <w:bottom w:val="none" w:sz="0" w:space="0" w:color="auto"/>
        <w:right w:val="none" w:sz="0" w:space="0" w:color="auto"/>
      </w:divBdr>
    </w:div>
    <w:div w:id="1677339211">
      <w:bodyDiv w:val="1"/>
      <w:marLeft w:val="0"/>
      <w:marRight w:val="0"/>
      <w:marTop w:val="0"/>
      <w:marBottom w:val="0"/>
      <w:divBdr>
        <w:top w:val="none" w:sz="0" w:space="0" w:color="auto"/>
        <w:left w:val="none" w:sz="0" w:space="0" w:color="auto"/>
        <w:bottom w:val="none" w:sz="0" w:space="0" w:color="auto"/>
        <w:right w:val="none" w:sz="0" w:space="0" w:color="auto"/>
      </w:divBdr>
    </w:div>
    <w:div w:id="1686784470">
      <w:bodyDiv w:val="1"/>
      <w:marLeft w:val="0"/>
      <w:marRight w:val="0"/>
      <w:marTop w:val="0"/>
      <w:marBottom w:val="0"/>
      <w:divBdr>
        <w:top w:val="none" w:sz="0" w:space="0" w:color="auto"/>
        <w:left w:val="none" w:sz="0" w:space="0" w:color="auto"/>
        <w:bottom w:val="none" w:sz="0" w:space="0" w:color="auto"/>
        <w:right w:val="none" w:sz="0" w:space="0" w:color="auto"/>
      </w:divBdr>
    </w:div>
    <w:div w:id="1690522565">
      <w:bodyDiv w:val="1"/>
      <w:marLeft w:val="0"/>
      <w:marRight w:val="0"/>
      <w:marTop w:val="0"/>
      <w:marBottom w:val="0"/>
      <w:divBdr>
        <w:top w:val="none" w:sz="0" w:space="0" w:color="auto"/>
        <w:left w:val="none" w:sz="0" w:space="0" w:color="auto"/>
        <w:bottom w:val="none" w:sz="0" w:space="0" w:color="auto"/>
        <w:right w:val="none" w:sz="0" w:space="0" w:color="auto"/>
      </w:divBdr>
    </w:div>
    <w:div w:id="1699620144">
      <w:bodyDiv w:val="1"/>
      <w:marLeft w:val="0"/>
      <w:marRight w:val="0"/>
      <w:marTop w:val="0"/>
      <w:marBottom w:val="0"/>
      <w:divBdr>
        <w:top w:val="none" w:sz="0" w:space="0" w:color="auto"/>
        <w:left w:val="none" w:sz="0" w:space="0" w:color="auto"/>
        <w:bottom w:val="none" w:sz="0" w:space="0" w:color="auto"/>
        <w:right w:val="none" w:sz="0" w:space="0" w:color="auto"/>
      </w:divBdr>
    </w:div>
    <w:div w:id="1712269078">
      <w:bodyDiv w:val="1"/>
      <w:marLeft w:val="0"/>
      <w:marRight w:val="0"/>
      <w:marTop w:val="0"/>
      <w:marBottom w:val="0"/>
      <w:divBdr>
        <w:top w:val="none" w:sz="0" w:space="0" w:color="auto"/>
        <w:left w:val="none" w:sz="0" w:space="0" w:color="auto"/>
        <w:bottom w:val="none" w:sz="0" w:space="0" w:color="auto"/>
        <w:right w:val="none" w:sz="0" w:space="0" w:color="auto"/>
      </w:divBdr>
    </w:div>
    <w:div w:id="1730877356">
      <w:bodyDiv w:val="1"/>
      <w:marLeft w:val="0"/>
      <w:marRight w:val="0"/>
      <w:marTop w:val="0"/>
      <w:marBottom w:val="0"/>
      <w:divBdr>
        <w:top w:val="none" w:sz="0" w:space="0" w:color="auto"/>
        <w:left w:val="none" w:sz="0" w:space="0" w:color="auto"/>
        <w:bottom w:val="none" w:sz="0" w:space="0" w:color="auto"/>
        <w:right w:val="none" w:sz="0" w:space="0" w:color="auto"/>
      </w:divBdr>
    </w:div>
    <w:div w:id="1736195622">
      <w:bodyDiv w:val="1"/>
      <w:marLeft w:val="0"/>
      <w:marRight w:val="0"/>
      <w:marTop w:val="0"/>
      <w:marBottom w:val="0"/>
      <w:divBdr>
        <w:top w:val="none" w:sz="0" w:space="0" w:color="auto"/>
        <w:left w:val="none" w:sz="0" w:space="0" w:color="auto"/>
        <w:bottom w:val="none" w:sz="0" w:space="0" w:color="auto"/>
        <w:right w:val="none" w:sz="0" w:space="0" w:color="auto"/>
      </w:divBdr>
    </w:div>
    <w:div w:id="1740979083">
      <w:bodyDiv w:val="1"/>
      <w:marLeft w:val="0"/>
      <w:marRight w:val="0"/>
      <w:marTop w:val="0"/>
      <w:marBottom w:val="0"/>
      <w:divBdr>
        <w:top w:val="none" w:sz="0" w:space="0" w:color="auto"/>
        <w:left w:val="none" w:sz="0" w:space="0" w:color="auto"/>
        <w:bottom w:val="none" w:sz="0" w:space="0" w:color="auto"/>
        <w:right w:val="none" w:sz="0" w:space="0" w:color="auto"/>
      </w:divBdr>
    </w:div>
    <w:div w:id="1746149655">
      <w:bodyDiv w:val="1"/>
      <w:marLeft w:val="0"/>
      <w:marRight w:val="0"/>
      <w:marTop w:val="0"/>
      <w:marBottom w:val="0"/>
      <w:divBdr>
        <w:top w:val="none" w:sz="0" w:space="0" w:color="auto"/>
        <w:left w:val="none" w:sz="0" w:space="0" w:color="auto"/>
        <w:bottom w:val="none" w:sz="0" w:space="0" w:color="auto"/>
        <w:right w:val="none" w:sz="0" w:space="0" w:color="auto"/>
      </w:divBdr>
    </w:div>
    <w:div w:id="1798404036">
      <w:bodyDiv w:val="1"/>
      <w:marLeft w:val="0"/>
      <w:marRight w:val="0"/>
      <w:marTop w:val="0"/>
      <w:marBottom w:val="0"/>
      <w:divBdr>
        <w:top w:val="none" w:sz="0" w:space="0" w:color="auto"/>
        <w:left w:val="none" w:sz="0" w:space="0" w:color="auto"/>
        <w:bottom w:val="none" w:sz="0" w:space="0" w:color="auto"/>
        <w:right w:val="none" w:sz="0" w:space="0" w:color="auto"/>
      </w:divBdr>
    </w:div>
    <w:div w:id="1803842764">
      <w:bodyDiv w:val="1"/>
      <w:marLeft w:val="0"/>
      <w:marRight w:val="0"/>
      <w:marTop w:val="0"/>
      <w:marBottom w:val="0"/>
      <w:divBdr>
        <w:top w:val="none" w:sz="0" w:space="0" w:color="auto"/>
        <w:left w:val="none" w:sz="0" w:space="0" w:color="auto"/>
        <w:bottom w:val="none" w:sz="0" w:space="0" w:color="auto"/>
        <w:right w:val="none" w:sz="0" w:space="0" w:color="auto"/>
      </w:divBdr>
    </w:div>
    <w:div w:id="1805193896">
      <w:bodyDiv w:val="1"/>
      <w:marLeft w:val="0"/>
      <w:marRight w:val="0"/>
      <w:marTop w:val="0"/>
      <w:marBottom w:val="0"/>
      <w:divBdr>
        <w:top w:val="none" w:sz="0" w:space="0" w:color="auto"/>
        <w:left w:val="none" w:sz="0" w:space="0" w:color="auto"/>
        <w:bottom w:val="none" w:sz="0" w:space="0" w:color="auto"/>
        <w:right w:val="none" w:sz="0" w:space="0" w:color="auto"/>
      </w:divBdr>
    </w:div>
    <w:div w:id="1831824027">
      <w:bodyDiv w:val="1"/>
      <w:marLeft w:val="0"/>
      <w:marRight w:val="0"/>
      <w:marTop w:val="0"/>
      <w:marBottom w:val="0"/>
      <w:divBdr>
        <w:top w:val="none" w:sz="0" w:space="0" w:color="auto"/>
        <w:left w:val="none" w:sz="0" w:space="0" w:color="auto"/>
        <w:bottom w:val="none" w:sz="0" w:space="0" w:color="auto"/>
        <w:right w:val="none" w:sz="0" w:space="0" w:color="auto"/>
      </w:divBdr>
    </w:div>
    <w:div w:id="1860973192">
      <w:bodyDiv w:val="1"/>
      <w:marLeft w:val="0"/>
      <w:marRight w:val="0"/>
      <w:marTop w:val="0"/>
      <w:marBottom w:val="0"/>
      <w:divBdr>
        <w:top w:val="none" w:sz="0" w:space="0" w:color="auto"/>
        <w:left w:val="none" w:sz="0" w:space="0" w:color="auto"/>
        <w:bottom w:val="none" w:sz="0" w:space="0" w:color="auto"/>
        <w:right w:val="none" w:sz="0" w:space="0" w:color="auto"/>
      </w:divBdr>
    </w:div>
    <w:div w:id="1902672314">
      <w:bodyDiv w:val="1"/>
      <w:marLeft w:val="0"/>
      <w:marRight w:val="0"/>
      <w:marTop w:val="0"/>
      <w:marBottom w:val="0"/>
      <w:divBdr>
        <w:top w:val="none" w:sz="0" w:space="0" w:color="auto"/>
        <w:left w:val="none" w:sz="0" w:space="0" w:color="auto"/>
        <w:bottom w:val="none" w:sz="0" w:space="0" w:color="auto"/>
        <w:right w:val="none" w:sz="0" w:space="0" w:color="auto"/>
      </w:divBdr>
    </w:div>
    <w:div w:id="1924097517">
      <w:bodyDiv w:val="1"/>
      <w:marLeft w:val="0"/>
      <w:marRight w:val="0"/>
      <w:marTop w:val="0"/>
      <w:marBottom w:val="0"/>
      <w:divBdr>
        <w:top w:val="none" w:sz="0" w:space="0" w:color="auto"/>
        <w:left w:val="none" w:sz="0" w:space="0" w:color="auto"/>
        <w:bottom w:val="none" w:sz="0" w:space="0" w:color="auto"/>
        <w:right w:val="none" w:sz="0" w:space="0" w:color="auto"/>
      </w:divBdr>
    </w:div>
    <w:div w:id="1945964184">
      <w:bodyDiv w:val="1"/>
      <w:marLeft w:val="0"/>
      <w:marRight w:val="0"/>
      <w:marTop w:val="0"/>
      <w:marBottom w:val="0"/>
      <w:divBdr>
        <w:top w:val="none" w:sz="0" w:space="0" w:color="auto"/>
        <w:left w:val="none" w:sz="0" w:space="0" w:color="auto"/>
        <w:bottom w:val="none" w:sz="0" w:space="0" w:color="auto"/>
        <w:right w:val="none" w:sz="0" w:space="0" w:color="auto"/>
      </w:divBdr>
    </w:div>
    <w:div w:id="1951860930">
      <w:bodyDiv w:val="1"/>
      <w:marLeft w:val="0"/>
      <w:marRight w:val="0"/>
      <w:marTop w:val="0"/>
      <w:marBottom w:val="0"/>
      <w:divBdr>
        <w:top w:val="none" w:sz="0" w:space="0" w:color="auto"/>
        <w:left w:val="none" w:sz="0" w:space="0" w:color="auto"/>
        <w:bottom w:val="none" w:sz="0" w:space="0" w:color="auto"/>
        <w:right w:val="none" w:sz="0" w:space="0" w:color="auto"/>
      </w:divBdr>
    </w:div>
    <w:div w:id="1952853601">
      <w:bodyDiv w:val="1"/>
      <w:marLeft w:val="0"/>
      <w:marRight w:val="0"/>
      <w:marTop w:val="0"/>
      <w:marBottom w:val="0"/>
      <w:divBdr>
        <w:top w:val="none" w:sz="0" w:space="0" w:color="auto"/>
        <w:left w:val="none" w:sz="0" w:space="0" w:color="auto"/>
        <w:bottom w:val="none" w:sz="0" w:space="0" w:color="auto"/>
        <w:right w:val="none" w:sz="0" w:space="0" w:color="auto"/>
      </w:divBdr>
    </w:div>
    <w:div w:id="1997104821">
      <w:bodyDiv w:val="1"/>
      <w:marLeft w:val="0"/>
      <w:marRight w:val="0"/>
      <w:marTop w:val="0"/>
      <w:marBottom w:val="0"/>
      <w:divBdr>
        <w:top w:val="none" w:sz="0" w:space="0" w:color="auto"/>
        <w:left w:val="none" w:sz="0" w:space="0" w:color="auto"/>
        <w:bottom w:val="none" w:sz="0" w:space="0" w:color="auto"/>
        <w:right w:val="none" w:sz="0" w:space="0" w:color="auto"/>
      </w:divBdr>
    </w:div>
    <w:div w:id="2007633887">
      <w:bodyDiv w:val="1"/>
      <w:marLeft w:val="0"/>
      <w:marRight w:val="0"/>
      <w:marTop w:val="0"/>
      <w:marBottom w:val="0"/>
      <w:divBdr>
        <w:top w:val="none" w:sz="0" w:space="0" w:color="auto"/>
        <w:left w:val="none" w:sz="0" w:space="0" w:color="auto"/>
        <w:bottom w:val="none" w:sz="0" w:space="0" w:color="auto"/>
        <w:right w:val="none" w:sz="0" w:space="0" w:color="auto"/>
      </w:divBdr>
    </w:div>
    <w:div w:id="2041399105">
      <w:bodyDiv w:val="1"/>
      <w:marLeft w:val="0"/>
      <w:marRight w:val="0"/>
      <w:marTop w:val="0"/>
      <w:marBottom w:val="0"/>
      <w:divBdr>
        <w:top w:val="none" w:sz="0" w:space="0" w:color="auto"/>
        <w:left w:val="none" w:sz="0" w:space="0" w:color="auto"/>
        <w:bottom w:val="none" w:sz="0" w:space="0" w:color="auto"/>
        <w:right w:val="none" w:sz="0" w:space="0" w:color="auto"/>
      </w:divBdr>
    </w:div>
    <w:div w:id="2050260683">
      <w:bodyDiv w:val="1"/>
      <w:marLeft w:val="0"/>
      <w:marRight w:val="0"/>
      <w:marTop w:val="0"/>
      <w:marBottom w:val="0"/>
      <w:divBdr>
        <w:top w:val="none" w:sz="0" w:space="0" w:color="auto"/>
        <w:left w:val="none" w:sz="0" w:space="0" w:color="auto"/>
        <w:bottom w:val="none" w:sz="0" w:space="0" w:color="auto"/>
        <w:right w:val="none" w:sz="0" w:space="0" w:color="auto"/>
      </w:divBdr>
    </w:div>
    <w:div w:id="2057463092">
      <w:bodyDiv w:val="1"/>
      <w:marLeft w:val="0"/>
      <w:marRight w:val="0"/>
      <w:marTop w:val="0"/>
      <w:marBottom w:val="0"/>
      <w:divBdr>
        <w:top w:val="none" w:sz="0" w:space="0" w:color="auto"/>
        <w:left w:val="none" w:sz="0" w:space="0" w:color="auto"/>
        <w:bottom w:val="none" w:sz="0" w:space="0" w:color="auto"/>
        <w:right w:val="none" w:sz="0" w:space="0" w:color="auto"/>
      </w:divBdr>
    </w:div>
    <w:div w:id="2081321303">
      <w:bodyDiv w:val="1"/>
      <w:marLeft w:val="0"/>
      <w:marRight w:val="0"/>
      <w:marTop w:val="0"/>
      <w:marBottom w:val="0"/>
      <w:divBdr>
        <w:top w:val="none" w:sz="0" w:space="0" w:color="auto"/>
        <w:left w:val="none" w:sz="0" w:space="0" w:color="auto"/>
        <w:bottom w:val="none" w:sz="0" w:space="0" w:color="auto"/>
        <w:right w:val="none" w:sz="0" w:space="0" w:color="auto"/>
      </w:divBdr>
    </w:div>
    <w:div w:id="2101179268">
      <w:bodyDiv w:val="1"/>
      <w:marLeft w:val="0"/>
      <w:marRight w:val="0"/>
      <w:marTop w:val="0"/>
      <w:marBottom w:val="0"/>
      <w:divBdr>
        <w:top w:val="none" w:sz="0" w:space="0" w:color="auto"/>
        <w:left w:val="none" w:sz="0" w:space="0" w:color="auto"/>
        <w:bottom w:val="none" w:sz="0" w:space="0" w:color="auto"/>
        <w:right w:val="none" w:sz="0" w:space="0" w:color="auto"/>
      </w:divBdr>
    </w:div>
    <w:div w:id="2108888928">
      <w:bodyDiv w:val="1"/>
      <w:marLeft w:val="0"/>
      <w:marRight w:val="0"/>
      <w:marTop w:val="0"/>
      <w:marBottom w:val="0"/>
      <w:divBdr>
        <w:top w:val="none" w:sz="0" w:space="0" w:color="auto"/>
        <w:left w:val="none" w:sz="0" w:space="0" w:color="auto"/>
        <w:bottom w:val="none" w:sz="0" w:space="0" w:color="auto"/>
        <w:right w:val="none" w:sz="0" w:space="0" w:color="auto"/>
      </w:divBdr>
    </w:div>
    <w:div w:id="2109424323">
      <w:bodyDiv w:val="1"/>
      <w:marLeft w:val="0"/>
      <w:marRight w:val="0"/>
      <w:marTop w:val="0"/>
      <w:marBottom w:val="0"/>
      <w:divBdr>
        <w:top w:val="none" w:sz="0" w:space="0" w:color="auto"/>
        <w:left w:val="none" w:sz="0" w:space="0" w:color="auto"/>
        <w:bottom w:val="none" w:sz="0" w:space="0" w:color="auto"/>
        <w:right w:val="none" w:sz="0" w:space="0" w:color="auto"/>
      </w:divBdr>
    </w:div>
    <w:div w:id="2111121644">
      <w:bodyDiv w:val="1"/>
      <w:marLeft w:val="0"/>
      <w:marRight w:val="0"/>
      <w:marTop w:val="0"/>
      <w:marBottom w:val="0"/>
      <w:divBdr>
        <w:top w:val="none" w:sz="0" w:space="0" w:color="auto"/>
        <w:left w:val="none" w:sz="0" w:space="0" w:color="auto"/>
        <w:bottom w:val="none" w:sz="0" w:space="0" w:color="auto"/>
        <w:right w:val="none" w:sz="0" w:space="0" w:color="auto"/>
      </w:divBdr>
    </w:div>
    <w:div w:id="2111270610">
      <w:bodyDiv w:val="1"/>
      <w:marLeft w:val="0"/>
      <w:marRight w:val="0"/>
      <w:marTop w:val="0"/>
      <w:marBottom w:val="0"/>
      <w:divBdr>
        <w:top w:val="none" w:sz="0" w:space="0" w:color="auto"/>
        <w:left w:val="none" w:sz="0" w:space="0" w:color="auto"/>
        <w:bottom w:val="none" w:sz="0" w:space="0" w:color="auto"/>
        <w:right w:val="none" w:sz="0" w:space="0" w:color="auto"/>
      </w:divBdr>
    </w:div>
    <w:div w:id="2114931570">
      <w:bodyDiv w:val="1"/>
      <w:marLeft w:val="0"/>
      <w:marRight w:val="0"/>
      <w:marTop w:val="0"/>
      <w:marBottom w:val="0"/>
      <w:divBdr>
        <w:top w:val="none" w:sz="0" w:space="0" w:color="auto"/>
        <w:left w:val="none" w:sz="0" w:space="0" w:color="auto"/>
        <w:bottom w:val="none" w:sz="0" w:space="0" w:color="auto"/>
        <w:right w:val="none" w:sz="0" w:space="0" w:color="auto"/>
      </w:divBdr>
    </w:div>
    <w:div w:id="2116168708">
      <w:bodyDiv w:val="1"/>
      <w:marLeft w:val="0"/>
      <w:marRight w:val="0"/>
      <w:marTop w:val="0"/>
      <w:marBottom w:val="0"/>
      <w:divBdr>
        <w:top w:val="none" w:sz="0" w:space="0" w:color="auto"/>
        <w:left w:val="none" w:sz="0" w:space="0" w:color="auto"/>
        <w:bottom w:val="none" w:sz="0" w:space="0" w:color="auto"/>
        <w:right w:val="none" w:sz="0" w:space="0" w:color="auto"/>
      </w:divBdr>
    </w:div>
    <w:div w:id="2119063731">
      <w:bodyDiv w:val="1"/>
      <w:marLeft w:val="0"/>
      <w:marRight w:val="0"/>
      <w:marTop w:val="0"/>
      <w:marBottom w:val="0"/>
      <w:divBdr>
        <w:top w:val="none" w:sz="0" w:space="0" w:color="auto"/>
        <w:left w:val="none" w:sz="0" w:space="0" w:color="auto"/>
        <w:bottom w:val="none" w:sz="0" w:space="0" w:color="auto"/>
        <w:right w:val="none" w:sz="0" w:space="0" w:color="auto"/>
      </w:divBdr>
    </w:div>
    <w:div w:id="2120756196">
      <w:bodyDiv w:val="1"/>
      <w:marLeft w:val="0"/>
      <w:marRight w:val="0"/>
      <w:marTop w:val="0"/>
      <w:marBottom w:val="0"/>
      <w:divBdr>
        <w:top w:val="none" w:sz="0" w:space="0" w:color="auto"/>
        <w:left w:val="none" w:sz="0" w:space="0" w:color="auto"/>
        <w:bottom w:val="none" w:sz="0" w:space="0" w:color="auto"/>
        <w:right w:val="none" w:sz="0" w:space="0" w:color="auto"/>
      </w:divBdr>
    </w:div>
    <w:div w:id="2124764848">
      <w:bodyDiv w:val="1"/>
      <w:marLeft w:val="0"/>
      <w:marRight w:val="0"/>
      <w:marTop w:val="0"/>
      <w:marBottom w:val="0"/>
      <w:divBdr>
        <w:top w:val="none" w:sz="0" w:space="0" w:color="auto"/>
        <w:left w:val="none" w:sz="0" w:space="0" w:color="auto"/>
        <w:bottom w:val="none" w:sz="0" w:space="0" w:color="auto"/>
        <w:right w:val="none" w:sz="0" w:space="0" w:color="auto"/>
      </w:divBdr>
    </w:div>
    <w:div w:id="2125686381">
      <w:bodyDiv w:val="1"/>
      <w:marLeft w:val="0"/>
      <w:marRight w:val="0"/>
      <w:marTop w:val="0"/>
      <w:marBottom w:val="0"/>
      <w:divBdr>
        <w:top w:val="none" w:sz="0" w:space="0" w:color="auto"/>
        <w:left w:val="none" w:sz="0" w:space="0" w:color="auto"/>
        <w:bottom w:val="none" w:sz="0" w:space="0" w:color="auto"/>
        <w:right w:val="none" w:sz="0" w:space="0" w:color="auto"/>
      </w:divBdr>
    </w:div>
    <w:div w:id="2126390656">
      <w:bodyDiv w:val="1"/>
      <w:marLeft w:val="0"/>
      <w:marRight w:val="0"/>
      <w:marTop w:val="0"/>
      <w:marBottom w:val="0"/>
      <w:divBdr>
        <w:top w:val="none" w:sz="0" w:space="0" w:color="auto"/>
        <w:left w:val="none" w:sz="0" w:space="0" w:color="auto"/>
        <w:bottom w:val="none" w:sz="0" w:space="0" w:color="auto"/>
        <w:right w:val="none" w:sz="0" w:space="0" w:color="auto"/>
      </w:divBdr>
    </w:div>
    <w:div w:id="2134781923">
      <w:bodyDiv w:val="1"/>
      <w:marLeft w:val="0"/>
      <w:marRight w:val="0"/>
      <w:marTop w:val="0"/>
      <w:marBottom w:val="0"/>
      <w:divBdr>
        <w:top w:val="none" w:sz="0" w:space="0" w:color="auto"/>
        <w:left w:val="none" w:sz="0" w:space="0" w:color="auto"/>
        <w:bottom w:val="none" w:sz="0" w:space="0" w:color="auto"/>
        <w:right w:val="none" w:sz="0" w:space="0" w:color="auto"/>
      </w:divBdr>
    </w:div>
    <w:div w:id="2139908129">
      <w:bodyDiv w:val="1"/>
      <w:marLeft w:val="0"/>
      <w:marRight w:val="0"/>
      <w:marTop w:val="0"/>
      <w:marBottom w:val="0"/>
      <w:divBdr>
        <w:top w:val="none" w:sz="0" w:space="0" w:color="auto"/>
        <w:left w:val="none" w:sz="0" w:space="0" w:color="auto"/>
        <w:bottom w:val="none" w:sz="0" w:space="0" w:color="auto"/>
        <w:right w:val="none" w:sz="0" w:space="0" w:color="auto"/>
      </w:divBdr>
    </w:div>
    <w:div w:id="214696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hyperlink" Target="http://ec.europa.eu/eurostat/web/social-protection/overview" TargetMode="External"/><Relationship Id="rId3" Type="http://schemas.openxmlformats.org/officeDocument/2006/relationships/styles" Target="styles.xml"/><Relationship Id="rId21" Type="http://schemas.openxmlformats.org/officeDocument/2006/relationships/chart" Target="charts/chart1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7.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hyperlink" Target="https://www.employment.gov.sk/sk/ministerstvo/vyskum-oblasti-prace-socialnych-veci-institut-socialnej-politiky/spravy-socialnej-situacii-obyvatelstva/rok-2019.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hyperlink" Target="http://ec.europa.eu/eurostat/web/social-protection/publications" TargetMode="Externa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hyperlink" Target="https://slovak.statistics.sk/wps/portal/ece7683e-ea83-4e13-bf99-ab7b287b4fca/!ut/p/z1/rVJNU8IwEP0tHnpss20Kbb0FcPgQDsggkIuT1LSN_UhpA5V_b3A86IwozpjDTrL73uZtXhBFW0QrdpQp01JVrDDnHe0_LYNpOBi4BCDojWA6W4-W41Xkgg_oEVFE40rXOkM7xVuW2W1u1wdugQmFzFkshQXHVuj89DkjYhH0QyxswUJs-8LFNk-iyGY84F4YcD-J2bl3HctntLsKvflNLDVluLAIGD59hwzHZOIHc4BwPu7BlEzWD9ESYyD4A_BDj53REFzUcO-hzVGKDq0r1ZTmfVd_HHECaIao5KXTxaUDjmsqfd9z_TDysNmfDZMv-z0lxhVVafGq0fbfbTGXeM1iuEiNdqYzW1aJQttrqaTiODTURiSiEY1zaMw_y7Su21sLLOi6zkmVSgvhxKq04DtKploz11ckqssyxCc7TxZ32Kf8hIvjnJCbmzccyj4d/dz/d5/L2dBISEvZ0FBIS9nQSEh/"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hyperlink" Target="https://ec.europa.eu/eurostat/documents/3859598/10295301/KS-GQ-19-014-EN-N.pdf/e7c8c019-944c-1c71-aee5-1ffc8ce45200?t=1575969094000" TargetMode="External"/><Relationship Id="rId30" Type="http://schemas.openxmlformats.org/officeDocument/2006/relationships/hyperlink" Target="https://slovak.statistics.sk/wps/portal/ext/themes/demography/social/publications/!ut/p/z1/jZDNDoIwEIQfqUPBAseCoTRp0FL-7MVwMiSKHozPbyVeKexts9_s7gyxZCB2Hj_TbXxPz3m8u_5i2VXHMsmygCM5xICsTAt0BlCU9AuQC15GsQISJQ6QvGzrVIcheEjsHj1WimOfvjBnytNI5Mf6VEA2OU2MYhQIFv3aWLANvQN23fcA1m-vJ3ZBuNbaqK6D6Kj7IAwEqtZtadgf8EW8dcR6U_iF5Le5tcHF9Hq0rgZMcpJfH0sjUg!!/dz/d5/L2dJQSEvUUt3QS80TmxFL1o2X1E3SThCQjFBMDg1NzAwSU5TVTAwVlMwME4w/" TargetMode="Externa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gal-content/SK/TXT/PDF/?uri=CELEX:32007R1322&amp;from=EN" TargetMode="External"/><Relationship Id="rId2" Type="http://schemas.openxmlformats.org/officeDocument/2006/relationships/hyperlink" Target="http://eur-lex.europa.eu/legal-content/SK/TXT/PDF/?uri=CELEX:32007R0458&amp;from=EN" TargetMode="External"/><Relationship Id="rId1" Type="http://schemas.openxmlformats.org/officeDocument/2006/relationships/hyperlink" Target="https://www.slov-lex.sk/static/prilohy/SK/ZZ/2004/185/20040414_3029367-2.pdf%20" TargetMode="External"/><Relationship Id="rId6" Type="http://schemas.openxmlformats.org/officeDocument/2006/relationships/hyperlink" Target="http://eur-lex.europa.eu/legal-content/SK/TXT/PDF/?uri=CELEX:32011R0263&amp;from=EN" TargetMode="External"/><Relationship Id="rId5" Type="http://schemas.openxmlformats.org/officeDocument/2006/relationships/hyperlink" Target="http://eur-lex.europa.eu/legal-content/SK/TXT/PDF/?uri=CELEX:32011R0110&amp;from=EN" TargetMode="External"/><Relationship Id="rId4" Type="http://schemas.openxmlformats.org/officeDocument/2006/relationships/hyperlink" Target="http://eur-lex.europa.eu/legal-content/SK/TXT/PDF/?uri=CELEX:32008R0010&amp;from=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P\clanky\2011\SO_2010-2011_2013.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ESSPROS\Publikacia_2021\Publik&#225;cia%20Grafy%20rok%202019.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D:\Users\rakoso\Desktop\ESSPROS\ESSPROS_2021_Tabulky_6.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D:\Users\rakoso\Desktop\ESSPROS\ESSPROS_2021_Tabulky_6.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D:\Users\rakoso\Desktop\ESSPROS\K&#243;pia%20-%20ESSPROS_2021_Tabulky_7.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D:\Users\rakoso\Desktop\ESSPROS\K&#243;pia%20-%20ESSPROS_2021_Tabulky_7.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D:\ESSPROS\Publikacia_2021\Publik&#225;cia%20Grafy%20rok%202019.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D:\Users\rakoso\Desktop\ESSPROS\K&#243;pia%20-%20ESSPROS_2021_Tabulky_8.xlsx" TargetMode="External"/></Relationships>
</file>

<file path=word/charts/_rels/chart16.xml.rels><?xml version="1.0" encoding="UTF-8" standalone="yes"?>
<Relationships xmlns="http://schemas.openxmlformats.org/package/2006/relationships"><Relationship Id="rId3" Type="http://schemas.openxmlformats.org/officeDocument/2006/relationships/oleObject" Target="file:///D:\Users\rakoso\Desktop\ESSPROS\K&#243;pia%20-%20ESSPROS_2021_Tabulky_ALL.xlsx" TargetMode="External"/><Relationship Id="rId2" Type="http://schemas.microsoft.com/office/2011/relationships/chartColorStyle" Target="colors2.xml"/><Relationship Id="rId1" Type="http://schemas.microsoft.com/office/2011/relationships/chartStyle" Target="style2.xml"/></Relationships>
</file>

<file path=word/charts/_rels/chart17.xml.rels><?xml version="1.0" encoding="UTF-8" standalone="yes"?>
<Relationships xmlns="http://schemas.openxmlformats.org/package/2006/relationships"><Relationship Id="rId3" Type="http://schemas.openxmlformats.org/officeDocument/2006/relationships/oleObject" Target="file:///D:\Users\rakoso\Desktop\ESSPROS\K&#243;pia%20-%20ESSPROS_2021_Tabulky_ALL.xlsx" TargetMode="External"/><Relationship Id="rId2" Type="http://schemas.microsoft.com/office/2011/relationships/chartColorStyle" Target="colors3.xml"/><Relationship Id="rId1" Type="http://schemas.microsoft.com/office/2011/relationships/chartStyle" Target="style3.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Users\rakoso\Desktop\ESSPROS\ESSPROS_2021_Tabulky_4.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Users\rakoso\Desktop\ESSPROS\ESSPROS_2021_Tabulky_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Users\rakoso\Desktop\ESSPROS\ESSPROS_2021_Tabulky_6.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Users\rakoso\Desktop\ESSPROS\ESSPROS_2021_Tabulky_6.xlsx"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file:///D:\Users\rakoso\Desktop\ESSPROS\ESSPROS_2021_Tabulky_6.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3.xml"/></Relationships>
</file>

<file path=word/charts/_rels/chart7.xml.rels><?xml version="1.0" encoding="UTF-8" standalone="yes"?>
<Relationships xmlns="http://schemas.openxmlformats.org/package/2006/relationships"><Relationship Id="rId1" Type="http://schemas.openxmlformats.org/officeDocument/2006/relationships/oleObject" Target="file:///D:\Users\rakoso\Desktop\ESSPROS\ESSPROS_2021_Tabulky_6.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D:\Users\rakoso\Desktop\ESSPROS\ESSPROS_2021_Tabulky_6.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D:\Users\rakoso\Desktop\ESSPROS\ESSPROS_2021_Tabulky_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7.9142191878475598E-2"/>
          <c:w val="1"/>
          <c:h val="0.76437615381348378"/>
        </c:manualLayout>
      </c:layout>
      <c:ofPieChart>
        <c:ofPieType val="pie"/>
        <c:varyColors val="1"/>
        <c:ser>
          <c:idx val="0"/>
          <c:order val="0"/>
          <c:tx>
            <c:strRef>
              <c:f>'prijmy '!$C$35:$C$40</c:f>
              <c:strCache>
                <c:ptCount val="6"/>
                <c:pt idx="0">
                  <c:v>23,7</c:v>
                </c:pt>
                <c:pt idx="1">
                  <c:v>3,0</c:v>
                </c:pt>
                <c:pt idx="2">
                  <c:v>50,2</c:v>
                </c:pt>
                <c:pt idx="3">
                  <c:v>19,2</c:v>
                </c:pt>
                <c:pt idx="4">
                  <c:v>3,5</c:v>
                </c:pt>
                <c:pt idx="5">
                  <c:v>0,5</c:v>
                </c:pt>
              </c:strCache>
            </c:strRef>
          </c:tx>
          <c:spPr>
            <a:solidFill>
              <a:schemeClr val="accent6">
                <a:lumMod val="60000"/>
                <a:lumOff val="40000"/>
              </a:schemeClr>
            </a:solidFill>
          </c:spPr>
          <c:dPt>
            <c:idx val="0"/>
            <c:bubble3D val="0"/>
            <c:spPr>
              <a:solidFill>
                <a:schemeClr val="accent2">
                  <a:lumMod val="40000"/>
                  <a:lumOff val="60000"/>
                </a:schemeClr>
              </a:solidFill>
            </c:spPr>
            <c:extLst>
              <c:ext xmlns:c16="http://schemas.microsoft.com/office/drawing/2014/chart" uri="{C3380CC4-5D6E-409C-BE32-E72D297353CC}">
                <c16:uniqueId val="{00000001-8D4E-4A84-93BF-D148386E94A5}"/>
              </c:ext>
            </c:extLst>
          </c:dPt>
          <c:dPt>
            <c:idx val="1"/>
            <c:bubble3D val="0"/>
            <c:explosion val="4"/>
            <c:spPr>
              <a:solidFill>
                <a:srgbClr val="C00000"/>
              </a:solidFill>
            </c:spPr>
            <c:extLst>
              <c:ext xmlns:c16="http://schemas.microsoft.com/office/drawing/2014/chart" uri="{C3380CC4-5D6E-409C-BE32-E72D297353CC}">
                <c16:uniqueId val="{00000003-8D4E-4A84-93BF-D148386E94A5}"/>
              </c:ext>
            </c:extLst>
          </c:dPt>
          <c:dPt>
            <c:idx val="2"/>
            <c:bubble3D val="0"/>
            <c:spPr>
              <a:solidFill>
                <a:schemeClr val="accent1"/>
              </a:solidFill>
            </c:spPr>
            <c:extLst>
              <c:ext xmlns:c16="http://schemas.microsoft.com/office/drawing/2014/chart" uri="{C3380CC4-5D6E-409C-BE32-E72D297353CC}">
                <c16:uniqueId val="{00000005-8D4E-4A84-93BF-D148386E94A5}"/>
              </c:ext>
            </c:extLst>
          </c:dPt>
          <c:dPt>
            <c:idx val="3"/>
            <c:bubble3D val="0"/>
            <c:spPr>
              <a:solidFill>
                <a:schemeClr val="accent1">
                  <a:lumMod val="40000"/>
                  <a:lumOff val="60000"/>
                </a:schemeClr>
              </a:solidFill>
            </c:spPr>
            <c:extLst>
              <c:ext xmlns:c16="http://schemas.microsoft.com/office/drawing/2014/chart" uri="{C3380CC4-5D6E-409C-BE32-E72D297353CC}">
                <c16:uniqueId val="{00000007-8D4E-4A84-93BF-D148386E94A5}"/>
              </c:ext>
            </c:extLst>
          </c:dPt>
          <c:dPt>
            <c:idx val="4"/>
            <c:bubble3D val="0"/>
            <c:extLst>
              <c:ext xmlns:c16="http://schemas.microsoft.com/office/drawing/2014/chart" uri="{C3380CC4-5D6E-409C-BE32-E72D297353CC}">
                <c16:uniqueId val="{00000008-8D4E-4A84-93BF-D148386E94A5}"/>
              </c:ext>
            </c:extLst>
          </c:dPt>
          <c:dPt>
            <c:idx val="5"/>
            <c:bubble3D val="0"/>
            <c:explosion val="14"/>
            <c:spPr>
              <a:solidFill>
                <a:schemeClr val="tx1"/>
              </a:solidFill>
            </c:spPr>
            <c:extLst>
              <c:ext xmlns:c16="http://schemas.microsoft.com/office/drawing/2014/chart" uri="{C3380CC4-5D6E-409C-BE32-E72D297353CC}">
                <c16:uniqueId val="{0000000A-8D4E-4A84-93BF-D148386E94A5}"/>
              </c:ext>
            </c:extLst>
          </c:dPt>
          <c:dPt>
            <c:idx val="6"/>
            <c:bubble3D val="0"/>
            <c:explosion val="28"/>
            <c:spPr>
              <a:solidFill>
                <a:schemeClr val="accent2">
                  <a:lumMod val="60000"/>
                  <a:lumOff val="40000"/>
                </a:schemeClr>
              </a:solidFill>
            </c:spPr>
            <c:extLst>
              <c:ext xmlns:c16="http://schemas.microsoft.com/office/drawing/2014/chart" uri="{C3380CC4-5D6E-409C-BE32-E72D297353CC}">
                <c16:uniqueId val="{0000000C-8D4E-4A84-93BF-D148386E94A5}"/>
              </c:ext>
            </c:extLst>
          </c:dPt>
          <c:dLbls>
            <c:dLbl>
              <c:idx val="1"/>
              <c:layout>
                <c:manualLayout>
                  <c:x val="1.5262272289901057E-2"/>
                  <c:y val="1.2458959148958367E-2"/>
                </c:manualLayout>
              </c:layout>
              <c:numFmt formatCode="0.0%" sourceLinked="0"/>
              <c:spPr>
                <a:noFill/>
              </c:spPr>
              <c:txPr>
                <a:bodyPr/>
                <a:lstStyle/>
                <a:p>
                  <a:pPr>
                    <a:defRPr sz="900" b="0">
                      <a:latin typeface="Arial Narrow" pitchFamily="34" charset="0"/>
                    </a:defRPr>
                  </a:pPr>
                  <a:endParaRPr lang="sk-SK"/>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D4E-4A84-93BF-D148386E94A5}"/>
                </c:ext>
              </c:extLst>
            </c:dLbl>
            <c:dLbl>
              <c:idx val="2"/>
              <c:layout>
                <c:manualLayout>
                  <c:x val="0.11889446608962803"/>
                  <c:y val="0.20674736222879714"/>
                </c:manualLayout>
              </c:layout>
              <c:tx>
                <c:rich>
                  <a:bodyPr/>
                  <a:lstStyle/>
                  <a:p>
                    <a:fld id="{1363AB3B-AC43-463C-8185-11C64C09DAC9}" type="CATEGORYNAME">
                      <a:rPr lang="en-US"/>
                      <a:pPr/>
                      <a:t>[NÁZOV KATEGÓRIE]</a:t>
                    </a:fld>
                    <a:r>
                      <a:rPr lang="en-US" baseline="0"/>
                      <a:t>
50,2%</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8D4E-4A84-93BF-D148386E94A5}"/>
                </c:ext>
              </c:extLst>
            </c:dLbl>
            <c:dLbl>
              <c:idx val="3"/>
              <c:layout>
                <c:manualLayout>
                  <c:x val="-8.574740846295352E-2"/>
                  <c:y val="-0.18385105902058346"/>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8D4E-4A84-93BF-D148386E94A5}"/>
                </c:ext>
              </c:extLst>
            </c:dLbl>
            <c:dLbl>
              <c:idx val="4"/>
              <c:layout>
                <c:manualLayout>
                  <c:x val="2.5291744654108019E-2"/>
                  <c:y val="4.9463824645085384E-2"/>
                </c:manualLayout>
              </c:layout>
              <c:showLegendKey val="0"/>
              <c:showVal val="0"/>
              <c:showCatName val="1"/>
              <c:showSerName val="0"/>
              <c:showPercent val="1"/>
              <c:showBubbleSize val="0"/>
              <c:extLst>
                <c:ext xmlns:c15="http://schemas.microsoft.com/office/drawing/2012/chart" uri="{CE6537A1-D6FC-4f65-9D91-7224C49458BB}">
                  <c15:layout>
                    <c:manualLayout>
                      <c:w val="0.11615894686740207"/>
                      <c:h val="0.19620460874630161"/>
                    </c:manualLayout>
                  </c15:layout>
                </c:ext>
                <c:ext xmlns:c16="http://schemas.microsoft.com/office/drawing/2014/chart" uri="{C3380CC4-5D6E-409C-BE32-E72D297353CC}">
                  <c16:uniqueId val="{00000008-8D4E-4A84-93BF-D148386E94A5}"/>
                </c:ext>
              </c:extLst>
            </c:dLbl>
            <c:dLbl>
              <c:idx val="5"/>
              <c:layout>
                <c:manualLayout>
                  <c:x val="-1.006742822920014E-2"/>
                  <c:y val="-8.6824763897381127E-2"/>
                </c:manualLayout>
              </c:layout>
              <c:tx>
                <c:rich>
                  <a:bodyPr/>
                  <a:lstStyle/>
                  <a:p>
                    <a:fld id="{B5970C3E-0F02-42F3-8795-9432EB673C46}" type="CATEGORYNAME">
                      <a:rPr lang="en-US"/>
                      <a:pPr/>
                      <a:t>[NÁZOV KATEGÓRIE]</a:t>
                    </a:fld>
                    <a:r>
                      <a:rPr lang="en-US" baseline="0"/>
                      <a:t>
0,5%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A-8D4E-4A84-93BF-D148386E94A5}"/>
                </c:ext>
              </c:extLst>
            </c:dLbl>
            <c:dLbl>
              <c:idx val="6"/>
              <c:layout>
                <c:manualLayout>
                  <c:x val="-0.19338221245831927"/>
                  <c:y val="-5.9698318955149918E-2"/>
                </c:manualLayout>
              </c:layout>
              <c:tx>
                <c:rich>
                  <a:bodyPr/>
                  <a:lstStyle/>
                  <a:p>
                    <a:r>
                      <a:rPr lang="en-US"/>
                      <a:t>Sociálne príspevky
73,4%</a:t>
                    </a:r>
                  </a:p>
                </c:rich>
              </c:tx>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C-8D4E-4A84-93BF-D148386E94A5}"/>
                </c:ext>
              </c:extLst>
            </c:dLbl>
            <c:numFmt formatCode="0.0%" sourceLinked="0"/>
            <c:spPr>
              <a:noFill/>
              <a:ln>
                <a:noFill/>
              </a:ln>
              <a:effectLst/>
            </c:spPr>
            <c:txPr>
              <a:bodyPr/>
              <a:lstStyle/>
              <a:p>
                <a:pPr>
                  <a:defRPr sz="900">
                    <a:latin typeface="Arial Narrow" pitchFamily="34" charset="0"/>
                  </a:defRPr>
                </a:pPr>
                <a:endParaRPr lang="sk-SK"/>
              </a:p>
            </c:txPr>
            <c:showLegendKey val="0"/>
            <c:showVal val="0"/>
            <c:showCatName val="1"/>
            <c:showSerName val="0"/>
            <c:showPercent val="1"/>
            <c:showBubbleSize val="0"/>
            <c:showLeaderLines val="0"/>
            <c:extLst>
              <c:ext xmlns:c15="http://schemas.microsoft.com/office/drawing/2012/chart" uri="{CE6537A1-D6FC-4f65-9D91-7224C49458BB}"/>
            </c:extLst>
          </c:dLbls>
          <c:cat>
            <c:strRef>
              <c:f>'prijmy '!$A$35:$A$40</c:f>
              <c:strCache>
                <c:ptCount val="6"/>
                <c:pt idx="0">
                  <c:v>Príspevky verejnej správy</c:v>
                </c:pt>
                <c:pt idx="1">
                  <c:v>Iné príjmy</c:v>
                </c:pt>
                <c:pt idx="2">
                  <c:v>Zamestnávatelia</c:v>
                </c:pt>
                <c:pt idx="3">
                  <c:v>Zamestnanci</c:v>
                </c:pt>
                <c:pt idx="4">
                  <c:v>SZČO</c:v>
                </c:pt>
                <c:pt idx="5">
                  <c:v>Dobrovoľní platitelia</c:v>
                </c:pt>
              </c:strCache>
            </c:strRef>
          </c:cat>
          <c:val>
            <c:numRef>
              <c:f>'prijmy '!$B$35:$B$40</c:f>
              <c:numCache>
                <c:formatCode>0.00</c:formatCode>
                <c:ptCount val="6"/>
                <c:pt idx="0">
                  <c:v>4272.79</c:v>
                </c:pt>
                <c:pt idx="1">
                  <c:v>534.41</c:v>
                </c:pt>
                <c:pt idx="2" formatCode="#,##0.00">
                  <c:v>9070.81</c:v>
                </c:pt>
                <c:pt idx="3" formatCode="#,##0">
                  <c:v>3462.27</c:v>
                </c:pt>
                <c:pt idx="4" formatCode="#,##0">
                  <c:v>633.83000000000004</c:v>
                </c:pt>
                <c:pt idx="5" formatCode="#,##0">
                  <c:v>85.09</c:v>
                </c:pt>
              </c:numCache>
            </c:numRef>
          </c:val>
          <c:extLst>
            <c:ext xmlns:c16="http://schemas.microsoft.com/office/drawing/2014/chart" uri="{C3380CC4-5D6E-409C-BE32-E72D297353CC}">
              <c16:uniqueId val="{0000000D-8D4E-4A84-93BF-D148386E94A5}"/>
            </c:ext>
          </c:extLst>
        </c:ser>
        <c:dLbls>
          <c:showLegendKey val="0"/>
          <c:showVal val="0"/>
          <c:showCatName val="0"/>
          <c:showSerName val="0"/>
          <c:showPercent val="0"/>
          <c:showBubbleSize val="0"/>
          <c:showLeaderLines val="0"/>
        </c:dLbls>
        <c:gapWidth val="64"/>
        <c:splitType val="pos"/>
        <c:splitPos val="4"/>
        <c:secondPieSize val="87"/>
        <c:serLines/>
      </c:ofPieChart>
    </c:plotArea>
    <c:plotVisOnly val="1"/>
    <c:dispBlanksAs val="gap"/>
    <c:showDLblsOverMax val="0"/>
  </c:chart>
  <c:spPr>
    <a:ln>
      <a:solidFill>
        <a:srgbClr val="C00000"/>
      </a:solid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2213819623063853E-2"/>
          <c:y val="6.1655322162967638E-2"/>
          <c:w val="0.82628198463915881"/>
          <c:h val="0.68958217125659949"/>
        </c:manualLayout>
      </c:layout>
      <c:barChart>
        <c:barDir val="col"/>
        <c:grouping val="stacked"/>
        <c:varyColors val="0"/>
        <c:ser>
          <c:idx val="0"/>
          <c:order val="0"/>
          <c:tx>
            <c:strRef>
              <c:f>'D:\ESSPROS\Publikacia_2021\[OPR_Publikácia Grafy rok 2019.xlsx]invalidita'!$B$8</c:f>
              <c:strCache>
                <c:ptCount val="1"/>
                <c:pt idx="0">
                  <c:v>Invalidné dôchodky</c:v>
                </c:pt>
              </c:strCache>
            </c:strRef>
          </c:tx>
          <c:spPr>
            <a:solidFill>
              <a:schemeClr val="accent6">
                <a:lumMod val="60000"/>
                <a:lumOff val="40000"/>
              </a:schemeClr>
            </a:solidFill>
          </c:spPr>
          <c:invertIfNegative val="0"/>
          <c:cat>
            <c:strRef>
              <c:f>[2]invalidita!$A$9:$A$30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[2]invalidita!$B$9:$B$30</c:f>
              <c:numCache>
                <c:formatCode>General</c:formatCode>
                <c:ptCount val="22"/>
                <c:pt idx="0">
                  <c:v>177.75</c:v>
                </c:pt>
                <c:pt idx="1">
                  <c:v>172.93</c:v>
                </c:pt>
                <c:pt idx="2">
                  <c:v>200.38</c:v>
                </c:pt>
                <c:pt idx="3">
                  <c:v>212.78</c:v>
                </c:pt>
                <c:pt idx="4">
                  <c:v>233.33</c:v>
                </c:pt>
                <c:pt idx="5">
                  <c:v>255</c:v>
                </c:pt>
                <c:pt idx="6">
                  <c:v>297.69</c:v>
                </c:pt>
                <c:pt idx="7">
                  <c:v>332.43</c:v>
                </c:pt>
                <c:pt idx="8">
                  <c:v>379.4</c:v>
                </c:pt>
                <c:pt idx="9">
                  <c:v>465.05</c:v>
                </c:pt>
                <c:pt idx="10">
                  <c:v>552.32000000000005</c:v>
                </c:pt>
                <c:pt idx="11">
                  <c:v>637.85</c:v>
                </c:pt>
                <c:pt idx="12">
                  <c:v>675.33</c:v>
                </c:pt>
                <c:pt idx="13">
                  <c:v>711.91</c:v>
                </c:pt>
                <c:pt idx="14">
                  <c:v>750</c:v>
                </c:pt>
                <c:pt idx="15">
                  <c:v>775.78</c:v>
                </c:pt>
                <c:pt idx="16">
                  <c:v>793.51</c:v>
                </c:pt>
                <c:pt idx="17">
                  <c:v>801.69</c:v>
                </c:pt>
                <c:pt idx="18">
                  <c:v>815.87</c:v>
                </c:pt>
                <c:pt idx="19">
                  <c:v>834.47</c:v>
                </c:pt>
                <c:pt idx="20">
                  <c:v>845.52</c:v>
                </c:pt>
                <c:pt idx="21">
                  <c:v>866.72</c:v>
                </c:pt>
              </c:numCache>
            </c:numRef>
          </c:val>
          <c:extLst>
            <c:ext xmlns:c16="http://schemas.microsoft.com/office/drawing/2014/chart" uri="{C3380CC4-5D6E-409C-BE32-E72D297353CC}">
              <c16:uniqueId val="{00000000-B425-4C04-B48E-21F21EB027B2}"/>
            </c:ext>
          </c:extLst>
        </c:ser>
        <c:ser>
          <c:idx val="1"/>
          <c:order val="1"/>
          <c:tx>
            <c:strRef>
              <c:f>'D:\ESSPROS\Publikacia_2021\[OPR_Publikácia Grafy rok 2019.xlsx]invalidita'!$C$8</c:f>
              <c:strCache>
                <c:ptCount val="1"/>
                <c:pt idx="0">
                  <c:v>Príspevky na starostlivosť</c:v>
                </c:pt>
              </c:strCache>
            </c:strRef>
          </c:tx>
          <c:spPr>
            <a:solidFill>
              <a:schemeClr val="accent6">
                <a:lumMod val="75000"/>
              </a:schemeClr>
            </a:solidFill>
          </c:spPr>
          <c:invertIfNegative val="0"/>
          <c:cat>
            <c:strRef>
              <c:f>[2]invalidita!$A$9:$A$30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[2]invalidita!$C$9:$C$30</c:f>
              <c:numCache>
                <c:formatCode>General</c:formatCode>
                <c:ptCount val="22"/>
                <c:pt idx="0">
                  <c:v>21.61</c:v>
                </c:pt>
                <c:pt idx="1">
                  <c:v>25.84</c:v>
                </c:pt>
                <c:pt idx="2">
                  <c:v>33.909999999999997</c:v>
                </c:pt>
                <c:pt idx="3">
                  <c:v>48.09</c:v>
                </c:pt>
                <c:pt idx="4">
                  <c:v>83.36</c:v>
                </c:pt>
                <c:pt idx="5">
                  <c:v>106.03</c:v>
                </c:pt>
                <c:pt idx="6">
                  <c:v>15.11</c:v>
                </c:pt>
                <c:pt idx="7">
                  <c:v>14.07</c:v>
                </c:pt>
                <c:pt idx="8">
                  <c:v>18.63</c:v>
                </c:pt>
                <c:pt idx="9">
                  <c:v>19.64</c:v>
                </c:pt>
                <c:pt idx="10">
                  <c:v>20.73</c:v>
                </c:pt>
                <c:pt idx="11">
                  <c:v>27.5</c:v>
                </c:pt>
                <c:pt idx="12">
                  <c:v>31.61</c:v>
                </c:pt>
                <c:pt idx="13">
                  <c:v>34.229999999999997</c:v>
                </c:pt>
                <c:pt idx="14">
                  <c:v>37.69</c:v>
                </c:pt>
                <c:pt idx="15">
                  <c:v>40.770000000000003</c:v>
                </c:pt>
                <c:pt idx="16">
                  <c:v>43.37</c:v>
                </c:pt>
                <c:pt idx="17">
                  <c:v>44.78</c:v>
                </c:pt>
                <c:pt idx="18">
                  <c:v>46.11</c:v>
                </c:pt>
                <c:pt idx="19">
                  <c:v>48.88</c:v>
                </c:pt>
                <c:pt idx="20">
                  <c:v>50.3</c:v>
                </c:pt>
                <c:pt idx="21">
                  <c:v>52.01</c:v>
                </c:pt>
              </c:numCache>
            </c:numRef>
          </c:val>
          <c:extLst>
            <c:ext xmlns:c16="http://schemas.microsoft.com/office/drawing/2014/chart" uri="{C3380CC4-5D6E-409C-BE32-E72D297353CC}">
              <c16:uniqueId val="{00000001-B425-4C04-B48E-21F21EB027B2}"/>
            </c:ext>
          </c:extLst>
        </c:ser>
        <c:ser>
          <c:idx val="2"/>
          <c:order val="2"/>
          <c:tx>
            <c:strRef>
              <c:f>'D:\ESSPROS\Publikacia_2021\[OPR_Publikácia Grafy rok 2019.xlsx]invalidita'!$D$8</c:f>
              <c:strCache>
                <c:ptCount val="1"/>
                <c:pt idx="0">
                  <c:v>Ostatné pravidelné peňažné dávky</c:v>
                </c:pt>
              </c:strCache>
            </c:strRef>
          </c:tx>
          <c:invertIfNegative val="0"/>
          <c:cat>
            <c:strRef>
              <c:f>[2]invalidita!$A$9:$A$30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[2]invalidita!$D$9:$D$30</c:f>
              <c:numCache>
                <c:formatCode>General</c:formatCode>
                <c:ptCount val="22"/>
                <c:pt idx="0">
                  <c:v>7.41</c:v>
                </c:pt>
                <c:pt idx="1">
                  <c:v>7.32</c:v>
                </c:pt>
                <c:pt idx="2">
                  <c:v>13.27</c:v>
                </c:pt>
                <c:pt idx="3">
                  <c:v>17.495000000000001</c:v>
                </c:pt>
                <c:pt idx="4">
                  <c:v>18.164999999999999</c:v>
                </c:pt>
                <c:pt idx="5">
                  <c:v>13.904999999999999</c:v>
                </c:pt>
                <c:pt idx="6">
                  <c:v>33.15</c:v>
                </c:pt>
                <c:pt idx="7">
                  <c:v>39.71</c:v>
                </c:pt>
                <c:pt idx="8">
                  <c:v>48.44</c:v>
                </c:pt>
                <c:pt idx="9">
                  <c:v>56.75</c:v>
                </c:pt>
                <c:pt idx="10">
                  <c:v>38.39</c:v>
                </c:pt>
                <c:pt idx="11">
                  <c:v>64.06</c:v>
                </c:pt>
                <c:pt idx="12">
                  <c:v>74.44</c:v>
                </c:pt>
                <c:pt idx="13">
                  <c:v>78.69</c:v>
                </c:pt>
                <c:pt idx="14">
                  <c:v>82.45</c:v>
                </c:pt>
                <c:pt idx="15">
                  <c:v>85.82</c:v>
                </c:pt>
                <c:pt idx="16">
                  <c:v>88.01</c:v>
                </c:pt>
                <c:pt idx="17">
                  <c:v>88.83</c:v>
                </c:pt>
                <c:pt idx="18">
                  <c:v>88.4</c:v>
                </c:pt>
                <c:pt idx="19">
                  <c:v>110.98</c:v>
                </c:pt>
                <c:pt idx="20">
                  <c:v>106.87</c:v>
                </c:pt>
                <c:pt idx="21">
                  <c:v>113.43</c:v>
                </c:pt>
              </c:numCache>
            </c:numRef>
          </c:val>
          <c:extLst>
            <c:ext xmlns:c16="http://schemas.microsoft.com/office/drawing/2014/chart" uri="{C3380CC4-5D6E-409C-BE32-E72D297353CC}">
              <c16:uniqueId val="{00000002-B425-4C04-B48E-21F21EB027B2}"/>
            </c:ext>
          </c:extLst>
        </c:ser>
        <c:ser>
          <c:idx val="3"/>
          <c:order val="3"/>
          <c:tx>
            <c:strRef>
              <c:f>'D:\ESSPROS\Publikacia_2021\[OPR_Publikácia Grafy rok 2019.xlsx]invalidita'!$E$8</c:f>
              <c:strCache>
                <c:ptCount val="1"/>
                <c:pt idx="0">
                  <c:v>Jednorazové dávky</c:v>
                </c:pt>
              </c:strCache>
            </c:strRef>
          </c:tx>
          <c:spPr>
            <a:solidFill>
              <a:schemeClr val="accent5">
                <a:lumMod val="75000"/>
              </a:schemeClr>
            </a:solidFill>
          </c:spPr>
          <c:invertIfNegative val="0"/>
          <c:cat>
            <c:strRef>
              <c:f>[2]invalidita!$A$9:$A$30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[2]invalidita!$E$9:$E$30</c:f>
              <c:numCache>
                <c:formatCode>General</c:formatCode>
                <c:ptCount val="22"/>
                <c:pt idx="0">
                  <c:v>16.059999999999999</c:v>
                </c:pt>
                <c:pt idx="1">
                  <c:v>14.48</c:v>
                </c:pt>
                <c:pt idx="2">
                  <c:v>20.059999999999999</c:v>
                </c:pt>
                <c:pt idx="3">
                  <c:v>18.91</c:v>
                </c:pt>
                <c:pt idx="4">
                  <c:v>20.09</c:v>
                </c:pt>
                <c:pt idx="5">
                  <c:v>14.92</c:v>
                </c:pt>
                <c:pt idx="6">
                  <c:v>14.42</c:v>
                </c:pt>
                <c:pt idx="7">
                  <c:v>21.08</c:v>
                </c:pt>
                <c:pt idx="8">
                  <c:v>36.47</c:v>
                </c:pt>
                <c:pt idx="9">
                  <c:v>41.42</c:v>
                </c:pt>
                <c:pt idx="10">
                  <c:v>50.16</c:v>
                </c:pt>
                <c:pt idx="11">
                  <c:v>55.75</c:v>
                </c:pt>
                <c:pt idx="12">
                  <c:v>55.4</c:v>
                </c:pt>
                <c:pt idx="13">
                  <c:v>58.61</c:v>
                </c:pt>
                <c:pt idx="14">
                  <c:v>55.25</c:v>
                </c:pt>
                <c:pt idx="15">
                  <c:v>57.02</c:v>
                </c:pt>
                <c:pt idx="16">
                  <c:v>61.39</c:v>
                </c:pt>
                <c:pt idx="17">
                  <c:v>66.489999999999995</c:v>
                </c:pt>
                <c:pt idx="18">
                  <c:v>66.180000000000007</c:v>
                </c:pt>
                <c:pt idx="19">
                  <c:v>63.08</c:v>
                </c:pt>
                <c:pt idx="20">
                  <c:v>58.44</c:v>
                </c:pt>
                <c:pt idx="21">
                  <c:v>57.35</c:v>
                </c:pt>
              </c:numCache>
            </c:numRef>
          </c:val>
          <c:extLst>
            <c:ext xmlns:c16="http://schemas.microsoft.com/office/drawing/2014/chart" uri="{C3380CC4-5D6E-409C-BE32-E72D297353CC}">
              <c16:uniqueId val="{00000003-B425-4C04-B48E-21F21EB027B2}"/>
            </c:ext>
          </c:extLst>
        </c:ser>
        <c:ser>
          <c:idx val="4"/>
          <c:order val="4"/>
          <c:tx>
            <c:strRef>
              <c:f>'D:\ESSPROS\Publikacia_2021\[OPR_Publikácia Grafy rok 2019.xlsx]invalidita'!$F$8</c:f>
              <c:strCache>
                <c:ptCount val="1"/>
                <c:pt idx="0">
                  <c:v>Sociálne služby s ubytovaním</c:v>
                </c:pt>
              </c:strCache>
            </c:strRef>
          </c:tx>
          <c:spPr>
            <a:solidFill>
              <a:schemeClr val="accent5">
                <a:lumMod val="60000"/>
                <a:lumOff val="40000"/>
              </a:schemeClr>
            </a:solidFill>
          </c:spPr>
          <c:invertIfNegative val="0"/>
          <c:cat>
            <c:strRef>
              <c:f>[2]invalidita!$A$9:$A$30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[2]invalidita!$F$9:$F$30</c:f>
              <c:numCache>
                <c:formatCode>General</c:formatCode>
                <c:ptCount val="22"/>
                <c:pt idx="0">
                  <c:v>25.73</c:v>
                </c:pt>
                <c:pt idx="1">
                  <c:v>25.77</c:v>
                </c:pt>
                <c:pt idx="2">
                  <c:v>36.39</c:v>
                </c:pt>
                <c:pt idx="3">
                  <c:v>39.31</c:v>
                </c:pt>
                <c:pt idx="4">
                  <c:v>54.43</c:v>
                </c:pt>
                <c:pt idx="5">
                  <c:v>66.25</c:v>
                </c:pt>
                <c:pt idx="6">
                  <c:v>76.819999999999993</c:v>
                </c:pt>
                <c:pt idx="7">
                  <c:v>79.98</c:v>
                </c:pt>
                <c:pt idx="8">
                  <c:v>88.74</c:v>
                </c:pt>
                <c:pt idx="9">
                  <c:v>103.61</c:v>
                </c:pt>
                <c:pt idx="10">
                  <c:v>127.43</c:v>
                </c:pt>
                <c:pt idx="11">
                  <c:v>154.35</c:v>
                </c:pt>
                <c:pt idx="12">
                  <c:v>163.29</c:v>
                </c:pt>
                <c:pt idx="13">
                  <c:v>168.7</c:v>
                </c:pt>
                <c:pt idx="14">
                  <c:v>182.07</c:v>
                </c:pt>
                <c:pt idx="15">
                  <c:v>196.03</c:v>
                </c:pt>
                <c:pt idx="16">
                  <c:v>211.73</c:v>
                </c:pt>
                <c:pt idx="17">
                  <c:v>210.32</c:v>
                </c:pt>
                <c:pt idx="18">
                  <c:v>222.45</c:v>
                </c:pt>
                <c:pt idx="19">
                  <c:v>223.15</c:v>
                </c:pt>
                <c:pt idx="20">
                  <c:v>229.36</c:v>
                </c:pt>
                <c:pt idx="21">
                  <c:v>237.21</c:v>
                </c:pt>
              </c:numCache>
            </c:numRef>
          </c:val>
          <c:extLst>
            <c:ext xmlns:c16="http://schemas.microsoft.com/office/drawing/2014/chart" uri="{C3380CC4-5D6E-409C-BE32-E72D297353CC}">
              <c16:uniqueId val="{00000004-B425-4C04-B48E-21F21EB027B2}"/>
            </c:ext>
          </c:extLst>
        </c:ser>
        <c:ser>
          <c:idx val="5"/>
          <c:order val="5"/>
          <c:tx>
            <c:strRef>
              <c:f>'D:\ESSPROS\Publikacia_2021\[OPR_Publikácia Grafy rok 2019.xlsx]invalidita'!$G$8</c:f>
              <c:strCache>
                <c:ptCount val="1"/>
                <c:pt idx="0">
                  <c:v>Iné dávky</c:v>
                </c:pt>
              </c:strCache>
            </c:strRef>
          </c:tx>
          <c:spPr>
            <a:solidFill>
              <a:schemeClr val="accent2"/>
            </a:solidFill>
            <a:ln>
              <a:noFill/>
            </a:ln>
          </c:spPr>
          <c:invertIfNegative val="0"/>
          <c:cat>
            <c:strRef>
              <c:f>[2]invalidita!$A$9:$A$30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[2]invalidita!$G$9:$G$30</c:f>
              <c:numCache>
                <c:formatCode>General</c:formatCode>
                <c:ptCount val="22"/>
                <c:pt idx="0">
                  <c:v>1.2500000000000071</c:v>
                </c:pt>
                <c:pt idx="1">
                  <c:v>6.0499999999999758</c:v>
                </c:pt>
                <c:pt idx="2">
                  <c:v>12.090000000000032</c:v>
                </c:pt>
                <c:pt idx="3">
                  <c:v>15.374999999999972</c:v>
                </c:pt>
                <c:pt idx="4">
                  <c:v>13.794999999999995</c:v>
                </c:pt>
                <c:pt idx="5">
                  <c:v>3.7849999999999824</c:v>
                </c:pt>
                <c:pt idx="6">
                  <c:v>7.819999999999979</c:v>
                </c:pt>
                <c:pt idx="7">
                  <c:v>16.629999999999967</c:v>
                </c:pt>
                <c:pt idx="8">
                  <c:v>24.080000000000027</c:v>
                </c:pt>
                <c:pt idx="9">
                  <c:v>33.860000000000028</c:v>
                </c:pt>
                <c:pt idx="10">
                  <c:v>114.78999999999999</c:v>
                </c:pt>
                <c:pt idx="11">
                  <c:v>33.340000000000003</c:v>
                </c:pt>
                <c:pt idx="12">
                  <c:v>35.120000000000005</c:v>
                </c:pt>
                <c:pt idx="13">
                  <c:v>30.840000000000032</c:v>
                </c:pt>
                <c:pt idx="14">
                  <c:v>33.42000000000013</c:v>
                </c:pt>
                <c:pt idx="15">
                  <c:v>31.67999999999995</c:v>
                </c:pt>
                <c:pt idx="16">
                  <c:v>32.849999999999937</c:v>
                </c:pt>
                <c:pt idx="17">
                  <c:v>24.530000000000086</c:v>
                </c:pt>
                <c:pt idx="18">
                  <c:v>39.940000000000055</c:v>
                </c:pt>
                <c:pt idx="19">
                  <c:v>34.360000000000042</c:v>
                </c:pt>
                <c:pt idx="20">
                  <c:v>39.869999999999891</c:v>
                </c:pt>
                <c:pt idx="21">
                  <c:v>43.819999999999908</c:v>
                </c:pt>
              </c:numCache>
            </c:numRef>
          </c:val>
          <c:extLst>
            <c:ext xmlns:c16="http://schemas.microsoft.com/office/drawing/2014/chart" uri="{C3380CC4-5D6E-409C-BE32-E72D297353CC}">
              <c16:uniqueId val="{00000005-B425-4C04-B48E-21F21EB027B2}"/>
            </c:ext>
          </c:extLst>
        </c:ser>
        <c:dLbls>
          <c:showLegendKey val="0"/>
          <c:showVal val="0"/>
          <c:showCatName val="0"/>
          <c:showSerName val="0"/>
          <c:showPercent val="0"/>
          <c:showBubbleSize val="0"/>
        </c:dLbls>
        <c:gapWidth val="21"/>
        <c:overlap val="100"/>
        <c:axId val="-21124192"/>
        <c:axId val="-289063344"/>
      </c:barChart>
      <c:lineChart>
        <c:grouping val="standard"/>
        <c:varyColors val="0"/>
        <c:ser>
          <c:idx val="6"/>
          <c:order val="6"/>
          <c:tx>
            <c:strRef>
              <c:f>'D:\ESSPROS\Publikacia_2021\[OPR_Publikácia Grafy rok 2019.xlsx]invalidita'!$H$8</c:f>
              <c:strCache>
                <c:ptCount val="1"/>
                <c:pt idx="0">
                  <c:v>% HDP</c:v>
                </c:pt>
              </c:strCache>
            </c:strRef>
          </c:tx>
          <c:spPr>
            <a:ln w="19050">
              <a:solidFill>
                <a:srgbClr val="C00000"/>
              </a:solidFill>
            </a:ln>
          </c:spPr>
          <c:marker>
            <c:symbol val="circle"/>
            <c:size val="6"/>
            <c:spPr>
              <a:solidFill>
                <a:schemeClr val="bg1"/>
              </a:solidFill>
              <a:ln>
                <a:solidFill>
                  <a:srgbClr val="C00000"/>
                </a:solidFill>
              </a:ln>
            </c:spPr>
          </c:marker>
          <c:cat>
            <c:strRef>
              <c:f>[2]invalidita!$A$9:$A$28</c:f>
              <c:strCache>
                <c:ptCount val="20"/>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strCache>
            </c:strRef>
          </c:cat>
          <c:val>
            <c:numRef>
              <c:f>[2]invalidita!$H$9:$H$30</c:f>
              <c:numCache>
                <c:formatCode>General</c:formatCode>
                <c:ptCount val="22"/>
                <c:pt idx="0">
                  <c:v>1.2</c:v>
                </c:pt>
                <c:pt idx="1">
                  <c:v>1.3</c:v>
                </c:pt>
                <c:pt idx="2">
                  <c:v>1.4</c:v>
                </c:pt>
                <c:pt idx="3">
                  <c:v>1.5</c:v>
                </c:pt>
                <c:pt idx="4">
                  <c:v>1.6</c:v>
                </c:pt>
                <c:pt idx="5">
                  <c:v>1.5</c:v>
                </c:pt>
                <c:pt idx="6">
                  <c:v>1.3</c:v>
                </c:pt>
                <c:pt idx="7">
                  <c:v>1.3</c:v>
                </c:pt>
                <c:pt idx="8">
                  <c:v>1.3</c:v>
                </c:pt>
                <c:pt idx="9">
                  <c:v>1.3</c:v>
                </c:pt>
                <c:pt idx="10">
                  <c:v>1.4</c:v>
                </c:pt>
                <c:pt idx="11">
                  <c:v>1.5</c:v>
                </c:pt>
                <c:pt idx="12">
                  <c:v>1.5</c:v>
                </c:pt>
                <c:pt idx="13">
                  <c:v>1.5</c:v>
                </c:pt>
                <c:pt idx="14">
                  <c:v>1.6</c:v>
                </c:pt>
                <c:pt idx="15">
                  <c:v>1.6</c:v>
                </c:pt>
                <c:pt idx="16">
                  <c:v>1.6</c:v>
                </c:pt>
                <c:pt idx="17">
                  <c:v>1.6</c:v>
                </c:pt>
                <c:pt idx="18">
                  <c:v>1.6</c:v>
                </c:pt>
                <c:pt idx="19">
                  <c:v>1.6</c:v>
                </c:pt>
                <c:pt idx="20">
                  <c:v>1.5</c:v>
                </c:pt>
                <c:pt idx="21">
                  <c:v>1.5</c:v>
                </c:pt>
              </c:numCache>
            </c:numRef>
          </c:val>
          <c:smooth val="0"/>
          <c:extLst>
            <c:ext xmlns:c16="http://schemas.microsoft.com/office/drawing/2014/chart" uri="{C3380CC4-5D6E-409C-BE32-E72D297353CC}">
              <c16:uniqueId val="{00000006-B425-4C04-B48E-21F21EB027B2}"/>
            </c:ext>
          </c:extLst>
        </c:ser>
        <c:dLbls>
          <c:showLegendKey val="0"/>
          <c:showVal val="0"/>
          <c:showCatName val="0"/>
          <c:showSerName val="0"/>
          <c:showPercent val="0"/>
          <c:showBubbleSize val="0"/>
        </c:dLbls>
        <c:marker val="1"/>
        <c:smooth val="0"/>
        <c:axId val="-289062800"/>
        <c:axId val="-289058448"/>
      </c:lineChart>
      <c:catAx>
        <c:axId val="-21124192"/>
        <c:scaling>
          <c:orientation val="minMax"/>
        </c:scaling>
        <c:delete val="0"/>
        <c:axPos val="b"/>
        <c:numFmt formatCode="General" sourceLinked="0"/>
        <c:majorTickMark val="out"/>
        <c:minorTickMark val="none"/>
        <c:tickLblPos val="nextTo"/>
        <c:txPr>
          <a:bodyPr/>
          <a:lstStyle/>
          <a:p>
            <a:pPr>
              <a:defRPr sz="800">
                <a:latin typeface="Arial Narrow" pitchFamily="34" charset="0"/>
              </a:defRPr>
            </a:pPr>
            <a:endParaRPr lang="sk-SK"/>
          </a:p>
        </c:txPr>
        <c:crossAx val="-289063344"/>
        <c:crosses val="autoZero"/>
        <c:auto val="1"/>
        <c:lblAlgn val="ctr"/>
        <c:lblOffset val="100"/>
        <c:noMultiLvlLbl val="0"/>
      </c:catAx>
      <c:valAx>
        <c:axId val="-289063344"/>
        <c:scaling>
          <c:orientation val="minMax"/>
          <c:max val="1400"/>
          <c:min val="0"/>
        </c:scaling>
        <c:delete val="0"/>
        <c:axPos val="l"/>
        <c:majorGridlines/>
        <c:numFmt formatCode="0" sourceLinked="0"/>
        <c:majorTickMark val="out"/>
        <c:minorTickMark val="none"/>
        <c:tickLblPos val="nextTo"/>
        <c:txPr>
          <a:bodyPr/>
          <a:lstStyle/>
          <a:p>
            <a:pPr>
              <a:defRPr sz="800">
                <a:latin typeface="Arial Narrow" pitchFamily="34" charset="0"/>
              </a:defRPr>
            </a:pPr>
            <a:endParaRPr lang="sk-SK"/>
          </a:p>
        </c:txPr>
        <c:crossAx val="-21124192"/>
        <c:crosses val="autoZero"/>
        <c:crossBetween val="between"/>
        <c:majorUnit val="100"/>
      </c:valAx>
      <c:valAx>
        <c:axId val="-289058448"/>
        <c:scaling>
          <c:orientation val="minMax"/>
          <c:max val="1.8"/>
          <c:min val="1"/>
        </c:scaling>
        <c:delete val="0"/>
        <c:axPos val="r"/>
        <c:numFmt formatCode="0.0" sourceLinked="0"/>
        <c:majorTickMark val="out"/>
        <c:minorTickMark val="none"/>
        <c:tickLblPos val="nextTo"/>
        <c:txPr>
          <a:bodyPr/>
          <a:lstStyle/>
          <a:p>
            <a:pPr>
              <a:defRPr sz="850">
                <a:latin typeface="Arial Narrow" pitchFamily="34" charset="0"/>
              </a:defRPr>
            </a:pPr>
            <a:endParaRPr lang="sk-SK"/>
          </a:p>
        </c:txPr>
        <c:crossAx val="-289062800"/>
        <c:crosses val="max"/>
        <c:crossBetween val="between"/>
        <c:majorUnit val="0.1"/>
        <c:minorUnit val="5.000000000000001E-2"/>
      </c:valAx>
      <c:catAx>
        <c:axId val="-289062800"/>
        <c:scaling>
          <c:orientation val="minMax"/>
        </c:scaling>
        <c:delete val="1"/>
        <c:axPos val="b"/>
        <c:numFmt formatCode="General" sourceLinked="1"/>
        <c:majorTickMark val="out"/>
        <c:minorTickMark val="none"/>
        <c:tickLblPos val="nextTo"/>
        <c:crossAx val="-289058448"/>
        <c:crosses val="autoZero"/>
        <c:auto val="1"/>
        <c:lblAlgn val="ctr"/>
        <c:lblOffset val="100"/>
        <c:noMultiLvlLbl val="0"/>
      </c:catAx>
      <c:spPr>
        <a:noFill/>
        <a:ln w="25400">
          <a:noFill/>
        </a:ln>
      </c:spPr>
    </c:plotArea>
    <c:legend>
      <c:legendPos val="r"/>
      <c:layout>
        <c:manualLayout>
          <c:xMode val="edge"/>
          <c:yMode val="edge"/>
          <c:x val="5.2499666291886786E-3"/>
          <c:y val="0.82487203102907014"/>
          <c:w val="0.99475001239212446"/>
          <c:h val="0.15232004566150811"/>
        </c:manualLayout>
      </c:layout>
      <c:overlay val="0"/>
      <c:txPr>
        <a:bodyPr/>
        <a:lstStyle/>
        <a:p>
          <a:pPr>
            <a:defRPr sz="800">
              <a:latin typeface="Arial Narrow" pitchFamily="34" charset="0"/>
            </a:defRPr>
          </a:pPr>
          <a:endParaRPr lang="sk-SK"/>
        </a:p>
      </c:txPr>
    </c:legend>
    <c:plotVisOnly val="1"/>
    <c:dispBlanksAs val="gap"/>
    <c:showDLblsOverMax val="0"/>
  </c:chart>
  <c:spPr>
    <a:ln>
      <a:solidFill>
        <a:srgbClr val="C00000"/>
      </a:solidFill>
    </a:ln>
  </c:sp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7312121212121211E-2"/>
          <c:y val="5.2233560690892078E-2"/>
          <c:w val="0.82498030303030301"/>
          <c:h val="0.70034072959681204"/>
        </c:manualLayout>
      </c:layout>
      <c:barChart>
        <c:barDir val="col"/>
        <c:grouping val="stacked"/>
        <c:varyColors val="0"/>
        <c:ser>
          <c:idx val="0"/>
          <c:order val="0"/>
          <c:tx>
            <c:strRef>
              <c:f>'D:\ESSPROS\Publikacia_2021\[OPR_Publikácia Grafy rok 2019.xlsx]staroba'!$B$8</c:f>
              <c:strCache>
                <c:ptCount val="1"/>
                <c:pt idx="0">
                  <c:v>Starobný dôchodok</c:v>
                </c:pt>
              </c:strCache>
            </c:strRef>
          </c:tx>
          <c:spPr>
            <a:solidFill>
              <a:schemeClr val="accent6">
                <a:lumMod val="60000"/>
                <a:lumOff val="40000"/>
              </a:schemeClr>
            </a:solidFill>
            <a:ln>
              <a:solidFill>
                <a:schemeClr val="accent3">
                  <a:lumMod val="60000"/>
                  <a:lumOff val="40000"/>
                </a:schemeClr>
              </a:solidFill>
            </a:ln>
          </c:spPr>
          <c:invertIfNegative val="0"/>
          <c:cat>
            <c:strRef>
              <c:f>[2]staroba!$A$9:$A$30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[2]staroba!$B$9:$B$30</c:f>
              <c:numCache>
                <c:formatCode>General</c:formatCode>
                <c:ptCount val="22"/>
                <c:pt idx="0">
                  <c:v>1066.94</c:v>
                </c:pt>
                <c:pt idx="1">
                  <c:v>1040.42</c:v>
                </c:pt>
                <c:pt idx="2">
                  <c:v>1198.6600000000001</c:v>
                </c:pt>
                <c:pt idx="3">
                  <c:v>1293.51</c:v>
                </c:pt>
                <c:pt idx="4">
                  <c:v>1446.47</c:v>
                </c:pt>
                <c:pt idx="5">
                  <c:v>1636.26</c:v>
                </c:pt>
                <c:pt idx="6">
                  <c:v>1893.86</c:v>
                </c:pt>
                <c:pt idx="7">
                  <c:v>2151.27</c:v>
                </c:pt>
                <c:pt idx="8">
                  <c:v>2400.66</c:v>
                </c:pt>
                <c:pt idx="9">
                  <c:v>2889.51</c:v>
                </c:pt>
                <c:pt idx="10">
                  <c:v>3319.86</c:v>
                </c:pt>
                <c:pt idx="11">
                  <c:v>3683.02</c:v>
                </c:pt>
                <c:pt idx="12">
                  <c:v>3849.89</c:v>
                </c:pt>
                <c:pt idx="13">
                  <c:v>4022.53</c:v>
                </c:pt>
                <c:pt idx="14">
                  <c:v>4272.67</c:v>
                </c:pt>
                <c:pt idx="15">
                  <c:v>4481.96</c:v>
                </c:pt>
                <c:pt idx="16">
                  <c:v>4829.79</c:v>
                </c:pt>
                <c:pt idx="17">
                  <c:v>5040.78</c:v>
                </c:pt>
                <c:pt idx="18">
                  <c:v>5085.38</c:v>
                </c:pt>
                <c:pt idx="19">
                  <c:v>5332.23</c:v>
                </c:pt>
                <c:pt idx="20">
                  <c:v>5613.72</c:v>
                </c:pt>
                <c:pt idx="21">
                  <c:v>5912.3</c:v>
                </c:pt>
              </c:numCache>
            </c:numRef>
          </c:val>
          <c:extLst>
            <c:ext xmlns:c16="http://schemas.microsoft.com/office/drawing/2014/chart" uri="{C3380CC4-5D6E-409C-BE32-E72D297353CC}">
              <c16:uniqueId val="{00000000-2E5E-4138-8716-499CC3A3E8C2}"/>
            </c:ext>
          </c:extLst>
        </c:ser>
        <c:ser>
          <c:idx val="1"/>
          <c:order val="1"/>
          <c:tx>
            <c:strRef>
              <c:f>'D:\ESSPROS\Publikacia_2021\[OPR_Publikácia Grafy rok 2019.xlsx]staroba'!$C$8</c:f>
              <c:strCache>
                <c:ptCount val="1"/>
                <c:pt idx="0">
                  <c:v>Očakávaný starobný dôchodok</c:v>
                </c:pt>
              </c:strCache>
            </c:strRef>
          </c:tx>
          <c:spPr>
            <a:solidFill>
              <a:schemeClr val="accent6">
                <a:lumMod val="75000"/>
              </a:schemeClr>
            </a:solidFill>
            <a:ln>
              <a:solidFill>
                <a:srgbClr val="C00000"/>
              </a:solidFill>
            </a:ln>
          </c:spPr>
          <c:invertIfNegative val="0"/>
          <c:cat>
            <c:strRef>
              <c:f>[2]staroba!$A$9:$A$30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[2]staroba!$C$9:$C$30</c:f>
              <c:numCache>
                <c:formatCode>General</c:formatCode>
                <c:ptCount val="22"/>
                <c:pt idx="0">
                  <c:v>0.12</c:v>
                </c:pt>
                <c:pt idx="1">
                  <c:v>0.13</c:v>
                </c:pt>
                <c:pt idx="2">
                  <c:v>0.16</c:v>
                </c:pt>
                <c:pt idx="3">
                  <c:v>1.03</c:v>
                </c:pt>
                <c:pt idx="4">
                  <c:v>4.38</c:v>
                </c:pt>
                <c:pt idx="5">
                  <c:v>10.97</c:v>
                </c:pt>
                <c:pt idx="6">
                  <c:v>16.45</c:v>
                </c:pt>
                <c:pt idx="7">
                  <c:v>26.63</c:v>
                </c:pt>
                <c:pt idx="8">
                  <c:v>20.43</c:v>
                </c:pt>
                <c:pt idx="9">
                  <c:v>27.41</c:v>
                </c:pt>
                <c:pt idx="10">
                  <c:v>5.89</c:v>
                </c:pt>
                <c:pt idx="11">
                  <c:v>167.93</c:v>
                </c:pt>
                <c:pt idx="12">
                  <c:v>175.74</c:v>
                </c:pt>
                <c:pt idx="13">
                  <c:v>198.89</c:v>
                </c:pt>
                <c:pt idx="14">
                  <c:v>202.93</c:v>
                </c:pt>
                <c:pt idx="15">
                  <c:v>207.54</c:v>
                </c:pt>
                <c:pt idx="16">
                  <c:v>196.74</c:v>
                </c:pt>
                <c:pt idx="17">
                  <c:v>155.25</c:v>
                </c:pt>
                <c:pt idx="18">
                  <c:v>193.56</c:v>
                </c:pt>
                <c:pt idx="19">
                  <c:v>193.57</c:v>
                </c:pt>
                <c:pt idx="20">
                  <c:v>202.68</c:v>
                </c:pt>
                <c:pt idx="21">
                  <c:v>192.73</c:v>
                </c:pt>
              </c:numCache>
            </c:numRef>
          </c:val>
          <c:extLst>
            <c:ext xmlns:c16="http://schemas.microsoft.com/office/drawing/2014/chart" uri="{C3380CC4-5D6E-409C-BE32-E72D297353CC}">
              <c16:uniqueId val="{00000001-2E5E-4138-8716-499CC3A3E8C2}"/>
            </c:ext>
          </c:extLst>
        </c:ser>
        <c:ser>
          <c:idx val="2"/>
          <c:order val="2"/>
          <c:tx>
            <c:strRef>
              <c:f>'D:\ESSPROS\Publikacia_2021\[OPR_Publikácia Grafy rok 2019.xlsx]staroba'!$D$8</c:f>
              <c:strCache>
                <c:ptCount val="1"/>
                <c:pt idx="0">
                  <c:v>Jednorazové dávky</c:v>
                </c:pt>
              </c:strCache>
            </c:strRef>
          </c:tx>
          <c:spPr>
            <a:solidFill>
              <a:srgbClr val="0070C0"/>
            </a:solidFill>
            <a:ln>
              <a:solidFill>
                <a:srgbClr val="0070C0"/>
              </a:solidFill>
            </a:ln>
          </c:spPr>
          <c:invertIfNegative val="0"/>
          <c:cat>
            <c:strRef>
              <c:f>[2]staroba!$A$9:$A$30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[2]staroba!$D$9:$D$30</c:f>
              <c:numCache>
                <c:formatCode>General</c:formatCode>
                <c:ptCount val="22"/>
                <c:pt idx="0">
                  <c:v>0.1</c:v>
                </c:pt>
                <c:pt idx="1">
                  <c:v>0.56999999999999995</c:v>
                </c:pt>
                <c:pt idx="2">
                  <c:v>1.65</c:v>
                </c:pt>
                <c:pt idx="3">
                  <c:v>2.96</c:v>
                </c:pt>
                <c:pt idx="4">
                  <c:v>3.53</c:v>
                </c:pt>
                <c:pt idx="5">
                  <c:v>10.199999999999999</c:v>
                </c:pt>
                <c:pt idx="6">
                  <c:v>6.52</c:v>
                </c:pt>
                <c:pt idx="7">
                  <c:v>6.27</c:v>
                </c:pt>
                <c:pt idx="8">
                  <c:v>45.76</c:v>
                </c:pt>
                <c:pt idx="9">
                  <c:v>64.61</c:v>
                </c:pt>
                <c:pt idx="10">
                  <c:v>111.25</c:v>
                </c:pt>
                <c:pt idx="11">
                  <c:v>122.05</c:v>
                </c:pt>
                <c:pt idx="12">
                  <c:v>148.72999999999999</c:v>
                </c:pt>
                <c:pt idx="13">
                  <c:v>155.53</c:v>
                </c:pt>
                <c:pt idx="14">
                  <c:v>158.6</c:v>
                </c:pt>
                <c:pt idx="15">
                  <c:v>201.64</c:v>
                </c:pt>
                <c:pt idx="16">
                  <c:v>178.86</c:v>
                </c:pt>
                <c:pt idx="17">
                  <c:v>154.55000000000001</c:v>
                </c:pt>
                <c:pt idx="18">
                  <c:v>150.72</c:v>
                </c:pt>
                <c:pt idx="19">
                  <c:v>142.38999999999999</c:v>
                </c:pt>
                <c:pt idx="20">
                  <c:v>91.49</c:v>
                </c:pt>
                <c:pt idx="21">
                  <c:v>87.06</c:v>
                </c:pt>
              </c:numCache>
            </c:numRef>
          </c:val>
          <c:extLst>
            <c:ext xmlns:c16="http://schemas.microsoft.com/office/drawing/2014/chart" uri="{C3380CC4-5D6E-409C-BE32-E72D297353CC}">
              <c16:uniqueId val="{00000002-2E5E-4138-8716-499CC3A3E8C2}"/>
            </c:ext>
          </c:extLst>
        </c:ser>
        <c:ser>
          <c:idx val="3"/>
          <c:order val="3"/>
          <c:tx>
            <c:strRef>
              <c:f>'D:\ESSPROS\Publikacia_2021\[OPR_Publikácia Grafy rok 2019.xlsx]staroba'!$E$8</c:f>
              <c:strCache>
                <c:ptCount val="1"/>
                <c:pt idx="0">
                  <c:v>Sociálne služby s ubytovaním</c:v>
                </c:pt>
              </c:strCache>
            </c:strRef>
          </c:tx>
          <c:spPr>
            <a:solidFill>
              <a:schemeClr val="tx2">
                <a:lumMod val="40000"/>
                <a:lumOff val="60000"/>
              </a:schemeClr>
            </a:solidFill>
            <a:ln>
              <a:solidFill>
                <a:srgbClr val="7030A0"/>
              </a:solidFill>
            </a:ln>
          </c:spPr>
          <c:invertIfNegative val="0"/>
          <c:cat>
            <c:strRef>
              <c:f>[2]staroba!$A$9:$A$30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[2]staroba!$E$9:$E$30</c:f>
              <c:numCache>
                <c:formatCode>General</c:formatCode>
                <c:ptCount val="22"/>
                <c:pt idx="0">
                  <c:v>42.63</c:v>
                </c:pt>
                <c:pt idx="1">
                  <c:v>43.45</c:v>
                </c:pt>
                <c:pt idx="2">
                  <c:v>36.869999999999997</c:v>
                </c:pt>
                <c:pt idx="3">
                  <c:v>42.73</c:v>
                </c:pt>
                <c:pt idx="4">
                  <c:v>46.33</c:v>
                </c:pt>
                <c:pt idx="5">
                  <c:v>53.02</c:v>
                </c:pt>
                <c:pt idx="6">
                  <c:v>64.08</c:v>
                </c:pt>
                <c:pt idx="7">
                  <c:v>67.72</c:v>
                </c:pt>
                <c:pt idx="8">
                  <c:v>77.650000000000006</c:v>
                </c:pt>
                <c:pt idx="9">
                  <c:v>90.85</c:v>
                </c:pt>
                <c:pt idx="10">
                  <c:v>104.65</c:v>
                </c:pt>
                <c:pt idx="11">
                  <c:v>104.54</c:v>
                </c:pt>
                <c:pt idx="12">
                  <c:v>97.8</c:v>
                </c:pt>
                <c:pt idx="13">
                  <c:v>95.85</c:v>
                </c:pt>
                <c:pt idx="14">
                  <c:v>98.94</c:v>
                </c:pt>
                <c:pt idx="15">
                  <c:v>101.69</c:v>
                </c:pt>
                <c:pt idx="16">
                  <c:v>113.76</c:v>
                </c:pt>
                <c:pt idx="17">
                  <c:v>138.15</c:v>
                </c:pt>
                <c:pt idx="18">
                  <c:v>155.91</c:v>
                </c:pt>
                <c:pt idx="19">
                  <c:v>189.91</c:v>
                </c:pt>
                <c:pt idx="20">
                  <c:v>190.75</c:v>
                </c:pt>
                <c:pt idx="21">
                  <c:v>194.15</c:v>
                </c:pt>
              </c:numCache>
            </c:numRef>
          </c:val>
          <c:extLst>
            <c:ext xmlns:c16="http://schemas.microsoft.com/office/drawing/2014/chart" uri="{C3380CC4-5D6E-409C-BE32-E72D297353CC}">
              <c16:uniqueId val="{00000003-2E5E-4138-8716-499CC3A3E8C2}"/>
            </c:ext>
          </c:extLst>
        </c:ser>
        <c:ser>
          <c:idx val="4"/>
          <c:order val="4"/>
          <c:tx>
            <c:strRef>
              <c:f>'D:\ESSPROS\Publikacia_2021\[OPR_Publikácia Grafy rok 2019.xlsx]staroba'!$F$8</c:f>
              <c:strCache>
                <c:ptCount val="1"/>
                <c:pt idx="0">
                  <c:v>Pomoc pri vykonávaní den. aktivít</c:v>
                </c:pt>
              </c:strCache>
            </c:strRef>
          </c:tx>
          <c:spPr>
            <a:solidFill>
              <a:schemeClr val="accent3">
                <a:lumMod val="40000"/>
                <a:lumOff val="60000"/>
              </a:schemeClr>
            </a:solidFill>
            <a:ln>
              <a:solidFill>
                <a:schemeClr val="accent3">
                  <a:lumMod val="60000"/>
                  <a:lumOff val="40000"/>
                </a:schemeClr>
              </a:solidFill>
            </a:ln>
          </c:spPr>
          <c:invertIfNegative val="0"/>
          <c:cat>
            <c:strRef>
              <c:f>[2]staroba!$A$9:$A$30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[2]staroba!$F$9:$F$30</c:f>
              <c:numCache>
                <c:formatCode>General</c:formatCode>
                <c:ptCount val="22"/>
                <c:pt idx="0">
                  <c:v>9.15</c:v>
                </c:pt>
                <c:pt idx="1">
                  <c:v>10.07</c:v>
                </c:pt>
                <c:pt idx="2">
                  <c:v>14.62</c:v>
                </c:pt>
                <c:pt idx="3">
                  <c:v>16.47</c:v>
                </c:pt>
                <c:pt idx="4">
                  <c:v>18.29</c:v>
                </c:pt>
                <c:pt idx="5">
                  <c:v>83.51</c:v>
                </c:pt>
                <c:pt idx="6">
                  <c:v>58.81</c:v>
                </c:pt>
                <c:pt idx="7">
                  <c:v>77.88</c:v>
                </c:pt>
                <c:pt idx="8">
                  <c:v>90.55</c:v>
                </c:pt>
                <c:pt idx="9">
                  <c:v>100.92</c:v>
                </c:pt>
                <c:pt idx="10">
                  <c:v>106.89</c:v>
                </c:pt>
                <c:pt idx="11">
                  <c:v>112.65</c:v>
                </c:pt>
                <c:pt idx="12">
                  <c:v>122.45</c:v>
                </c:pt>
                <c:pt idx="13">
                  <c:v>126.99</c:v>
                </c:pt>
                <c:pt idx="14">
                  <c:v>131.15</c:v>
                </c:pt>
                <c:pt idx="15">
                  <c:v>131.43</c:v>
                </c:pt>
                <c:pt idx="16">
                  <c:v>132.75</c:v>
                </c:pt>
                <c:pt idx="17">
                  <c:v>127.5</c:v>
                </c:pt>
                <c:pt idx="18">
                  <c:v>127.63</c:v>
                </c:pt>
                <c:pt idx="19">
                  <c:v>149.66</c:v>
                </c:pt>
                <c:pt idx="20">
                  <c:v>155.85</c:v>
                </c:pt>
                <c:pt idx="21">
                  <c:v>160.26</c:v>
                </c:pt>
              </c:numCache>
            </c:numRef>
          </c:val>
          <c:extLst>
            <c:ext xmlns:c16="http://schemas.microsoft.com/office/drawing/2014/chart" uri="{C3380CC4-5D6E-409C-BE32-E72D297353CC}">
              <c16:uniqueId val="{00000004-2E5E-4138-8716-499CC3A3E8C2}"/>
            </c:ext>
          </c:extLst>
        </c:ser>
        <c:ser>
          <c:idx val="5"/>
          <c:order val="5"/>
          <c:tx>
            <c:strRef>
              <c:f>'D:\ESSPROS\Publikacia_2021\[OPR_Publikácia Grafy rok 2019.xlsx]staroba'!$G$8</c:f>
              <c:strCache>
                <c:ptCount val="1"/>
                <c:pt idx="0">
                  <c:v>Ostatné dávky</c:v>
                </c:pt>
              </c:strCache>
            </c:strRef>
          </c:tx>
          <c:spPr>
            <a:solidFill>
              <a:schemeClr val="tx1"/>
            </a:solidFill>
            <a:ln>
              <a:solidFill>
                <a:schemeClr val="tx1"/>
              </a:solidFill>
            </a:ln>
          </c:spPr>
          <c:invertIfNegative val="0"/>
          <c:cat>
            <c:strRef>
              <c:f>[2]staroba!$A$9:$A$30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[2]staroba!$G$9:$G$30</c:f>
              <c:numCache>
                <c:formatCode>General</c:formatCode>
                <c:ptCount val="22"/>
                <c:pt idx="0">
                  <c:v>69.549999999999955</c:v>
                </c:pt>
                <c:pt idx="1">
                  <c:v>73.179999999999865</c:v>
                </c:pt>
                <c:pt idx="2">
                  <c:v>79.729999999999961</c:v>
                </c:pt>
                <c:pt idx="3">
                  <c:v>81.319999999999993</c:v>
                </c:pt>
                <c:pt idx="4">
                  <c:v>80.319999999999908</c:v>
                </c:pt>
                <c:pt idx="5">
                  <c:v>66.540000000000006</c:v>
                </c:pt>
                <c:pt idx="6">
                  <c:v>46.680000000000192</c:v>
                </c:pt>
                <c:pt idx="7">
                  <c:v>60.960000000000036</c:v>
                </c:pt>
                <c:pt idx="8">
                  <c:v>60.330000000000254</c:v>
                </c:pt>
                <c:pt idx="9">
                  <c:v>63.389999999999802</c:v>
                </c:pt>
                <c:pt idx="10">
                  <c:v>71.149999999999935</c:v>
                </c:pt>
                <c:pt idx="11">
                  <c:v>80.129999999999683</c:v>
                </c:pt>
                <c:pt idx="12">
                  <c:v>86.11000000000034</c:v>
                </c:pt>
                <c:pt idx="13">
                  <c:v>84.089999999999961</c:v>
                </c:pt>
                <c:pt idx="14">
                  <c:v>86.119999999999806</c:v>
                </c:pt>
                <c:pt idx="15">
                  <c:v>73.899999999999864</c:v>
                </c:pt>
                <c:pt idx="16">
                  <c:v>86.780000000000314</c:v>
                </c:pt>
                <c:pt idx="17">
                  <c:v>89.830000000000638</c:v>
                </c:pt>
                <c:pt idx="18">
                  <c:v>104.52999999999949</c:v>
                </c:pt>
                <c:pt idx="19">
                  <c:v>113.91000000000062</c:v>
                </c:pt>
                <c:pt idx="20">
                  <c:v>112.92999999999975</c:v>
                </c:pt>
                <c:pt idx="21">
                  <c:v>113.58999999999992</c:v>
                </c:pt>
              </c:numCache>
            </c:numRef>
          </c:val>
          <c:extLst>
            <c:ext xmlns:c16="http://schemas.microsoft.com/office/drawing/2014/chart" uri="{C3380CC4-5D6E-409C-BE32-E72D297353CC}">
              <c16:uniqueId val="{00000005-2E5E-4138-8716-499CC3A3E8C2}"/>
            </c:ext>
          </c:extLst>
        </c:ser>
        <c:dLbls>
          <c:showLegendKey val="0"/>
          <c:showVal val="0"/>
          <c:showCatName val="0"/>
          <c:showSerName val="0"/>
          <c:showPercent val="0"/>
          <c:showBubbleSize val="0"/>
        </c:dLbls>
        <c:gapWidth val="12"/>
        <c:overlap val="100"/>
        <c:axId val="-1953164736"/>
        <c:axId val="-1953145152"/>
      </c:barChart>
      <c:lineChart>
        <c:grouping val="standard"/>
        <c:varyColors val="0"/>
        <c:ser>
          <c:idx val="6"/>
          <c:order val="6"/>
          <c:tx>
            <c:strRef>
              <c:f>'D:\ESSPROS\Publikacia_2021\[OPR_Publikácia Grafy rok 2019.xlsx]staroba'!$H$8</c:f>
              <c:strCache>
                <c:ptCount val="1"/>
                <c:pt idx="0">
                  <c:v>% HDP</c:v>
                </c:pt>
              </c:strCache>
            </c:strRef>
          </c:tx>
          <c:spPr>
            <a:ln w="19050">
              <a:solidFill>
                <a:srgbClr val="C00000"/>
              </a:solidFill>
            </a:ln>
          </c:spPr>
          <c:marker>
            <c:symbol val="circle"/>
            <c:size val="5"/>
            <c:spPr>
              <a:solidFill>
                <a:schemeClr val="bg1"/>
              </a:solidFill>
              <a:ln>
                <a:solidFill>
                  <a:srgbClr val="C00000"/>
                </a:solidFill>
              </a:ln>
            </c:spPr>
          </c:marker>
          <c:cat>
            <c:strRef>
              <c:f>[2]staroba!$A$9:$A$30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[2]staroba!$H$9:$H$30</c:f>
              <c:numCache>
                <c:formatCode>General</c:formatCode>
                <c:ptCount val="22"/>
                <c:pt idx="0">
                  <c:v>5.8</c:v>
                </c:pt>
                <c:pt idx="1">
                  <c:v>6</c:v>
                </c:pt>
                <c:pt idx="2">
                  <c:v>5.9</c:v>
                </c:pt>
                <c:pt idx="3">
                  <c:v>6</c:v>
                </c:pt>
                <c:pt idx="4">
                  <c:v>6.1</c:v>
                </c:pt>
                <c:pt idx="5">
                  <c:v>6.2</c:v>
                </c:pt>
                <c:pt idx="6">
                  <c:v>6</c:v>
                </c:pt>
                <c:pt idx="7">
                  <c:v>6.1</c:v>
                </c:pt>
                <c:pt idx="8">
                  <c:v>5.9</c:v>
                </c:pt>
                <c:pt idx="9">
                  <c:v>5.7</c:v>
                </c:pt>
                <c:pt idx="10">
                  <c:v>5.6</c:v>
                </c:pt>
                <c:pt idx="11">
                  <c:v>6.7</c:v>
                </c:pt>
                <c:pt idx="12">
                  <c:v>6.6</c:v>
                </c:pt>
                <c:pt idx="13">
                  <c:v>6.6</c:v>
                </c:pt>
                <c:pt idx="14">
                  <c:v>6.7</c:v>
                </c:pt>
                <c:pt idx="15">
                  <c:v>7</c:v>
                </c:pt>
                <c:pt idx="16">
                  <c:v>7.3</c:v>
                </c:pt>
                <c:pt idx="17">
                  <c:v>7.2</c:v>
                </c:pt>
                <c:pt idx="18">
                  <c:v>7.2</c:v>
                </c:pt>
                <c:pt idx="19">
                  <c:v>7.2</c:v>
                </c:pt>
                <c:pt idx="20">
                  <c:v>7.1</c:v>
                </c:pt>
                <c:pt idx="21">
                  <c:v>7.1</c:v>
                </c:pt>
              </c:numCache>
            </c:numRef>
          </c:val>
          <c:smooth val="0"/>
          <c:extLst>
            <c:ext xmlns:c16="http://schemas.microsoft.com/office/drawing/2014/chart" uri="{C3380CC4-5D6E-409C-BE32-E72D297353CC}">
              <c16:uniqueId val="{00000006-2E5E-4138-8716-499CC3A3E8C2}"/>
            </c:ext>
          </c:extLst>
        </c:ser>
        <c:dLbls>
          <c:showLegendKey val="0"/>
          <c:showVal val="0"/>
          <c:showCatName val="0"/>
          <c:showSerName val="0"/>
          <c:showPercent val="0"/>
          <c:showBubbleSize val="0"/>
        </c:dLbls>
        <c:marker val="1"/>
        <c:smooth val="0"/>
        <c:axId val="-1953160384"/>
        <c:axId val="-1953160928"/>
      </c:lineChart>
      <c:catAx>
        <c:axId val="-1953164736"/>
        <c:scaling>
          <c:orientation val="minMax"/>
        </c:scaling>
        <c:delete val="0"/>
        <c:axPos val="b"/>
        <c:numFmt formatCode="General" sourceLinked="0"/>
        <c:majorTickMark val="out"/>
        <c:minorTickMark val="none"/>
        <c:tickLblPos val="nextTo"/>
        <c:txPr>
          <a:bodyPr/>
          <a:lstStyle/>
          <a:p>
            <a:pPr>
              <a:defRPr sz="800">
                <a:latin typeface="Arial Narrow" panose="020B0606020202030204" pitchFamily="34" charset="0"/>
              </a:defRPr>
            </a:pPr>
            <a:endParaRPr lang="sk-SK"/>
          </a:p>
        </c:txPr>
        <c:crossAx val="-1953145152"/>
        <c:crosses val="autoZero"/>
        <c:auto val="1"/>
        <c:lblAlgn val="ctr"/>
        <c:lblOffset val="100"/>
        <c:noMultiLvlLbl val="0"/>
      </c:catAx>
      <c:valAx>
        <c:axId val="-1953145152"/>
        <c:scaling>
          <c:orientation val="minMax"/>
          <c:max val="7000"/>
        </c:scaling>
        <c:delete val="0"/>
        <c:axPos val="l"/>
        <c:majorGridlines/>
        <c:numFmt formatCode="0" sourceLinked="0"/>
        <c:majorTickMark val="out"/>
        <c:minorTickMark val="none"/>
        <c:tickLblPos val="nextTo"/>
        <c:txPr>
          <a:bodyPr/>
          <a:lstStyle/>
          <a:p>
            <a:pPr>
              <a:defRPr sz="800">
                <a:latin typeface="Arial Narrow" pitchFamily="34" charset="0"/>
              </a:defRPr>
            </a:pPr>
            <a:endParaRPr lang="sk-SK"/>
          </a:p>
        </c:txPr>
        <c:crossAx val="-1953164736"/>
        <c:crosses val="autoZero"/>
        <c:crossBetween val="between"/>
        <c:majorUnit val="500"/>
        <c:minorUnit val="100"/>
      </c:valAx>
      <c:valAx>
        <c:axId val="-1953160928"/>
        <c:scaling>
          <c:orientation val="minMax"/>
          <c:max val="10"/>
          <c:min val="5"/>
        </c:scaling>
        <c:delete val="0"/>
        <c:axPos val="r"/>
        <c:numFmt formatCode="0" sourceLinked="0"/>
        <c:majorTickMark val="out"/>
        <c:minorTickMark val="none"/>
        <c:tickLblPos val="nextTo"/>
        <c:txPr>
          <a:bodyPr/>
          <a:lstStyle/>
          <a:p>
            <a:pPr>
              <a:defRPr sz="800">
                <a:latin typeface="Arial Narrow" panose="020B0606020202030204" pitchFamily="34" charset="0"/>
              </a:defRPr>
            </a:pPr>
            <a:endParaRPr lang="sk-SK"/>
          </a:p>
        </c:txPr>
        <c:crossAx val="-1953160384"/>
        <c:crosses val="max"/>
        <c:crossBetween val="between"/>
        <c:majorUnit val="1"/>
        <c:minorUnit val="0.5"/>
      </c:valAx>
      <c:catAx>
        <c:axId val="-1953160384"/>
        <c:scaling>
          <c:orientation val="minMax"/>
        </c:scaling>
        <c:delete val="1"/>
        <c:axPos val="b"/>
        <c:numFmt formatCode="General" sourceLinked="1"/>
        <c:majorTickMark val="out"/>
        <c:minorTickMark val="none"/>
        <c:tickLblPos val="nextTo"/>
        <c:crossAx val="-1953160928"/>
        <c:crosses val="autoZero"/>
        <c:auto val="1"/>
        <c:lblAlgn val="ctr"/>
        <c:lblOffset val="100"/>
        <c:noMultiLvlLbl val="0"/>
      </c:catAx>
    </c:plotArea>
    <c:legend>
      <c:legendPos val="r"/>
      <c:layout>
        <c:manualLayout>
          <c:xMode val="edge"/>
          <c:yMode val="edge"/>
          <c:x val="5.0561679790026249E-3"/>
          <c:y val="0.84126667084371687"/>
          <c:w val="0.98922373737373748"/>
          <c:h val="0.14722301743872288"/>
        </c:manualLayout>
      </c:layout>
      <c:overlay val="0"/>
      <c:txPr>
        <a:bodyPr/>
        <a:lstStyle/>
        <a:p>
          <a:pPr>
            <a:defRPr sz="800">
              <a:latin typeface="Arial Narrow" pitchFamily="34" charset="0"/>
            </a:defRPr>
          </a:pPr>
          <a:endParaRPr lang="sk-SK"/>
        </a:p>
      </c:txPr>
    </c:legend>
    <c:plotVisOnly val="1"/>
    <c:dispBlanksAs val="gap"/>
    <c:showDLblsOverMax val="0"/>
  </c:chart>
  <c:spPr>
    <a:ln>
      <a:solidFill>
        <a:srgbClr val="C00000"/>
      </a:solidFill>
    </a:ln>
  </c:sp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4990300125527782E-2"/>
          <c:y val="5.1400554097404488E-2"/>
          <c:w val="0.81399866124117037"/>
          <c:h val="0.69298598557391133"/>
        </c:manualLayout>
      </c:layout>
      <c:barChart>
        <c:barDir val="col"/>
        <c:grouping val="stacked"/>
        <c:varyColors val="0"/>
        <c:ser>
          <c:idx val="0"/>
          <c:order val="0"/>
          <c:tx>
            <c:strRef>
              <c:f>'D:\ESSPROS\Publikacia_2021\[OPR_Publikácia Grafy rok 2019.xlsx]pozostalí'!$B$8</c:f>
              <c:strCache>
                <c:ptCount val="1"/>
                <c:pt idx="0">
                  <c:v>Vdovské</c:v>
                </c:pt>
              </c:strCache>
            </c:strRef>
          </c:tx>
          <c:spPr>
            <a:solidFill>
              <a:schemeClr val="accent6">
                <a:lumMod val="60000"/>
                <a:lumOff val="40000"/>
              </a:schemeClr>
            </a:solidFill>
            <a:ln>
              <a:solidFill>
                <a:schemeClr val="accent2">
                  <a:lumMod val="40000"/>
                  <a:lumOff val="60000"/>
                </a:schemeClr>
              </a:solidFill>
            </a:ln>
          </c:spPr>
          <c:invertIfNegative val="0"/>
          <c:cat>
            <c:strRef>
              <c:f>[1]pozostalí!$A$9:$A$30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[1]pozostalí!$B$9:$B$30</c:f>
              <c:numCache>
                <c:formatCode>General</c:formatCode>
                <c:ptCount val="22"/>
                <c:pt idx="0">
                  <c:v>237.33495983535818</c:v>
                </c:pt>
                <c:pt idx="1">
                  <c:v>254.14592046737039</c:v>
                </c:pt>
                <c:pt idx="2">
                  <c:v>265.73106286928231</c:v>
                </c:pt>
                <c:pt idx="3">
                  <c:v>282.67406891057601</c:v>
                </c:pt>
                <c:pt idx="4">
                  <c:v>303.82154949213304</c:v>
                </c:pt>
                <c:pt idx="5">
                  <c:v>318.67420168625108</c:v>
                </c:pt>
                <c:pt idx="6">
                  <c:v>352.08789749717852</c:v>
                </c:pt>
                <c:pt idx="7">
                  <c:v>381.96265684126666</c:v>
                </c:pt>
                <c:pt idx="8">
                  <c:v>406.91538870079</c:v>
                </c:pt>
                <c:pt idx="9">
                  <c:v>432.87701653057161</c:v>
                </c:pt>
                <c:pt idx="10">
                  <c:v>458.46083117572857</c:v>
                </c:pt>
                <c:pt idx="11">
                  <c:v>496.80799999999999</c:v>
                </c:pt>
                <c:pt idx="12">
                  <c:v>507.69299999999998</c:v>
                </c:pt>
                <c:pt idx="13">
                  <c:v>516.66200000000003</c:v>
                </c:pt>
                <c:pt idx="14">
                  <c:v>533.84400000000005</c:v>
                </c:pt>
                <c:pt idx="15">
                  <c:v>548.702</c:v>
                </c:pt>
                <c:pt idx="16">
                  <c:v>562.94500000000005</c:v>
                </c:pt>
                <c:pt idx="17">
                  <c:v>570.66899999999998</c:v>
                </c:pt>
                <c:pt idx="18">
                  <c:v>560.47900000000004</c:v>
                </c:pt>
                <c:pt idx="19">
                  <c:v>581.32600000000002</c:v>
                </c:pt>
                <c:pt idx="20">
                  <c:v>617.54999999999995</c:v>
                </c:pt>
                <c:pt idx="21">
                  <c:v>613.81100000000004</c:v>
                </c:pt>
              </c:numCache>
            </c:numRef>
          </c:val>
          <c:extLst>
            <c:ext xmlns:c16="http://schemas.microsoft.com/office/drawing/2014/chart" uri="{C3380CC4-5D6E-409C-BE32-E72D297353CC}">
              <c16:uniqueId val="{00000000-0785-47D1-9276-30AD8F168BC1}"/>
            </c:ext>
          </c:extLst>
        </c:ser>
        <c:ser>
          <c:idx val="1"/>
          <c:order val="1"/>
          <c:tx>
            <c:strRef>
              <c:f>pozostali!#REF!</c:f>
              <c:strCache>
                <c:ptCount val="1"/>
                <c:pt idx="0">
                  <c:v>#REF!</c:v>
                </c:pt>
              </c:strCache>
            </c:strRef>
          </c:tx>
          <c:spPr>
            <a:solidFill>
              <a:srgbClr val="FF9999"/>
            </a:solidFill>
            <a:ln>
              <a:solidFill>
                <a:srgbClr val="FF7C80"/>
              </a:solidFill>
            </a:ln>
          </c:spPr>
          <c:invertIfNegative val="0"/>
          <c:cat>
            <c:strRef>
              <c:f>[1]pozostalí!$A$9:$A$30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pozostali!#REF!</c:f>
              <c:numCache>
                <c:formatCode>General</c:formatCode>
                <c:ptCount val="1"/>
                <c:pt idx="0">
                  <c:v>1</c:v>
                </c:pt>
              </c:numCache>
            </c:numRef>
          </c:val>
          <c:extLst>
            <c:ext xmlns:c16="http://schemas.microsoft.com/office/drawing/2014/chart" uri="{C3380CC4-5D6E-409C-BE32-E72D297353CC}">
              <c16:uniqueId val="{00000001-0785-47D1-9276-30AD8F168BC1}"/>
            </c:ext>
          </c:extLst>
        </c:ser>
        <c:ser>
          <c:idx val="2"/>
          <c:order val="2"/>
          <c:tx>
            <c:strRef>
              <c:f>'D:\ESSPROS\Publikacia_2021\[OPR_Publikácia Grafy rok 2019.xlsx]pozostalí'!$C$8</c:f>
              <c:strCache>
                <c:ptCount val="1"/>
                <c:pt idx="0">
                  <c:v>Vdovecké</c:v>
                </c:pt>
              </c:strCache>
            </c:strRef>
          </c:tx>
          <c:spPr>
            <a:solidFill>
              <a:schemeClr val="accent6">
                <a:lumMod val="75000"/>
              </a:schemeClr>
            </a:solidFill>
            <a:ln>
              <a:solidFill>
                <a:schemeClr val="accent2">
                  <a:lumMod val="40000"/>
                  <a:lumOff val="60000"/>
                </a:schemeClr>
              </a:solidFill>
            </a:ln>
          </c:spPr>
          <c:invertIfNegative val="0"/>
          <c:cat>
            <c:strRef>
              <c:f>[1]pozostalí!$A$9:$A$30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[1]pozostalí!$C$9:$C$30</c:f>
              <c:numCache>
                <c:formatCode>General</c:formatCode>
                <c:ptCount val="22"/>
                <c:pt idx="0">
                  <c:v>1.8622120427537674</c:v>
                </c:pt>
                <c:pt idx="1">
                  <c:v>1.9982739162185488</c:v>
                </c:pt>
                <c:pt idx="2">
                  <c:v>2.1975370112195445</c:v>
                </c:pt>
                <c:pt idx="3">
                  <c:v>2.4104760007966539</c:v>
                </c:pt>
                <c:pt idx="4">
                  <c:v>2.6467503153422292</c:v>
                </c:pt>
                <c:pt idx="5">
                  <c:v>2.7707627962557257</c:v>
                </c:pt>
                <c:pt idx="6">
                  <c:v>3.7509128327690364</c:v>
                </c:pt>
                <c:pt idx="7">
                  <c:v>6.8028281218880702</c:v>
                </c:pt>
                <c:pt idx="8">
                  <c:v>10.841100710349863</c:v>
                </c:pt>
                <c:pt idx="9">
                  <c:v>23.962092544645824</c:v>
                </c:pt>
                <c:pt idx="10">
                  <c:v>30.186815375423219</c:v>
                </c:pt>
                <c:pt idx="11">
                  <c:v>35.566000000000003</c:v>
                </c:pt>
                <c:pt idx="12">
                  <c:v>39.083999999999996</c:v>
                </c:pt>
                <c:pt idx="13">
                  <c:v>42.393999999999998</c:v>
                </c:pt>
                <c:pt idx="14">
                  <c:v>45.173999999999999</c:v>
                </c:pt>
                <c:pt idx="15">
                  <c:v>50.177</c:v>
                </c:pt>
                <c:pt idx="16">
                  <c:v>53.347999999999999</c:v>
                </c:pt>
                <c:pt idx="17">
                  <c:v>56.352000000000004</c:v>
                </c:pt>
                <c:pt idx="18">
                  <c:v>58.927999999999997</c:v>
                </c:pt>
                <c:pt idx="19">
                  <c:v>64.085999999999999</c:v>
                </c:pt>
                <c:pt idx="20">
                  <c:v>68.078999999999994</c:v>
                </c:pt>
                <c:pt idx="21">
                  <c:v>67.667000000000002</c:v>
                </c:pt>
              </c:numCache>
            </c:numRef>
          </c:val>
          <c:extLst>
            <c:ext xmlns:c16="http://schemas.microsoft.com/office/drawing/2014/chart" uri="{C3380CC4-5D6E-409C-BE32-E72D297353CC}">
              <c16:uniqueId val="{00000002-0785-47D1-9276-30AD8F168BC1}"/>
            </c:ext>
          </c:extLst>
        </c:ser>
        <c:ser>
          <c:idx val="3"/>
          <c:order val="3"/>
          <c:tx>
            <c:strRef>
              <c:f>'D:\ESSPROS\Publikacia_2021\[OPR_Publikácia Grafy rok 2019.xlsx]pozostalí'!$D$8</c:f>
              <c:strCache>
                <c:ptCount val="1"/>
                <c:pt idx="0">
                  <c:v>Sirotské</c:v>
                </c:pt>
              </c:strCache>
            </c:strRef>
          </c:tx>
          <c:spPr>
            <a:solidFill>
              <a:schemeClr val="accent2"/>
            </a:solidFill>
            <a:ln>
              <a:solidFill>
                <a:schemeClr val="tx2">
                  <a:lumMod val="40000"/>
                  <a:lumOff val="60000"/>
                </a:schemeClr>
              </a:solidFill>
            </a:ln>
          </c:spPr>
          <c:invertIfNegative val="0"/>
          <c:cat>
            <c:strRef>
              <c:f>[1]pozostalí!$A$9:$A$30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[1]pozostalí!$D$9:$D$30</c:f>
              <c:numCache>
                <c:formatCode>General</c:formatCode>
                <c:ptCount val="22"/>
                <c:pt idx="0">
                  <c:v>18.966241784505076</c:v>
                </c:pt>
                <c:pt idx="1">
                  <c:v>19.474872203412335</c:v>
                </c:pt>
                <c:pt idx="2">
                  <c:v>20.39523999203346</c:v>
                </c:pt>
                <c:pt idx="3">
                  <c:v>21.718250016596958</c:v>
                </c:pt>
                <c:pt idx="4">
                  <c:v>24.058852818163711</c:v>
                </c:pt>
                <c:pt idx="5">
                  <c:v>25.383887671778531</c:v>
                </c:pt>
                <c:pt idx="6">
                  <c:v>27.285401314479188</c:v>
                </c:pt>
                <c:pt idx="7">
                  <c:v>29.200823209188073</c:v>
                </c:pt>
                <c:pt idx="8">
                  <c:v>32.959470225054766</c:v>
                </c:pt>
                <c:pt idx="9">
                  <c:v>40.785600477992432</c:v>
                </c:pt>
                <c:pt idx="10">
                  <c:v>41.584478523534486</c:v>
                </c:pt>
                <c:pt idx="11">
                  <c:v>44.49</c:v>
                </c:pt>
                <c:pt idx="12">
                  <c:v>43.283000000000001</c:v>
                </c:pt>
                <c:pt idx="13">
                  <c:v>43.057000000000002</c:v>
                </c:pt>
                <c:pt idx="14">
                  <c:v>42.801000000000002</c:v>
                </c:pt>
                <c:pt idx="15">
                  <c:v>42.532999999999994</c:v>
                </c:pt>
                <c:pt idx="16">
                  <c:v>41.716999999999999</c:v>
                </c:pt>
                <c:pt idx="17">
                  <c:v>39.370000000000005</c:v>
                </c:pt>
                <c:pt idx="18">
                  <c:v>37.473999999999997</c:v>
                </c:pt>
                <c:pt idx="19">
                  <c:v>36.33</c:v>
                </c:pt>
                <c:pt idx="20">
                  <c:v>38.594000000000001</c:v>
                </c:pt>
                <c:pt idx="21">
                  <c:v>38.36</c:v>
                </c:pt>
              </c:numCache>
            </c:numRef>
          </c:val>
          <c:extLst>
            <c:ext xmlns:c16="http://schemas.microsoft.com/office/drawing/2014/chart" uri="{C3380CC4-5D6E-409C-BE32-E72D297353CC}">
              <c16:uniqueId val="{00000003-0785-47D1-9276-30AD8F168BC1}"/>
            </c:ext>
          </c:extLst>
        </c:ser>
        <c:ser>
          <c:idx val="4"/>
          <c:order val="4"/>
          <c:tx>
            <c:strRef>
              <c:f>'D:\ESSPROS\Publikacia_2021\[OPR_Publikácia Grafy rok 2019.xlsx]pozostalí'!$E$8</c:f>
              <c:strCache>
                <c:ptCount val="1"/>
                <c:pt idx="0">
                  <c:v>Iné dôchodky a dávky</c:v>
                </c:pt>
              </c:strCache>
            </c:strRef>
          </c:tx>
          <c:spPr>
            <a:solidFill>
              <a:schemeClr val="accent5">
                <a:lumMod val="50000"/>
              </a:schemeClr>
            </a:solidFill>
            <a:ln w="19050">
              <a:solidFill>
                <a:schemeClr val="tx2"/>
              </a:solidFill>
            </a:ln>
          </c:spPr>
          <c:invertIfNegative val="0"/>
          <c:cat>
            <c:strRef>
              <c:f>[1]pozostalí!$A$9:$A$30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[1]pozostalí!$E$9:$E$30</c:f>
              <c:numCache>
                <c:formatCode>General</c:formatCode>
                <c:ptCount val="22"/>
                <c:pt idx="0">
                  <c:v>3.6999999999999851</c:v>
                </c:pt>
                <c:pt idx="1">
                  <c:v>3.8799999999999955</c:v>
                </c:pt>
                <c:pt idx="2">
                  <c:v>3.9499999999999744</c:v>
                </c:pt>
                <c:pt idx="3">
                  <c:v>3.9600000000000293</c:v>
                </c:pt>
                <c:pt idx="4">
                  <c:v>12.009999999999966</c:v>
                </c:pt>
                <c:pt idx="5">
                  <c:v>4.0500000000000327</c:v>
                </c:pt>
                <c:pt idx="6">
                  <c:v>4.7100000000000328</c:v>
                </c:pt>
                <c:pt idx="7">
                  <c:v>4.6600000000000108</c:v>
                </c:pt>
                <c:pt idx="8">
                  <c:v>8.4999999999999787</c:v>
                </c:pt>
                <c:pt idx="9">
                  <c:v>11.860000000000014</c:v>
                </c:pt>
                <c:pt idx="10">
                  <c:v>11.78000000000003</c:v>
                </c:pt>
                <c:pt idx="11">
                  <c:v>29.395999999999994</c:v>
                </c:pt>
                <c:pt idx="12">
                  <c:v>38.719999999999985</c:v>
                </c:pt>
                <c:pt idx="13">
                  <c:v>35.15699999999994</c:v>
                </c:pt>
                <c:pt idx="14">
                  <c:v>38.250999999999991</c:v>
                </c:pt>
                <c:pt idx="15">
                  <c:v>40.048000000000052</c:v>
                </c:pt>
                <c:pt idx="16">
                  <c:v>43.669999999999902</c:v>
                </c:pt>
                <c:pt idx="17">
                  <c:v>49.959000000000032</c:v>
                </c:pt>
                <c:pt idx="18">
                  <c:v>45.848999999999982</c:v>
                </c:pt>
                <c:pt idx="19">
                  <c:v>48.92799999999994</c:v>
                </c:pt>
                <c:pt idx="20">
                  <c:v>51.977000000000096</c:v>
                </c:pt>
                <c:pt idx="21">
                  <c:v>51.661999999999964</c:v>
                </c:pt>
              </c:numCache>
            </c:numRef>
          </c:val>
          <c:extLst>
            <c:ext xmlns:c16="http://schemas.microsoft.com/office/drawing/2014/chart" uri="{C3380CC4-5D6E-409C-BE32-E72D297353CC}">
              <c16:uniqueId val="{00000004-0785-47D1-9276-30AD8F168BC1}"/>
            </c:ext>
          </c:extLst>
        </c:ser>
        <c:dLbls>
          <c:showLegendKey val="0"/>
          <c:showVal val="0"/>
          <c:showCatName val="0"/>
          <c:showSerName val="0"/>
          <c:showPercent val="0"/>
          <c:showBubbleSize val="0"/>
        </c:dLbls>
        <c:gapWidth val="21"/>
        <c:overlap val="100"/>
        <c:axId val="-21126912"/>
        <c:axId val="-21130720"/>
      </c:barChart>
      <c:lineChart>
        <c:grouping val="standard"/>
        <c:varyColors val="0"/>
        <c:ser>
          <c:idx val="5"/>
          <c:order val="5"/>
          <c:tx>
            <c:strRef>
              <c:f>'D:\ESSPROS\Publikacia_2021\[OPR_Publikácia Grafy rok 2019.xlsx]pozostalí'!$F$8</c:f>
              <c:strCache>
                <c:ptCount val="1"/>
                <c:pt idx="0">
                  <c:v>% HDP</c:v>
                </c:pt>
              </c:strCache>
            </c:strRef>
          </c:tx>
          <c:spPr>
            <a:ln w="25400" cmpd="sng">
              <a:solidFill>
                <a:srgbClr val="C00000"/>
              </a:solidFill>
              <a:prstDash val="solid"/>
            </a:ln>
          </c:spPr>
          <c:marker>
            <c:symbol val="circle"/>
            <c:size val="5"/>
            <c:spPr>
              <a:solidFill>
                <a:schemeClr val="bg1"/>
              </a:solidFill>
              <a:ln>
                <a:solidFill>
                  <a:srgbClr val="C00000"/>
                </a:solidFill>
              </a:ln>
            </c:spPr>
          </c:marker>
          <c:cat>
            <c:strRef>
              <c:f>[1]pozostalí!$A$9:$A$30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[1]pozostalí!$F$9:$F$30</c:f>
              <c:numCache>
                <c:formatCode>General</c:formatCode>
                <c:ptCount val="22"/>
                <c:pt idx="0">
                  <c:v>1</c:v>
                </c:pt>
                <c:pt idx="1">
                  <c:v>1</c:v>
                </c:pt>
                <c:pt idx="2">
                  <c:v>0.9</c:v>
                </c:pt>
                <c:pt idx="3">
                  <c:v>0.9</c:v>
                </c:pt>
                <c:pt idx="4">
                  <c:v>0.9</c:v>
                </c:pt>
                <c:pt idx="5">
                  <c:v>0.9</c:v>
                </c:pt>
                <c:pt idx="6">
                  <c:v>0.9</c:v>
                </c:pt>
                <c:pt idx="7">
                  <c:v>0.9</c:v>
                </c:pt>
                <c:pt idx="8">
                  <c:v>0.8</c:v>
                </c:pt>
                <c:pt idx="9">
                  <c:v>0.8</c:v>
                </c:pt>
                <c:pt idx="10">
                  <c:v>0.8</c:v>
                </c:pt>
                <c:pt idx="11">
                  <c:v>0.9</c:v>
                </c:pt>
                <c:pt idx="12">
                  <c:v>0.9</c:v>
                </c:pt>
                <c:pt idx="13">
                  <c:v>0.9</c:v>
                </c:pt>
                <c:pt idx="14">
                  <c:v>0.9</c:v>
                </c:pt>
                <c:pt idx="15">
                  <c:v>0.9</c:v>
                </c:pt>
                <c:pt idx="16">
                  <c:v>0.9</c:v>
                </c:pt>
                <c:pt idx="17">
                  <c:v>0.9</c:v>
                </c:pt>
                <c:pt idx="18">
                  <c:v>0.9</c:v>
                </c:pt>
                <c:pt idx="19">
                  <c:v>0.9</c:v>
                </c:pt>
                <c:pt idx="20">
                  <c:v>0.9</c:v>
                </c:pt>
                <c:pt idx="21">
                  <c:v>0.8</c:v>
                </c:pt>
              </c:numCache>
            </c:numRef>
          </c:val>
          <c:smooth val="0"/>
          <c:extLst>
            <c:ext xmlns:c16="http://schemas.microsoft.com/office/drawing/2014/chart" uri="{C3380CC4-5D6E-409C-BE32-E72D297353CC}">
              <c16:uniqueId val="{00000005-0785-47D1-9276-30AD8F168BC1}"/>
            </c:ext>
          </c:extLst>
        </c:ser>
        <c:dLbls>
          <c:showLegendKey val="0"/>
          <c:showVal val="0"/>
          <c:showCatName val="0"/>
          <c:showSerName val="0"/>
          <c:showPercent val="0"/>
          <c:showBubbleSize val="0"/>
        </c:dLbls>
        <c:marker val="1"/>
        <c:smooth val="0"/>
        <c:axId val="-21125280"/>
        <c:axId val="-21126368"/>
      </c:lineChart>
      <c:catAx>
        <c:axId val="-21126912"/>
        <c:scaling>
          <c:orientation val="minMax"/>
        </c:scaling>
        <c:delete val="0"/>
        <c:axPos val="b"/>
        <c:numFmt formatCode="General" sourceLinked="0"/>
        <c:majorTickMark val="out"/>
        <c:minorTickMark val="none"/>
        <c:tickLblPos val="nextTo"/>
        <c:txPr>
          <a:bodyPr rot="-5400000" vert="horz"/>
          <a:lstStyle/>
          <a:p>
            <a:pPr>
              <a:defRPr sz="800"/>
            </a:pPr>
            <a:endParaRPr lang="sk-SK"/>
          </a:p>
        </c:txPr>
        <c:crossAx val="-21130720"/>
        <c:crosses val="autoZero"/>
        <c:auto val="1"/>
        <c:lblAlgn val="ctr"/>
        <c:lblOffset val="100"/>
        <c:noMultiLvlLbl val="0"/>
      </c:catAx>
      <c:valAx>
        <c:axId val="-21130720"/>
        <c:scaling>
          <c:orientation val="minMax"/>
          <c:max val="800"/>
        </c:scaling>
        <c:delete val="0"/>
        <c:axPos val="l"/>
        <c:majorGridlines/>
        <c:numFmt formatCode="#,##0" sourceLinked="0"/>
        <c:majorTickMark val="out"/>
        <c:minorTickMark val="none"/>
        <c:tickLblPos val="nextTo"/>
        <c:txPr>
          <a:bodyPr/>
          <a:lstStyle/>
          <a:p>
            <a:pPr>
              <a:defRPr sz="800"/>
            </a:pPr>
            <a:endParaRPr lang="sk-SK"/>
          </a:p>
        </c:txPr>
        <c:crossAx val="-21126912"/>
        <c:crosses val="autoZero"/>
        <c:crossBetween val="between"/>
        <c:majorUnit val="50"/>
      </c:valAx>
      <c:valAx>
        <c:axId val="-21126368"/>
        <c:scaling>
          <c:orientation val="minMax"/>
          <c:max val="2"/>
          <c:min val="0.60000000000000009"/>
        </c:scaling>
        <c:delete val="0"/>
        <c:axPos val="r"/>
        <c:numFmt formatCode="0.0" sourceLinked="0"/>
        <c:majorTickMark val="out"/>
        <c:minorTickMark val="none"/>
        <c:tickLblPos val="nextTo"/>
        <c:txPr>
          <a:bodyPr/>
          <a:lstStyle/>
          <a:p>
            <a:pPr>
              <a:defRPr sz="800"/>
            </a:pPr>
            <a:endParaRPr lang="sk-SK"/>
          </a:p>
        </c:txPr>
        <c:crossAx val="-21125280"/>
        <c:crosses val="max"/>
        <c:crossBetween val="between"/>
        <c:majorUnit val="0.2"/>
      </c:valAx>
      <c:catAx>
        <c:axId val="-21125280"/>
        <c:scaling>
          <c:orientation val="minMax"/>
        </c:scaling>
        <c:delete val="1"/>
        <c:axPos val="b"/>
        <c:numFmt formatCode="General" sourceLinked="1"/>
        <c:majorTickMark val="out"/>
        <c:minorTickMark val="none"/>
        <c:tickLblPos val="nextTo"/>
        <c:crossAx val="-21126368"/>
        <c:crosses val="autoZero"/>
        <c:auto val="1"/>
        <c:lblAlgn val="ctr"/>
        <c:lblOffset val="100"/>
        <c:noMultiLvlLbl val="0"/>
      </c:catAx>
    </c:plotArea>
    <c:legend>
      <c:legendPos val="r"/>
      <c:legendEntry>
        <c:idx val="3"/>
        <c:delete val="1"/>
      </c:legendEntry>
      <c:layout>
        <c:manualLayout>
          <c:xMode val="edge"/>
          <c:yMode val="edge"/>
          <c:x val="1.2250658265112242E-2"/>
          <c:y val="0.8566308102593474"/>
          <c:w val="0.97134633743477072"/>
          <c:h val="0.11908754094252832"/>
        </c:manualLayout>
      </c:layout>
      <c:overlay val="0"/>
      <c:txPr>
        <a:bodyPr/>
        <a:lstStyle/>
        <a:p>
          <a:pPr>
            <a:defRPr sz="800"/>
          </a:pPr>
          <a:endParaRPr lang="sk-SK"/>
        </a:p>
      </c:txPr>
    </c:legend>
    <c:plotVisOnly val="1"/>
    <c:dispBlanksAs val="gap"/>
    <c:showDLblsOverMax val="0"/>
  </c:chart>
  <c:spPr>
    <a:ln>
      <a:solidFill>
        <a:srgbClr val="C00000"/>
      </a:solidFill>
    </a:ln>
  </c:spPr>
  <c:txPr>
    <a:bodyPr/>
    <a:lstStyle/>
    <a:p>
      <a:pPr>
        <a:defRPr sz="900">
          <a:latin typeface="Arial Narrow" pitchFamily="34" charset="0"/>
        </a:defRPr>
      </a:pPr>
      <a:endParaRPr lang="sk-SK"/>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0314116951141457E-2"/>
          <c:y val="5.7521812185252437E-2"/>
          <c:w val="0.83734093481907823"/>
          <c:h val="0.71388441052547902"/>
        </c:manualLayout>
      </c:layout>
      <c:barChart>
        <c:barDir val="col"/>
        <c:grouping val="stacked"/>
        <c:varyColors val="0"/>
        <c:ser>
          <c:idx val="0"/>
          <c:order val="0"/>
          <c:tx>
            <c:strRef>
              <c:f>'D:\ESSPROS\Publikacia_2021\[OPR_Publikácia Grafy rok 2019.xlsx]rodina_deti'!$B$8</c:f>
              <c:strCache>
                <c:ptCount val="1"/>
                <c:pt idx="0">
                  <c:v>Udržovanie príjmu v materstve</c:v>
                </c:pt>
              </c:strCache>
            </c:strRef>
          </c:tx>
          <c:spPr>
            <a:solidFill>
              <a:schemeClr val="accent5">
                <a:lumMod val="50000"/>
              </a:schemeClr>
            </a:solidFill>
            <a:ln>
              <a:solidFill>
                <a:srgbClr val="002060"/>
              </a:solidFill>
            </a:ln>
          </c:spPr>
          <c:invertIfNegative val="0"/>
          <c:cat>
            <c:strRef>
              <c:f>[1]rodina_deti!$A$9:$A$30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[1]rodina_deti!$B$9:$B$30</c:f>
              <c:numCache>
                <c:formatCode>General</c:formatCode>
                <c:ptCount val="22"/>
                <c:pt idx="0">
                  <c:v>29.4</c:v>
                </c:pt>
                <c:pt idx="1">
                  <c:v>28.19</c:v>
                </c:pt>
                <c:pt idx="2">
                  <c:v>29.87</c:v>
                </c:pt>
                <c:pt idx="3">
                  <c:v>28.32</c:v>
                </c:pt>
                <c:pt idx="4">
                  <c:v>28.02</c:v>
                </c:pt>
                <c:pt idx="5">
                  <c:v>30.03</c:v>
                </c:pt>
                <c:pt idx="6">
                  <c:v>25.84</c:v>
                </c:pt>
                <c:pt idx="7">
                  <c:v>30.81</c:v>
                </c:pt>
                <c:pt idx="8">
                  <c:v>34.299999999999997</c:v>
                </c:pt>
                <c:pt idx="9">
                  <c:v>42</c:v>
                </c:pt>
                <c:pt idx="10">
                  <c:v>54.64</c:v>
                </c:pt>
                <c:pt idx="11">
                  <c:v>69.010000000000005</c:v>
                </c:pt>
                <c:pt idx="12">
                  <c:v>77.930000000000007</c:v>
                </c:pt>
                <c:pt idx="13">
                  <c:v>108.68</c:v>
                </c:pt>
                <c:pt idx="14">
                  <c:v>130.91999999999999</c:v>
                </c:pt>
                <c:pt idx="15">
                  <c:v>128.05000000000001</c:v>
                </c:pt>
                <c:pt idx="16">
                  <c:v>120.81</c:v>
                </c:pt>
                <c:pt idx="17">
                  <c:v>127.45</c:v>
                </c:pt>
                <c:pt idx="18">
                  <c:v>152.6</c:v>
                </c:pt>
                <c:pt idx="19">
                  <c:v>200.84</c:v>
                </c:pt>
                <c:pt idx="20">
                  <c:v>186.75</c:v>
                </c:pt>
                <c:pt idx="21">
                  <c:v>301.68</c:v>
                </c:pt>
              </c:numCache>
            </c:numRef>
          </c:val>
          <c:extLst>
            <c:ext xmlns:c16="http://schemas.microsoft.com/office/drawing/2014/chart" uri="{C3380CC4-5D6E-409C-BE32-E72D297353CC}">
              <c16:uniqueId val="{00000000-DDC7-49B1-A49C-1191C8704FD3}"/>
            </c:ext>
          </c:extLst>
        </c:ser>
        <c:ser>
          <c:idx val="1"/>
          <c:order val="1"/>
          <c:tx>
            <c:strRef>
              <c:f>'D:\ESSPROS\Publikacia_2021\[OPR_Publikácia Grafy rok 2019.xlsx]rodina_deti'!$C$8</c:f>
              <c:strCache>
                <c:ptCount val="1"/>
                <c:pt idx="0">
                  <c:v>Rodičovská dovolenka</c:v>
                </c:pt>
              </c:strCache>
            </c:strRef>
          </c:tx>
          <c:spPr>
            <a:solidFill>
              <a:schemeClr val="accent5">
                <a:lumMod val="40000"/>
                <a:lumOff val="60000"/>
              </a:schemeClr>
            </a:solidFill>
            <a:ln>
              <a:solidFill>
                <a:schemeClr val="accent1">
                  <a:lumMod val="60000"/>
                  <a:lumOff val="40000"/>
                </a:schemeClr>
              </a:solidFill>
            </a:ln>
          </c:spPr>
          <c:invertIfNegative val="0"/>
          <c:cat>
            <c:strRef>
              <c:f>[1]rodina_deti!$A$9:$A$30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[1]rodina_deti!$C$9:$C$30</c:f>
              <c:numCache>
                <c:formatCode>General</c:formatCode>
                <c:ptCount val="22"/>
                <c:pt idx="0">
                  <c:v>113.29</c:v>
                </c:pt>
                <c:pt idx="1">
                  <c:v>100.11</c:v>
                </c:pt>
                <c:pt idx="2">
                  <c:v>101.41</c:v>
                </c:pt>
                <c:pt idx="3">
                  <c:v>97</c:v>
                </c:pt>
                <c:pt idx="4">
                  <c:v>97.71</c:v>
                </c:pt>
                <c:pt idx="5">
                  <c:v>136.06</c:v>
                </c:pt>
                <c:pt idx="6">
                  <c:v>144.68</c:v>
                </c:pt>
                <c:pt idx="7">
                  <c:v>169.21</c:v>
                </c:pt>
                <c:pt idx="8">
                  <c:v>189.59</c:v>
                </c:pt>
                <c:pt idx="9">
                  <c:v>218.22</c:v>
                </c:pt>
                <c:pt idx="10">
                  <c:v>241.75</c:v>
                </c:pt>
                <c:pt idx="11">
                  <c:v>268.57</c:v>
                </c:pt>
                <c:pt idx="12">
                  <c:v>331.23</c:v>
                </c:pt>
                <c:pt idx="13">
                  <c:v>352.01</c:v>
                </c:pt>
                <c:pt idx="14">
                  <c:v>343.69</c:v>
                </c:pt>
                <c:pt idx="15">
                  <c:v>349.47</c:v>
                </c:pt>
                <c:pt idx="16">
                  <c:v>356.18</c:v>
                </c:pt>
                <c:pt idx="17">
                  <c:v>355.5</c:v>
                </c:pt>
                <c:pt idx="18">
                  <c:v>352.73</c:v>
                </c:pt>
                <c:pt idx="19">
                  <c:v>361.64</c:v>
                </c:pt>
                <c:pt idx="20">
                  <c:v>369.01</c:v>
                </c:pt>
                <c:pt idx="21">
                  <c:v>372.55</c:v>
                </c:pt>
              </c:numCache>
            </c:numRef>
          </c:val>
          <c:extLst>
            <c:ext xmlns:c16="http://schemas.microsoft.com/office/drawing/2014/chart" uri="{C3380CC4-5D6E-409C-BE32-E72D297353CC}">
              <c16:uniqueId val="{00000001-DDC7-49B1-A49C-1191C8704FD3}"/>
            </c:ext>
          </c:extLst>
        </c:ser>
        <c:ser>
          <c:idx val="2"/>
          <c:order val="2"/>
          <c:tx>
            <c:strRef>
              <c:f>'D:\ESSPROS\Publikacia_2021\[OPR_Publikácia Grafy rok 2019.xlsx]rodina_deti'!$D$8</c:f>
              <c:strCache>
                <c:ptCount val="1"/>
                <c:pt idx="0">
                  <c:v>Rodinné/detské prídavky</c:v>
                </c:pt>
              </c:strCache>
            </c:strRef>
          </c:tx>
          <c:spPr>
            <a:solidFill>
              <a:schemeClr val="accent6">
                <a:lumMod val="60000"/>
                <a:lumOff val="40000"/>
              </a:schemeClr>
            </a:solidFill>
            <a:ln>
              <a:solidFill>
                <a:schemeClr val="accent2">
                  <a:lumMod val="60000"/>
                  <a:lumOff val="40000"/>
                </a:schemeClr>
              </a:solidFill>
            </a:ln>
          </c:spPr>
          <c:invertIfNegative val="0"/>
          <c:cat>
            <c:strRef>
              <c:f>[1]rodina_deti!$A$9:$A$30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[1]rodina_deti!$D$9:$D$30</c:f>
              <c:numCache>
                <c:formatCode>General</c:formatCode>
                <c:ptCount val="22"/>
                <c:pt idx="0">
                  <c:v>251.01</c:v>
                </c:pt>
                <c:pt idx="1">
                  <c:v>208.28</c:v>
                </c:pt>
                <c:pt idx="2">
                  <c:v>203.76</c:v>
                </c:pt>
                <c:pt idx="3">
                  <c:v>193.82</c:v>
                </c:pt>
                <c:pt idx="4">
                  <c:v>217.23</c:v>
                </c:pt>
                <c:pt idx="5">
                  <c:v>212.55</c:v>
                </c:pt>
                <c:pt idx="6">
                  <c:v>353.64</c:v>
                </c:pt>
                <c:pt idx="7">
                  <c:v>375.74</c:v>
                </c:pt>
                <c:pt idx="8">
                  <c:v>428.55</c:v>
                </c:pt>
                <c:pt idx="9">
                  <c:v>468.58</c:v>
                </c:pt>
                <c:pt idx="10">
                  <c:v>509.87</c:v>
                </c:pt>
                <c:pt idx="11">
                  <c:v>572.35</c:v>
                </c:pt>
                <c:pt idx="12">
                  <c:v>575.44000000000005</c:v>
                </c:pt>
                <c:pt idx="13">
                  <c:v>566.66999999999996</c:v>
                </c:pt>
                <c:pt idx="14">
                  <c:v>577.21</c:v>
                </c:pt>
                <c:pt idx="15">
                  <c:v>580.23</c:v>
                </c:pt>
                <c:pt idx="16">
                  <c:v>580.17999999999995</c:v>
                </c:pt>
                <c:pt idx="17">
                  <c:v>578.54999999999995</c:v>
                </c:pt>
                <c:pt idx="18">
                  <c:v>578.15</c:v>
                </c:pt>
                <c:pt idx="19">
                  <c:v>577.72</c:v>
                </c:pt>
                <c:pt idx="20">
                  <c:v>593.17999999999995</c:v>
                </c:pt>
                <c:pt idx="21">
                  <c:v>601.78</c:v>
                </c:pt>
              </c:numCache>
            </c:numRef>
          </c:val>
          <c:extLst>
            <c:ext xmlns:c16="http://schemas.microsoft.com/office/drawing/2014/chart" uri="{C3380CC4-5D6E-409C-BE32-E72D297353CC}">
              <c16:uniqueId val="{00000002-DDC7-49B1-A49C-1191C8704FD3}"/>
            </c:ext>
          </c:extLst>
        </c:ser>
        <c:ser>
          <c:idx val="3"/>
          <c:order val="3"/>
          <c:tx>
            <c:strRef>
              <c:f>'D:\ESSPROS\Publikacia_2021\[OPR_Publikácia Grafy rok 2019.xlsx]rodina_deti'!$E$8</c:f>
              <c:strCache>
                <c:ptCount val="1"/>
                <c:pt idx="0">
                  <c:v>Dávky pri narodení</c:v>
                </c:pt>
              </c:strCache>
            </c:strRef>
          </c:tx>
          <c:spPr>
            <a:solidFill>
              <a:schemeClr val="accent6">
                <a:lumMod val="75000"/>
              </a:schemeClr>
            </a:solidFill>
            <a:ln>
              <a:solidFill>
                <a:schemeClr val="accent4">
                  <a:lumMod val="75000"/>
                </a:schemeClr>
              </a:solidFill>
            </a:ln>
          </c:spPr>
          <c:invertIfNegative val="0"/>
          <c:cat>
            <c:strRef>
              <c:f>[1]rodina_deti!$A$9:$A$30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[1]rodina_deti!$E$9:$E$30</c:f>
              <c:numCache>
                <c:formatCode>General</c:formatCode>
                <c:ptCount val="22"/>
                <c:pt idx="0">
                  <c:v>4.18</c:v>
                </c:pt>
                <c:pt idx="1">
                  <c:v>3.92</c:v>
                </c:pt>
                <c:pt idx="2">
                  <c:v>4.01</c:v>
                </c:pt>
                <c:pt idx="3">
                  <c:v>3.69</c:v>
                </c:pt>
                <c:pt idx="4">
                  <c:v>3.65</c:v>
                </c:pt>
                <c:pt idx="5">
                  <c:v>3.87</c:v>
                </c:pt>
                <c:pt idx="6">
                  <c:v>5.26</c:v>
                </c:pt>
                <c:pt idx="7">
                  <c:v>5.56</c:v>
                </c:pt>
                <c:pt idx="8">
                  <c:v>6.2</c:v>
                </c:pt>
                <c:pt idx="9">
                  <c:v>12.9</c:v>
                </c:pt>
                <c:pt idx="10">
                  <c:v>22.07</c:v>
                </c:pt>
                <c:pt idx="11">
                  <c:v>40.950000000000003</c:v>
                </c:pt>
                <c:pt idx="12">
                  <c:v>43.91</c:v>
                </c:pt>
                <c:pt idx="13">
                  <c:v>44.46</c:v>
                </c:pt>
                <c:pt idx="14">
                  <c:v>44.31</c:v>
                </c:pt>
                <c:pt idx="15">
                  <c:v>45.35</c:v>
                </c:pt>
                <c:pt idx="16">
                  <c:v>42.08</c:v>
                </c:pt>
                <c:pt idx="17">
                  <c:v>41.46</c:v>
                </c:pt>
                <c:pt idx="18">
                  <c:v>43.88</c:v>
                </c:pt>
                <c:pt idx="19">
                  <c:v>44</c:v>
                </c:pt>
                <c:pt idx="20">
                  <c:v>44.04</c:v>
                </c:pt>
                <c:pt idx="21">
                  <c:v>46.13</c:v>
                </c:pt>
              </c:numCache>
            </c:numRef>
          </c:val>
          <c:extLst>
            <c:ext xmlns:c16="http://schemas.microsoft.com/office/drawing/2014/chart" uri="{C3380CC4-5D6E-409C-BE32-E72D297353CC}">
              <c16:uniqueId val="{00000003-DDC7-49B1-A49C-1191C8704FD3}"/>
            </c:ext>
          </c:extLst>
        </c:ser>
        <c:ser>
          <c:idx val="4"/>
          <c:order val="4"/>
          <c:tx>
            <c:strRef>
              <c:f>'D:\ESSPROS\Publikacia_2021\[OPR_Publikácia Grafy rok 2019.xlsx]rodina_deti'!$F$8</c:f>
              <c:strCache>
                <c:ptCount val="1"/>
                <c:pt idx="0">
                  <c:v>Soc. služby s ubytovaním</c:v>
                </c:pt>
              </c:strCache>
            </c:strRef>
          </c:tx>
          <c:spPr>
            <a:solidFill>
              <a:schemeClr val="accent3">
                <a:lumMod val="60000"/>
                <a:lumOff val="40000"/>
              </a:schemeClr>
            </a:solidFill>
            <a:ln>
              <a:solidFill>
                <a:schemeClr val="accent3">
                  <a:lumMod val="75000"/>
                </a:schemeClr>
              </a:solidFill>
            </a:ln>
          </c:spPr>
          <c:invertIfNegative val="0"/>
          <c:cat>
            <c:strRef>
              <c:f>[1]rodina_deti!$A$9:$A$30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[1]rodina_deti!$F$9:$F$30</c:f>
              <c:numCache>
                <c:formatCode>General</c:formatCode>
                <c:ptCount val="22"/>
                <c:pt idx="0">
                  <c:v>13.17</c:v>
                </c:pt>
                <c:pt idx="1">
                  <c:v>12.86</c:v>
                </c:pt>
                <c:pt idx="2">
                  <c:v>17.579999999999998</c:v>
                </c:pt>
                <c:pt idx="3">
                  <c:v>17.45</c:v>
                </c:pt>
                <c:pt idx="4">
                  <c:v>19.54</c:v>
                </c:pt>
                <c:pt idx="5">
                  <c:v>23.02</c:v>
                </c:pt>
                <c:pt idx="6">
                  <c:v>28.41</c:v>
                </c:pt>
                <c:pt idx="7">
                  <c:v>29.94</c:v>
                </c:pt>
                <c:pt idx="8">
                  <c:v>38.299999999999997</c:v>
                </c:pt>
                <c:pt idx="9">
                  <c:v>45.11</c:v>
                </c:pt>
                <c:pt idx="10">
                  <c:v>51.13</c:v>
                </c:pt>
                <c:pt idx="11">
                  <c:v>55.75</c:v>
                </c:pt>
                <c:pt idx="12">
                  <c:v>52</c:v>
                </c:pt>
                <c:pt idx="13">
                  <c:v>53.65</c:v>
                </c:pt>
                <c:pt idx="14">
                  <c:v>63.02</c:v>
                </c:pt>
                <c:pt idx="15">
                  <c:v>70.62</c:v>
                </c:pt>
                <c:pt idx="16">
                  <c:v>70.41</c:v>
                </c:pt>
                <c:pt idx="17">
                  <c:v>72.06</c:v>
                </c:pt>
                <c:pt idx="18">
                  <c:v>80.959999999999994</c:v>
                </c:pt>
                <c:pt idx="19">
                  <c:v>77.64</c:v>
                </c:pt>
                <c:pt idx="20">
                  <c:v>83.06</c:v>
                </c:pt>
                <c:pt idx="21">
                  <c:v>81.83</c:v>
                </c:pt>
              </c:numCache>
            </c:numRef>
          </c:val>
          <c:extLst>
            <c:ext xmlns:c16="http://schemas.microsoft.com/office/drawing/2014/chart" uri="{C3380CC4-5D6E-409C-BE32-E72D297353CC}">
              <c16:uniqueId val="{00000004-DDC7-49B1-A49C-1191C8704FD3}"/>
            </c:ext>
          </c:extLst>
        </c:ser>
        <c:ser>
          <c:idx val="5"/>
          <c:order val="5"/>
          <c:tx>
            <c:strRef>
              <c:f>'D:\ESSPROS\Publikacia_2021\[OPR_Publikácia Grafy rok 2019.xlsx]rodina_deti'!$G$8</c:f>
              <c:strCache>
                <c:ptCount val="1"/>
                <c:pt idx="0">
                  <c:v>Iné dávky</c:v>
                </c:pt>
              </c:strCache>
            </c:strRef>
          </c:tx>
          <c:spPr>
            <a:solidFill>
              <a:schemeClr val="bg2">
                <a:lumMod val="75000"/>
              </a:schemeClr>
            </a:solidFill>
            <a:ln>
              <a:solidFill>
                <a:schemeClr val="bg1">
                  <a:lumMod val="50000"/>
                </a:schemeClr>
              </a:solidFill>
            </a:ln>
          </c:spPr>
          <c:invertIfNegative val="0"/>
          <c:cat>
            <c:strRef>
              <c:f>[1]rodina_deti!$A$9:$A$30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[1]rodina_deti!$G$9:$G$30</c:f>
              <c:numCache>
                <c:formatCode>General</c:formatCode>
                <c:ptCount val="22"/>
                <c:pt idx="0">
                  <c:v>11.849999999999989</c:v>
                </c:pt>
                <c:pt idx="1">
                  <c:v>13.039999999999964</c:v>
                </c:pt>
                <c:pt idx="2">
                  <c:v>14.730000000000025</c:v>
                </c:pt>
                <c:pt idx="3">
                  <c:v>16.640000000000033</c:v>
                </c:pt>
                <c:pt idx="4">
                  <c:v>19.870000000000033</c:v>
                </c:pt>
                <c:pt idx="5">
                  <c:v>22.100000000000012</c:v>
                </c:pt>
                <c:pt idx="6">
                  <c:v>28.909999999999986</c:v>
                </c:pt>
                <c:pt idx="7">
                  <c:v>32.430000000000064</c:v>
                </c:pt>
                <c:pt idx="8">
                  <c:v>37.130000000000052</c:v>
                </c:pt>
                <c:pt idx="9">
                  <c:v>62.489999999999938</c:v>
                </c:pt>
                <c:pt idx="10">
                  <c:v>75.500000000000057</c:v>
                </c:pt>
                <c:pt idx="11">
                  <c:v>71.750000000000156</c:v>
                </c:pt>
                <c:pt idx="12">
                  <c:v>77.349999999999767</c:v>
                </c:pt>
                <c:pt idx="13">
                  <c:v>86.329999999999927</c:v>
                </c:pt>
                <c:pt idx="14">
                  <c:v>106.64999999999978</c:v>
                </c:pt>
                <c:pt idx="15">
                  <c:v>104.94000000000008</c:v>
                </c:pt>
                <c:pt idx="16">
                  <c:v>101.76000000000013</c:v>
                </c:pt>
                <c:pt idx="17">
                  <c:v>103.87000000000009</c:v>
                </c:pt>
                <c:pt idx="18">
                  <c:v>95.230000000000061</c:v>
                </c:pt>
                <c:pt idx="19">
                  <c:v>100.14000000000009</c:v>
                </c:pt>
                <c:pt idx="20">
                  <c:v>105.02000000000001</c:v>
                </c:pt>
                <c:pt idx="21">
                  <c:v>110.86999999999993</c:v>
                </c:pt>
              </c:numCache>
            </c:numRef>
          </c:val>
          <c:extLst>
            <c:ext xmlns:c16="http://schemas.microsoft.com/office/drawing/2014/chart" uri="{C3380CC4-5D6E-409C-BE32-E72D297353CC}">
              <c16:uniqueId val="{00000005-DDC7-49B1-A49C-1191C8704FD3}"/>
            </c:ext>
          </c:extLst>
        </c:ser>
        <c:dLbls>
          <c:showLegendKey val="0"/>
          <c:showVal val="0"/>
          <c:showCatName val="0"/>
          <c:showSerName val="0"/>
          <c:showPercent val="0"/>
          <c:showBubbleSize val="0"/>
        </c:dLbls>
        <c:gapWidth val="15"/>
        <c:overlap val="100"/>
        <c:axId val="-1840691872"/>
        <c:axId val="-1840720160"/>
      </c:barChart>
      <c:lineChart>
        <c:grouping val="standard"/>
        <c:varyColors val="0"/>
        <c:ser>
          <c:idx val="6"/>
          <c:order val="6"/>
          <c:tx>
            <c:strRef>
              <c:f>'D:\ESSPROS\Publikacia_2021\[OPR_Publikácia Grafy rok 2019.xlsx]rodina_deti'!$H$8</c:f>
              <c:strCache>
                <c:ptCount val="1"/>
                <c:pt idx="0">
                  <c:v>% HDP</c:v>
                </c:pt>
              </c:strCache>
            </c:strRef>
          </c:tx>
          <c:spPr>
            <a:ln w="19050">
              <a:solidFill>
                <a:srgbClr val="FF0000"/>
              </a:solidFill>
            </a:ln>
          </c:spPr>
          <c:marker>
            <c:symbol val="circle"/>
            <c:size val="5"/>
            <c:spPr>
              <a:solidFill>
                <a:schemeClr val="bg1"/>
              </a:solidFill>
              <a:ln>
                <a:solidFill>
                  <a:schemeClr val="accent5">
                    <a:lumMod val="75000"/>
                  </a:schemeClr>
                </a:solidFill>
              </a:ln>
            </c:spPr>
          </c:marker>
          <c:cat>
            <c:strRef>
              <c:f>[1]rodina_deti!$A$9:$A$30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[1]rodina_deti!$H$9:$H$30</c:f>
              <c:numCache>
                <c:formatCode>General</c:formatCode>
                <c:ptCount val="22"/>
                <c:pt idx="0">
                  <c:v>2.1</c:v>
                </c:pt>
                <c:pt idx="1">
                  <c:v>1.9</c:v>
                </c:pt>
                <c:pt idx="2">
                  <c:v>1.7</c:v>
                </c:pt>
                <c:pt idx="3">
                  <c:v>1.5</c:v>
                </c:pt>
                <c:pt idx="4">
                  <c:v>1.5</c:v>
                </c:pt>
                <c:pt idx="5">
                  <c:v>1.4</c:v>
                </c:pt>
                <c:pt idx="6">
                  <c:v>1.7</c:v>
                </c:pt>
                <c:pt idx="7">
                  <c:v>1.6</c:v>
                </c:pt>
                <c:pt idx="8">
                  <c:v>1.6</c:v>
                </c:pt>
                <c:pt idx="9">
                  <c:v>1.5</c:v>
                </c:pt>
                <c:pt idx="10">
                  <c:v>1.4</c:v>
                </c:pt>
                <c:pt idx="11">
                  <c:v>1.7</c:v>
                </c:pt>
                <c:pt idx="12">
                  <c:v>1.7</c:v>
                </c:pt>
                <c:pt idx="13">
                  <c:v>1.7</c:v>
                </c:pt>
                <c:pt idx="14">
                  <c:v>1.7</c:v>
                </c:pt>
                <c:pt idx="15">
                  <c:v>1.7</c:v>
                </c:pt>
                <c:pt idx="16">
                  <c:v>1.7</c:v>
                </c:pt>
                <c:pt idx="17">
                  <c:v>1.6</c:v>
                </c:pt>
                <c:pt idx="18">
                  <c:v>1.6</c:v>
                </c:pt>
                <c:pt idx="19">
                  <c:v>1.6</c:v>
                </c:pt>
                <c:pt idx="20">
                  <c:v>1.5</c:v>
                </c:pt>
                <c:pt idx="21">
                  <c:v>1.6</c:v>
                </c:pt>
              </c:numCache>
            </c:numRef>
          </c:val>
          <c:smooth val="0"/>
          <c:extLst>
            <c:ext xmlns:c16="http://schemas.microsoft.com/office/drawing/2014/chart" uri="{C3380CC4-5D6E-409C-BE32-E72D297353CC}">
              <c16:uniqueId val="{00000006-DDC7-49B1-A49C-1191C8704FD3}"/>
            </c:ext>
          </c:extLst>
        </c:ser>
        <c:dLbls>
          <c:showLegendKey val="0"/>
          <c:showVal val="0"/>
          <c:showCatName val="0"/>
          <c:showSerName val="0"/>
          <c:showPercent val="0"/>
          <c:showBubbleSize val="0"/>
        </c:dLbls>
        <c:marker val="1"/>
        <c:smooth val="0"/>
        <c:axId val="-252939216"/>
        <c:axId val="-252942480"/>
      </c:lineChart>
      <c:catAx>
        <c:axId val="-1840691872"/>
        <c:scaling>
          <c:orientation val="minMax"/>
        </c:scaling>
        <c:delete val="0"/>
        <c:axPos val="b"/>
        <c:numFmt formatCode="General" sourceLinked="0"/>
        <c:majorTickMark val="out"/>
        <c:minorTickMark val="none"/>
        <c:tickLblPos val="nextTo"/>
        <c:txPr>
          <a:bodyPr/>
          <a:lstStyle/>
          <a:p>
            <a:pPr>
              <a:defRPr sz="800">
                <a:latin typeface="Arial Narrow" pitchFamily="34" charset="0"/>
              </a:defRPr>
            </a:pPr>
            <a:endParaRPr lang="sk-SK"/>
          </a:p>
        </c:txPr>
        <c:crossAx val="-1840720160"/>
        <c:crosses val="autoZero"/>
        <c:auto val="1"/>
        <c:lblAlgn val="ctr"/>
        <c:lblOffset val="100"/>
        <c:noMultiLvlLbl val="0"/>
      </c:catAx>
      <c:valAx>
        <c:axId val="-1840720160"/>
        <c:scaling>
          <c:orientation val="minMax"/>
          <c:max val="1600"/>
          <c:min val="0"/>
        </c:scaling>
        <c:delete val="0"/>
        <c:axPos val="l"/>
        <c:majorGridlines/>
        <c:numFmt formatCode="0" sourceLinked="0"/>
        <c:majorTickMark val="out"/>
        <c:minorTickMark val="none"/>
        <c:tickLblPos val="nextTo"/>
        <c:txPr>
          <a:bodyPr/>
          <a:lstStyle/>
          <a:p>
            <a:pPr>
              <a:defRPr sz="800">
                <a:latin typeface="Arial Narrow" pitchFamily="34" charset="0"/>
              </a:defRPr>
            </a:pPr>
            <a:endParaRPr lang="sk-SK"/>
          </a:p>
        </c:txPr>
        <c:crossAx val="-1840691872"/>
        <c:crosses val="autoZero"/>
        <c:crossBetween val="between"/>
        <c:majorUnit val="100"/>
      </c:valAx>
      <c:valAx>
        <c:axId val="-252942480"/>
        <c:scaling>
          <c:orientation val="minMax"/>
          <c:max val="3"/>
          <c:min val="1"/>
        </c:scaling>
        <c:delete val="0"/>
        <c:axPos val="r"/>
        <c:numFmt formatCode="0.0" sourceLinked="0"/>
        <c:majorTickMark val="out"/>
        <c:minorTickMark val="none"/>
        <c:tickLblPos val="nextTo"/>
        <c:txPr>
          <a:bodyPr/>
          <a:lstStyle/>
          <a:p>
            <a:pPr>
              <a:defRPr sz="800">
                <a:latin typeface="Arial Narrow" pitchFamily="34" charset="0"/>
              </a:defRPr>
            </a:pPr>
            <a:endParaRPr lang="sk-SK"/>
          </a:p>
        </c:txPr>
        <c:crossAx val="-252939216"/>
        <c:crosses val="max"/>
        <c:crossBetween val="between"/>
        <c:majorUnit val="0.2"/>
      </c:valAx>
      <c:catAx>
        <c:axId val="-252939216"/>
        <c:scaling>
          <c:orientation val="minMax"/>
        </c:scaling>
        <c:delete val="1"/>
        <c:axPos val="b"/>
        <c:numFmt formatCode="General" sourceLinked="1"/>
        <c:majorTickMark val="out"/>
        <c:minorTickMark val="none"/>
        <c:tickLblPos val="nextTo"/>
        <c:crossAx val="-252942480"/>
        <c:crosses val="autoZero"/>
        <c:auto val="1"/>
        <c:lblAlgn val="ctr"/>
        <c:lblOffset val="100"/>
        <c:noMultiLvlLbl val="0"/>
      </c:catAx>
    </c:plotArea>
    <c:legend>
      <c:legendPos val="r"/>
      <c:layout>
        <c:manualLayout>
          <c:xMode val="edge"/>
          <c:yMode val="edge"/>
          <c:x val="7.2530690048288413E-3"/>
          <c:y val="0.85036913580246909"/>
          <c:w val="0.98010926704972146"/>
          <c:h val="0.13368395061728397"/>
        </c:manualLayout>
      </c:layout>
      <c:overlay val="0"/>
      <c:txPr>
        <a:bodyPr/>
        <a:lstStyle/>
        <a:p>
          <a:pPr>
            <a:defRPr sz="800">
              <a:latin typeface="Arial Narrow" pitchFamily="34" charset="0"/>
            </a:defRPr>
          </a:pPr>
          <a:endParaRPr lang="sk-SK"/>
        </a:p>
      </c:txPr>
    </c:legend>
    <c:plotVisOnly val="1"/>
    <c:dispBlanksAs val="gap"/>
    <c:showDLblsOverMax val="0"/>
  </c:chart>
  <c:spPr>
    <a:ln>
      <a:solidFill>
        <a:srgbClr val="C00000"/>
      </a:solidFill>
    </a:ln>
  </c:sp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51723684879586E-2"/>
          <c:y val="5.0439237264016695E-2"/>
          <c:w val="0.84869463080995333"/>
          <c:h val="0.71185321888714648"/>
        </c:manualLayout>
      </c:layout>
      <c:barChart>
        <c:barDir val="col"/>
        <c:grouping val="stacked"/>
        <c:varyColors val="0"/>
        <c:ser>
          <c:idx val="0"/>
          <c:order val="0"/>
          <c:tx>
            <c:strRef>
              <c:f>nezamestnaní!$B$6</c:f>
              <c:strCache>
                <c:ptCount val="1"/>
                <c:pt idx="0">
                  <c:v>Dávky v nezamestnanosti</c:v>
                </c:pt>
              </c:strCache>
            </c:strRef>
          </c:tx>
          <c:spPr>
            <a:solidFill>
              <a:schemeClr val="accent6">
                <a:lumMod val="75000"/>
              </a:schemeClr>
            </a:solidFill>
          </c:spPr>
          <c:invertIfNegative val="0"/>
          <c:cat>
            <c:strRef>
              <c:f>nezamestnaní!$A$7:$A$28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nezamestnaní!$B$7:$B$28</c:f>
              <c:numCache>
                <c:formatCode>#,##0.00</c:formatCode>
                <c:ptCount val="22"/>
                <c:pt idx="0">
                  <c:v>130.36000000000001</c:v>
                </c:pt>
                <c:pt idx="1">
                  <c:v>177.19</c:v>
                </c:pt>
                <c:pt idx="2">
                  <c:v>146.47999999999999</c:v>
                </c:pt>
                <c:pt idx="3">
                  <c:v>114.52</c:v>
                </c:pt>
                <c:pt idx="4">
                  <c:v>124.69</c:v>
                </c:pt>
                <c:pt idx="5">
                  <c:v>124.47</c:v>
                </c:pt>
                <c:pt idx="6">
                  <c:v>132.34</c:v>
                </c:pt>
                <c:pt idx="7">
                  <c:v>82.08</c:v>
                </c:pt>
                <c:pt idx="8">
                  <c:v>63.73</c:v>
                </c:pt>
                <c:pt idx="9">
                  <c:v>59.65</c:v>
                </c:pt>
                <c:pt idx="10">
                  <c:v>66.12</c:v>
                </c:pt>
                <c:pt idx="11">
                  <c:v>172.43</c:v>
                </c:pt>
                <c:pt idx="12">
                  <c:v>150.68</c:v>
                </c:pt>
                <c:pt idx="13">
                  <c:v>163.51</c:v>
                </c:pt>
                <c:pt idx="14">
                  <c:v>175.83</c:v>
                </c:pt>
                <c:pt idx="15">
                  <c:v>174.31</c:v>
                </c:pt>
                <c:pt idx="16">
                  <c:v>154.72</c:v>
                </c:pt>
                <c:pt idx="17">
                  <c:v>158.63</c:v>
                </c:pt>
                <c:pt idx="18">
                  <c:v>171.63</c:v>
                </c:pt>
                <c:pt idx="19">
                  <c:v>167.66</c:v>
                </c:pt>
                <c:pt idx="20">
                  <c:v>183.75</c:v>
                </c:pt>
                <c:pt idx="21">
                  <c:v>214.2</c:v>
                </c:pt>
              </c:numCache>
            </c:numRef>
          </c:val>
          <c:extLst>
            <c:ext xmlns:c16="http://schemas.microsoft.com/office/drawing/2014/chart" uri="{C3380CC4-5D6E-409C-BE32-E72D297353CC}">
              <c16:uniqueId val="{00000000-E8C1-4BA1-B94A-C117A25BB1B1}"/>
            </c:ext>
          </c:extLst>
        </c:ser>
        <c:ser>
          <c:idx val="1"/>
          <c:order val="1"/>
          <c:tx>
            <c:strRef>
              <c:f>nezamestnaní!$C$6</c:f>
              <c:strCache>
                <c:ptCount val="1"/>
                <c:pt idx="0">
                  <c:v>Služby zamestnanosti</c:v>
                </c:pt>
              </c:strCache>
            </c:strRef>
          </c:tx>
          <c:spPr>
            <a:solidFill>
              <a:schemeClr val="accent6">
                <a:lumMod val="60000"/>
                <a:lumOff val="40000"/>
              </a:schemeClr>
            </a:solidFill>
          </c:spPr>
          <c:invertIfNegative val="0"/>
          <c:cat>
            <c:strRef>
              <c:f>nezamestnaní!$A$7:$A$28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nezamestnaní!$C$7:$C$28</c:f>
              <c:numCache>
                <c:formatCode>#,##0.00</c:formatCode>
                <c:ptCount val="22"/>
                <c:pt idx="0">
                  <c:v>24</c:v>
                </c:pt>
                <c:pt idx="1">
                  <c:v>27.68</c:v>
                </c:pt>
                <c:pt idx="2">
                  <c:v>24</c:v>
                </c:pt>
                <c:pt idx="3">
                  <c:v>22.87</c:v>
                </c:pt>
                <c:pt idx="4">
                  <c:v>33.840000000000003</c:v>
                </c:pt>
                <c:pt idx="5">
                  <c:v>38.15</c:v>
                </c:pt>
                <c:pt idx="6">
                  <c:v>32.82</c:v>
                </c:pt>
                <c:pt idx="7">
                  <c:v>2.77</c:v>
                </c:pt>
                <c:pt idx="8">
                  <c:v>3.92</c:v>
                </c:pt>
                <c:pt idx="9">
                  <c:v>3.36</c:v>
                </c:pt>
                <c:pt idx="10">
                  <c:v>1.43</c:v>
                </c:pt>
                <c:pt idx="11">
                  <c:v>0.34</c:v>
                </c:pt>
                <c:pt idx="12">
                  <c:v>1.47</c:v>
                </c:pt>
                <c:pt idx="13">
                  <c:v>0</c:v>
                </c:pt>
                <c:pt idx="14">
                  <c:v>7.0000000000000007E-2</c:v>
                </c:pt>
                <c:pt idx="15">
                  <c:v>7.0000000000000007E-2</c:v>
                </c:pt>
                <c:pt idx="16">
                  <c:v>0.35</c:v>
                </c:pt>
                <c:pt idx="17">
                  <c:v>7.0000000000000007E-2</c:v>
                </c:pt>
                <c:pt idx="18">
                  <c:v>0.04</c:v>
                </c:pt>
                <c:pt idx="19">
                  <c:v>0</c:v>
                </c:pt>
                <c:pt idx="20">
                  <c:v>0</c:v>
                </c:pt>
                <c:pt idx="21">
                  <c:v>0</c:v>
                </c:pt>
              </c:numCache>
            </c:numRef>
          </c:val>
          <c:extLst>
            <c:ext xmlns:c16="http://schemas.microsoft.com/office/drawing/2014/chart" uri="{C3380CC4-5D6E-409C-BE32-E72D297353CC}">
              <c16:uniqueId val="{00000001-E8C1-4BA1-B94A-C117A25BB1B1}"/>
            </c:ext>
          </c:extLst>
        </c:ser>
        <c:ser>
          <c:idx val="2"/>
          <c:order val="2"/>
          <c:tx>
            <c:strRef>
              <c:f>nezamestnaní!$D$6</c:f>
              <c:strCache>
                <c:ptCount val="1"/>
                <c:pt idx="0">
                  <c:v>Predčasný dôchodok</c:v>
                </c:pt>
              </c:strCache>
            </c:strRef>
          </c:tx>
          <c:spPr>
            <a:solidFill>
              <a:schemeClr val="accent5">
                <a:lumMod val="40000"/>
                <a:lumOff val="60000"/>
              </a:schemeClr>
            </a:solidFill>
          </c:spPr>
          <c:invertIfNegative val="0"/>
          <c:cat>
            <c:strRef>
              <c:f>nezamestnaní!$A$7:$A$28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nezamestnaní!$D$7:$D$28</c:f>
              <c:numCache>
                <c:formatCode>#,##0.00</c:formatCode>
                <c:ptCount val="22"/>
                <c:pt idx="0">
                  <c:v>39.32</c:v>
                </c:pt>
                <c:pt idx="1">
                  <c:v>50.87</c:v>
                </c:pt>
                <c:pt idx="2">
                  <c:v>55.82</c:v>
                </c:pt>
                <c:pt idx="3">
                  <c:v>23.62</c:v>
                </c:pt>
                <c:pt idx="4">
                  <c:v>3.11</c:v>
                </c:pt>
                <c:pt idx="5">
                  <c:v>1.78</c:v>
                </c:pt>
                <c:pt idx="6">
                  <c:v>17.420000000000002</c:v>
                </c:pt>
                <c:pt idx="7">
                  <c:v>46.27</c:v>
                </c:pt>
                <c:pt idx="8">
                  <c:v>119.93</c:v>
                </c:pt>
                <c:pt idx="9">
                  <c:v>161.77000000000001</c:v>
                </c:pt>
                <c:pt idx="10">
                  <c:v>218.71</c:v>
                </c:pt>
                <c:pt idx="11">
                  <c:v>240.23</c:v>
                </c:pt>
                <c:pt idx="12">
                  <c:v>239.85</c:v>
                </c:pt>
                <c:pt idx="13">
                  <c:v>172.52</c:v>
                </c:pt>
                <c:pt idx="14">
                  <c:v>128.03</c:v>
                </c:pt>
                <c:pt idx="15">
                  <c:v>117.64</c:v>
                </c:pt>
                <c:pt idx="16">
                  <c:v>102.89</c:v>
                </c:pt>
                <c:pt idx="17">
                  <c:v>101.89</c:v>
                </c:pt>
                <c:pt idx="18">
                  <c:v>104.58</c:v>
                </c:pt>
                <c:pt idx="19">
                  <c:v>111.32</c:v>
                </c:pt>
                <c:pt idx="20">
                  <c:v>93.77</c:v>
                </c:pt>
                <c:pt idx="21">
                  <c:v>88.6</c:v>
                </c:pt>
              </c:numCache>
            </c:numRef>
          </c:val>
          <c:extLst>
            <c:ext xmlns:c16="http://schemas.microsoft.com/office/drawing/2014/chart" uri="{C3380CC4-5D6E-409C-BE32-E72D297353CC}">
              <c16:uniqueId val="{00000002-E8C1-4BA1-B94A-C117A25BB1B1}"/>
            </c:ext>
          </c:extLst>
        </c:ser>
        <c:ser>
          <c:idx val="3"/>
          <c:order val="3"/>
          <c:tx>
            <c:strRef>
              <c:f>nezamestnaní!$E$6</c:f>
              <c:strCache>
                <c:ptCount val="1"/>
                <c:pt idx="0">
                  <c:v>Odborné vzdelávanie</c:v>
                </c:pt>
              </c:strCache>
            </c:strRef>
          </c:tx>
          <c:spPr>
            <a:solidFill>
              <a:schemeClr val="accent5">
                <a:lumMod val="50000"/>
              </a:schemeClr>
            </a:solidFill>
          </c:spPr>
          <c:invertIfNegative val="0"/>
          <c:cat>
            <c:strRef>
              <c:f>nezamestnaní!$A$7:$A$28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nezamestnaní!$E$7:$E$28</c:f>
              <c:numCache>
                <c:formatCode>#,##0.00</c:formatCode>
                <c:ptCount val="22"/>
                <c:pt idx="0">
                  <c:v>5.54</c:v>
                </c:pt>
                <c:pt idx="1">
                  <c:v>2.44</c:v>
                </c:pt>
                <c:pt idx="2">
                  <c:v>2.06</c:v>
                </c:pt>
                <c:pt idx="3">
                  <c:v>6.53</c:v>
                </c:pt>
                <c:pt idx="4">
                  <c:v>16.190000000000001</c:v>
                </c:pt>
                <c:pt idx="5">
                  <c:v>9.99</c:v>
                </c:pt>
                <c:pt idx="6">
                  <c:v>4.4800000000000004</c:v>
                </c:pt>
                <c:pt idx="7">
                  <c:v>11.9</c:v>
                </c:pt>
                <c:pt idx="8">
                  <c:v>5.32</c:v>
                </c:pt>
                <c:pt idx="9">
                  <c:v>3.05</c:v>
                </c:pt>
                <c:pt idx="10">
                  <c:v>6.63</c:v>
                </c:pt>
                <c:pt idx="11">
                  <c:v>7.03</c:v>
                </c:pt>
                <c:pt idx="12">
                  <c:v>3.49</c:v>
                </c:pt>
                <c:pt idx="13">
                  <c:v>5.29</c:v>
                </c:pt>
                <c:pt idx="14">
                  <c:v>0.2</c:v>
                </c:pt>
                <c:pt idx="15">
                  <c:v>7.0000000000000007E-2</c:v>
                </c:pt>
                <c:pt idx="16">
                  <c:v>2.57</c:v>
                </c:pt>
                <c:pt idx="17">
                  <c:v>0.83</c:v>
                </c:pt>
                <c:pt idx="18">
                  <c:v>0</c:v>
                </c:pt>
                <c:pt idx="19">
                  <c:v>0</c:v>
                </c:pt>
                <c:pt idx="20">
                  <c:v>0</c:v>
                </c:pt>
                <c:pt idx="21">
                  <c:v>0</c:v>
                </c:pt>
              </c:numCache>
            </c:numRef>
          </c:val>
          <c:extLst>
            <c:ext xmlns:c16="http://schemas.microsoft.com/office/drawing/2014/chart" uri="{C3380CC4-5D6E-409C-BE32-E72D297353CC}">
              <c16:uniqueId val="{00000003-E8C1-4BA1-B94A-C117A25BB1B1}"/>
            </c:ext>
          </c:extLst>
        </c:ser>
        <c:ser>
          <c:idx val="4"/>
          <c:order val="4"/>
          <c:tx>
            <c:strRef>
              <c:f>nezamestnaní!$F$6</c:f>
              <c:strCache>
                <c:ptCount val="1"/>
                <c:pt idx="0">
                  <c:v>Odstupné</c:v>
                </c:pt>
              </c:strCache>
            </c:strRef>
          </c:tx>
          <c:spPr>
            <a:solidFill>
              <a:schemeClr val="bg2">
                <a:lumMod val="90000"/>
              </a:schemeClr>
            </a:solidFill>
          </c:spPr>
          <c:invertIfNegative val="0"/>
          <c:cat>
            <c:strRef>
              <c:f>nezamestnaní!$A$7:$A$28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nezamestnaní!$F$7:$F$28</c:f>
              <c:numCache>
                <c:formatCode>#,##0.00</c:formatCode>
                <c:ptCount val="22"/>
                <c:pt idx="0">
                  <c:v>71.94</c:v>
                </c:pt>
                <c:pt idx="1">
                  <c:v>111.36</c:v>
                </c:pt>
                <c:pt idx="2">
                  <c:v>54.96</c:v>
                </c:pt>
                <c:pt idx="3">
                  <c:v>58.68</c:v>
                </c:pt>
                <c:pt idx="4">
                  <c:v>100.59</c:v>
                </c:pt>
                <c:pt idx="5">
                  <c:v>229.13</c:v>
                </c:pt>
                <c:pt idx="6">
                  <c:v>276.61</c:v>
                </c:pt>
                <c:pt idx="7">
                  <c:v>122.02</c:v>
                </c:pt>
                <c:pt idx="8">
                  <c:v>94.31</c:v>
                </c:pt>
                <c:pt idx="9">
                  <c:v>110.95</c:v>
                </c:pt>
                <c:pt idx="10">
                  <c:v>100.47</c:v>
                </c:pt>
                <c:pt idx="11">
                  <c:v>220.11</c:v>
                </c:pt>
                <c:pt idx="12">
                  <c:v>185.03</c:v>
                </c:pt>
                <c:pt idx="13">
                  <c:v>174.75</c:v>
                </c:pt>
                <c:pt idx="14">
                  <c:v>151.04</c:v>
                </c:pt>
                <c:pt idx="15">
                  <c:v>125.46</c:v>
                </c:pt>
                <c:pt idx="16">
                  <c:v>116.47</c:v>
                </c:pt>
                <c:pt idx="17">
                  <c:v>113.72</c:v>
                </c:pt>
                <c:pt idx="18">
                  <c:v>121.24</c:v>
                </c:pt>
                <c:pt idx="19">
                  <c:v>116.89</c:v>
                </c:pt>
                <c:pt idx="20">
                  <c:v>119.63</c:v>
                </c:pt>
                <c:pt idx="21">
                  <c:v>129</c:v>
                </c:pt>
              </c:numCache>
            </c:numRef>
          </c:val>
          <c:extLst>
            <c:ext xmlns:c16="http://schemas.microsoft.com/office/drawing/2014/chart" uri="{C3380CC4-5D6E-409C-BE32-E72D297353CC}">
              <c16:uniqueId val="{00000004-E8C1-4BA1-B94A-C117A25BB1B1}"/>
            </c:ext>
          </c:extLst>
        </c:ser>
        <c:ser>
          <c:idx val="5"/>
          <c:order val="5"/>
          <c:tx>
            <c:strRef>
              <c:f>nezamestnaní!$G$6</c:f>
              <c:strCache>
                <c:ptCount val="1"/>
                <c:pt idx="0">
                  <c:v>Iné dávky</c:v>
                </c:pt>
              </c:strCache>
            </c:strRef>
          </c:tx>
          <c:spPr>
            <a:solidFill>
              <a:schemeClr val="accent4">
                <a:lumMod val="60000"/>
                <a:lumOff val="40000"/>
              </a:schemeClr>
            </a:solidFill>
          </c:spPr>
          <c:invertIfNegative val="0"/>
          <c:cat>
            <c:strRef>
              <c:f>nezamestnaní!$A$7:$A$28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nezamestnaní!$G$7:$G$28</c:f>
              <c:numCache>
                <c:formatCode>#,##0.00</c:formatCode>
                <c:ptCount val="22"/>
                <c:pt idx="0">
                  <c:v>0</c:v>
                </c:pt>
                <c:pt idx="1">
                  <c:v>1.0000000000005116E-2</c:v>
                </c:pt>
                <c:pt idx="2">
                  <c:v>0</c:v>
                </c:pt>
                <c:pt idx="3">
                  <c:v>0</c:v>
                </c:pt>
                <c:pt idx="4">
                  <c:v>0.20000000000000284</c:v>
                </c:pt>
                <c:pt idx="5">
                  <c:v>0</c:v>
                </c:pt>
                <c:pt idx="6">
                  <c:v>9.9999999999909051E-3</c:v>
                </c:pt>
                <c:pt idx="7">
                  <c:v>5.519999999999996</c:v>
                </c:pt>
                <c:pt idx="8">
                  <c:v>4.9500000000000455</c:v>
                </c:pt>
                <c:pt idx="9">
                  <c:v>5.8900000000000148</c:v>
                </c:pt>
                <c:pt idx="10">
                  <c:v>10.70999999999998</c:v>
                </c:pt>
                <c:pt idx="11">
                  <c:v>13.240000000000009</c:v>
                </c:pt>
                <c:pt idx="12">
                  <c:v>75.100000000000023</c:v>
                </c:pt>
                <c:pt idx="13">
                  <c:v>63.990000000000009</c:v>
                </c:pt>
                <c:pt idx="14">
                  <c:v>56.870000000000005</c:v>
                </c:pt>
                <c:pt idx="15">
                  <c:v>34.190000000000055</c:v>
                </c:pt>
                <c:pt idx="16">
                  <c:v>20.120000000000005</c:v>
                </c:pt>
                <c:pt idx="17">
                  <c:v>31.650000000000034</c:v>
                </c:pt>
                <c:pt idx="18">
                  <c:v>36.45999999999998</c:v>
                </c:pt>
                <c:pt idx="19">
                  <c:v>35.759999999999991</c:v>
                </c:pt>
                <c:pt idx="20">
                  <c:v>33.740000000000009</c:v>
                </c:pt>
                <c:pt idx="21">
                  <c:v>37.490000000000066</c:v>
                </c:pt>
              </c:numCache>
            </c:numRef>
          </c:val>
          <c:extLst>
            <c:ext xmlns:c16="http://schemas.microsoft.com/office/drawing/2014/chart" uri="{C3380CC4-5D6E-409C-BE32-E72D297353CC}">
              <c16:uniqueId val="{00000005-E8C1-4BA1-B94A-C117A25BB1B1}"/>
            </c:ext>
          </c:extLst>
        </c:ser>
        <c:dLbls>
          <c:showLegendKey val="0"/>
          <c:showVal val="0"/>
          <c:showCatName val="0"/>
          <c:showSerName val="0"/>
          <c:showPercent val="0"/>
          <c:showBubbleSize val="0"/>
        </c:dLbls>
        <c:gapWidth val="18"/>
        <c:overlap val="100"/>
        <c:axId val="-289056816"/>
        <c:axId val="-289056272"/>
      </c:barChart>
      <c:lineChart>
        <c:grouping val="standard"/>
        <c:varyColors val="0"/>
        <c:ser>
          <c:idx val="6"/>
          <c:order val="6"/>
          <c:tx>
            <c:strRef>
              <c:f>nezamestnaní!$H$6</c:f>
              <c:strCache>
                <c:ptCount val="1"/>
                <c:pt idx="0">
                  <c:v>% HDP</c:v>
                </c:pt>
              </c:strCache>
            </c:strRef>
          </c:tx>
          <c:spPr>
            <a:ln w="19050">
              <a:solidFill>
                <a:srgbClr val="002060"/>
              </a:solidFill>
            </a:ln>
          </c:spPr>
          <c:marker>
            <c:symbol val="circle"/>
            <c:size val="5"/>
            <c:spPr>
              <a:solidFill>
                <a:schemeClr val="bg1"/>
              </a:solidFill>
              <a:ln>
                <a:solidFill>
                  <a:srgbClr val="002060"/>
                </a:solidFill>
              </a:ln>
            </c:spPr>
          </c:marker>
          <c:cat>
            <c:strRef>
              <c:f>nezamestnaní!$A$7:$A$28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nezamestnaní!$H$7:$H$28</c:f>
              <c:numCache>
                <c:formatCode>0.0</c:formatCode>
                <c:ptCount val="22"/>
                <c:pt idx="0">
                  <c:v>1</c:v>
                </c:pt>
                <c:pt idx="1">
                  <c:v>1.3</c:v>
                </c:pt>
                <c:pt idx="2">
                  <c:v>0.9</c:v>
                </c:pt>
                <c:pt idx="3">
                  <c:v>0.7</c:v>
                </c:pt>
                <c:pt idx="4">
                  <c:v>0.7</c:v>
                </c:pt>
                <c:pt idx="5">
                  <c:v>1</c:v>
                </c:pt>
                <c:pt idx="6">
                  <c:v>1</c:v>
                </c:pt>
                <c:pt idx="7">
                  <c:v>0.5</c:v>
                </c:pt>
                <c:pt idx="8">
                  <c:v>0.5</c:v>
                </c:pt>
                <c:pt idx="9">
                  <c:v>0.5</c:v>
                </c:pt>
                <c:pt idx="10">
                  <c:v>0.6</c:v>
                </c:pt>
                <c:pt idx="11">
                  <c:v>1</c:v>
                </c:pt>
                <c:pt idx="12">
                  <c:v>1</c:v>
                </c:pt>
                <c:pt idx="13">
                  <c:v>0.8</c:v>
                </c:pt>
                <c:pt idx="14">
                  <c:v>0.7</c:v>
                </c:pt>
                <c:pt idx="15">
                  <c:v>0.6</c:v>
                </c:pt>
                <c:pt idx="16">
                  <c:v>0.5</c:v>
                </c:pt>
                <c:pt idx="17">
                  <c:v>0.5</c:v>
                </c:pt>
                <c:pt idx="18">
                  <c:v>0.5</c:v>
                </c:pt>
                <c:pt idx="19">
                  <c:v>0.5</c:v>
                </c:pt>
                <c:pt idx="20">
                  <c:v>0.5</c:v>
                </c:pt>
                <c:pt idx="21">
                  <c:v>0.5</c:v>
                </c:pt>
              </c:numCache>
            </c:numRef>
          </c:val>
          <c:smooth val="0"/>
          <c:extLst>
            <c:ext xmlns:c16="http://schemas.microsoft.com/office/drawing/2014/chart" uri="{C3380CC4-5D6E-409C-BE32-E72D297353CC}">
              <c16:uniqueId val="{00000006-E8C1-4BA1-B94A-C117A25BB1B1}"/>
            </c:ext>
          </c:extLst>
        </c:ser>
        <c:ser>
          <c:idx val="7"/>
          <c:order val="7"/>
          <c:tx>
            <c:strRef>
              <c:f>nezamestnaní!$I$6</c:f>
              <c:strCache>
                <c:ptCount val="1"/>
                <c:pt idx="0">
                  <c:v>Miera nezamestnanosti, LFS  (%)</c:v>
                </c:pt>
              </c:strCache>
            </c:strRef>
          </c:tx>
          <c:spPr>
            <a:ln w="19050">
              <a:solidFill>
                <a:srgbClr val="C00000"/>
              </a:solidFill>
            </a:ln>
          </c:spPr>
          <c:marker>
            <c:symbol val="triangle"/>
            <c:size val="6"/>
            <c:spPr>
              <a:solidFill>
                <a:schemeClr val="bg1"/>
              </a:solidFill>
              <a:ln>
                <a:solidFill>
                  <a:srgbClr val="C00000"/>
                </a:solidFill>
              </a:ln>
            </c:spPr>
          </c:marker>
          <c:cat>
            <c:strRef>
              <c:f>nezamestnaní!$A$7:$A$28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nezamestnaní!$I$7:$I$28</c:f>
              <c:numCache>
                <c:formatCode>0.0</c:formatCode>
                <c:ptCount val="22"/>
                <c:pt idx="0">
                  <c:v>12.5</c:v>
                </c:pt>
                <c:pt idx="1">
                  <c:v>16.2</c:v>
                </c:pt>
                <c:pt idx="2">
                  <c:v>18.600000000000001</c:v>
                </c:pt>
                <c:pt idx="3">
                  <c:v>19.2</c:v>
                </c:pt>
                <c:pt idx="4">
                  <c:v>18.5</c:v>
                </c:pt>
                <c:pt idx="5">
                  <c:v>17.399999999999999</c:v>
                </c:pt>
                <c:pt idx="6">
                  <c:v>18.100000000000001</c:v>
                </c:pt>
                <c:pt idx="7">
                  <c:v>16.2</c:v>
                </c:pt>
                <c:pt idx="8">
                  <c:v>13.3</c:v>
                </c:pt>
                <c:pt idx="9">
                  <c:v>11</c:v>
                </c:pt>
                <c:pt idx="10">
                  <c:v>9.6</c:v>
                </c:pt>
                <c:pt idx="11">
                  <c:v>12.1</c:v>
                </c:pt>
                <c:pt idx="12">
                  <c:v>14.4</c:v>
                </c:pt>
                <c:pt idx="13">
                  <c:v>13.7</c:v>
                </c:pt>
                <c:pt idx="14">
                  <c:v>14</c:v>
                </c:pt>
                <c:pt idx="15">
                  <c:v>14.2</c:v>
                </c:pt>
                <c:pt idx="16">
                  <c:v>13.2</c:v>
                </c:pt>
                <c:pt idx="17">
                  <c:v>11.5</c:v>
                </c:pt>
                <c:pt idx="18">
                  <c:v>9.6999999999999993</c:v>
                </c:pt>
                <c:pt idx="19">
                  <c:v>8.1</c:v>
                </c:pt>
                <c:pt idx="20">
                  <c:v>6.6</c:v>
                </c:pt>
                <c:pt idx="21">
                  <c:v>5.8</c:v>
                </c:pt>
              </c:numCache>
            </c:numRef>
          </c:val>
          <c:smooth val="0"/>
          <c:extLst>
            <c:ext xmlns:c16="http://schemas.microsoft.com/office/drawing/2014/chart" uri="{C3380CC4-5D6E-409C-BE32-E72D297353CC}">
              <c16:uniqueId val="{00000007-E8C1-4BA1-B94A-C117A25BB1B1}"/>
            </c:ext>
          </c:extLst>
        </c:ser>
        <c:dLbls>
          <c:showLegendKey val="0"/>
          <c:showVal val="0"/>
          <c:showCatName val="0"/>
          <c:showSerName val="0"/>
          <c:showPercent val="0"/>
          <c:showBubbleSize val="0"/>
        </c:dLbls>
        <c:marker val="1"/>
        <c:smooth val="0"/>
        <c:axId val="-289064432"/>
        <c:axId val="-289051376"/>
      </c:lineChart>
      <c:catAx>
        <c:axId val="-289056816"/>
        <c:scaling>
          <c:orientation val="minMax"/>
        </c:scaling>
        <c:delete val="0"/>
        <c:axPos val="b"/>
        <c:numFmt formatCode="General" sourceLinked="0"/>
        <c:majorTickMark val="out"/>
        <c:minorTickMark val="none"/>
        <c:tickLblPos val="nextTo"/>
        <c:txPr>
          <a:bodyPr/>
          <a:lstStyle/>
          <a:p>
            <a:pPr>
              <a:defRPr sz="800">
                <a:latin typeface="Arial Narrow" panose="020B0606020202030204" pitchFamily="34" charset="0"/>
              </a:defRPr>
            </a:pPr>
            <a:endParaRPr lang="sk-SK"/>
          </a:p>
        </c:txPr>
        <c:crossAx val="-289056272"/>
        <c:crosses val="autoZero"/>
        <c:auto val="1"/>
        <c:lblAlgn val="ctr"/>
        <c:lblOffset val="100"/>
        <c:noMultiLvlLbl val="0"/>
      </c:catAx>
      <c:valAx>
        <c:axId val="-289056272"/>
        <c:scaling>
          <c:orientation val="minMax"/>
          <c:min val="0"/>
        </c:scaling>
        <c:delete val="0"/>
        <c:axPos val="l"/>
        <c:majorGridlines/>
        <c:numFmt formatCode="0" sourceLinked="0"/>
        <c:majorTickMark val="out"/>
        <c:minorTickMark val="none"/>
        <c:tickLblPos val="nextTo"/>
        <c:txPr>
          <a:bodyPr/>
          <a:lstStyle/>
          <a:p>
            <a:pPr>
              <a:defRPr sz="800">
                <a:latin typeface="Arial Narrow" panose="020B0606020202030204" pitchFamily="34" charset="0"/>
              </a:defRPr>
            </a:pPr>
            <a:endParaRPr lang="sk-SK"/>
          </a:p>
        </c:txPr>
        <c:crossAx val="-289056816"/>
        <c:crosses val="autoZero"/>
        <c:crossBetween val="between"/>
        <c:majorUnit val="50"/>
      </c:valAx>
      <c:valAx>
        <c:axId val="-289051376"/>
        <c:scaling>
          <c:orientation val="minMax"/>
          <c:max val="20"/>
        </c:scaling>
        <c:delete val="0"/>
        <c:axPos val="r"/>
        <c:numFmt formatCode="0" sourceLinked="0"/>
        <c:majorTickMark val="out"/>
        <c:minorTickMark val="none"/>
        <c:tickLblPos val="nextTo"/>
        <c:txPr>
          <a:bodyPr/>
          <a:lstStyle/>
          <a:p>
            <a:pPr>
              <a:defRPr sz="800">
                <a:latin typeface="Arial Narrow" panose="020B0606020202030204" pitchFamily="34" charset="0"/>
              </a:defRPr>
            </a:pPr>
            <a:endParaRPr lang="sk-SK"/>
          </a:p>
        </c:txPr>
        <c:crossAx val="-289064432"/>
        <c:crosses val="max"/>
        <c:crossBetween val="between"/>
        <c:majorUnit val="2"/>
      </c:valAx>
      <c:catAx>
        <c:axId val="-289064432"/>
        <c:scaling>
          <c:orientation val="minMax"/>
        </c:scaling>
        <c:delete val="1"/>
        <c:axPos val="b"/>
        <c:numFmt formatCode="General" sourceLinked="1"/>
        <c:majorTickMark val="out"/>
        <c:minorTickMark val="none"/>
        <c:tickLblPos val="nextTo"/>
        <c:crossAx val="-289051376"/>
        <c:crosses val="autoZero"/>
        <c:auto val="1"/>
        <c:lblAlgn val="ctr"/>
        <c:lblOffset val="100"/>
        <c:noMultiLvlLbl val="0"/>
      </c:catAx>
    </c:plotArea>
    <c:legend>
      <c:legendPos val="r"/>
      <c:legendEntry>
        <c:idx val="4"/>
        <c:txPr>
          <a:bodyPr/>
          <a:lstStyle/>
          <a:p>
            <a:pPr>
              <a:defRPr sz="800">
                <a:solidFill>
                  <a:sysClr val="windowText" lastClr="000000"/>
                </a:solidFill>
                <a:latin typeface="Arial Narrow" pitchFamily="34" charset="0"/>
              </a:defRPr>
            </a:pPr>
            <a:endParaRPr lang="sk-SK"/>
          </a:p>
        </c:txPr>
      </c:legendEntry>
      <c:layout>
        <c:manualLayout>
          <c:xMode val="edge"/>
          <c:yMode val="edge"/>
          <c:x val="4.063697916666667E-2"/>
          <c:y val="0.84762370801033593"/>
          <c:w val="0.88566197916666667"/>
          <c:h val="0.14122480620155042"/>
        </c:manualLayout>
      </c:layout>
      <c:overlay val="0"/>
      <c:txPr>
        <a:bodyPr/>
        <a:lstStyle/>
        <a:p>
          <a:pPr>
            <a:defRPr sz="800">
              <a:latin typeface="Arial Narrow" pitchFamily="34" charset="0"/>
            </a:defRPr>
          </a:pPr>
          <a:endParaRPr lang="sk-SK"/>
        </a:p>
      </c:txPr>
    </c:legend>
    <c:plotVisOnly val="1"/>
    <c:dispBlanksAs val="gap"/>
    <c:showDLblsOverMax val="0"/>
  </c:chart>
  <c:spPr>
    <a:ln>
      <a:solidFill>
        <a:srgbClr val="C00000"/>
      </a:solidFill>
    </a:ln>
  </c:spPr>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67503561253559E-2"/>
          <c:y val="7.5841606755677277E-2"/>
          <c:w val="0.83694586894586909"/>
          <c:h val="0.63117883917204964"/>
        </c:manualLayout>
      </c:layout>
      <c:barChart>
        <c:barDir val="col"/>
        <c:grouping val="stacked"/>
        <c:varyColors val="0"/>
        <c:ser>
          <c:idx val="0"/>
          <c:order val="0"/>
          <c:tx>
            <c:strRef>
              <c:f>'D:\ESSPROS\Publikacia_2021\[OPR_Publikácia Grafy rok 2019.xlsx]bývanie a soc.vylúčenie'!$B$8</c:f>
              <c:strCache>
                <c:ptCount val="1"/>
                <c:pt idx="0">
                  <c:v>Podpora príjmu</c:v>
                </c:pt>
              </c:strCache>
            </c:strRef>
          </c:tx>
          <c:spPr>
            <a:solidFill>
              <a:schemeClr val="accent6">
                <a:lumMod val="75000"/>
              </a:schemeClr>
            </a:solidFill>
          </c:spPr>
          <c:invertIfNegative val="0"/>
          <c:cat>
            <c:strRef>
              <c:f>'[2]bývanie a soc.vylúčenie'!$A$9:$A$30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'[2]bývanie a soc.vylúčenie'!$B$9:$B$30</c:f>
              <c:numCache>
                <c:formatCode>General</c:formatCode>
                <c:ptCount val="22"/>
                <c:pt idx="0">
                  <c:v>166.46</c:v>
                </c:pt>
                <c:pt idx="1">
                  <c:v>216.25</c:v>
                </c:pt>
                <c:pt idx="2">
                  <c:v>242.6</c:v>
                </c:pt>
                <c:pt idx="3">
                  <c:v>261.83999999999997</c:v>
                </c:pt>
                <c:pt idx="4">
                  <c:v>267.7</c:v>
                </c:pt>
                <c:pt idx="5">
                  <c:v>217.61</c:v>
                </c:pt>
                <c:pt idx="6">
                  <c:v>157.47</c:v>
                </c:pt>
                <c:pt idx="7">
                  <c:v>182.84</c:v>
                </c:pt>
                <c:pt idx="8">
                  <c:v>225.45</c:v>
                </c:pt>
                <c:pt idx="9">
                  <c:v>248.77</c:v>
                </c:pt>
                <c:pt idx="10">
                  <c:v>218.4</c:v>
                </c:pt>
                <c:pt idx="11">
                  <c:v>245.24</c:v>
                </c:pt>
                <c:pt idx="12">
                  <c:v>283.24</c:v>
                </c:pt>
                <c:pt idx="13">
                  <c:v>273.44</c:v>
                </c:pt>
                <c:pt idx="14">
                  <c:v>269.99</c:v>
                </c:pt>
                <c:pt idx="15">
                  <c:v>271.64</c:v>
                </c:pt>
                <c:pt idx="16">
                  <c:v>245.78</c:v>
                </c:pt>
                <c:pt idx="17">
                  <c:v>203.85</c:v>
                </c:pt>
                <c:pt idx="18">
                  <c:v>172.33</c:v>
                </c:pt>
                <c:pt idx="19">
                  <c:v>173.09</c:v>
                </c:pt>
                <c:pt idx="20">
                  <c:v>141.52000000000001</c:v>
                </c:pt>
                <c:pt idx="21">
                  <c:v>160.27000000000001</c:v>
                </c:pt>
              </c:numCache>
            </c:numRef>
          </c:val>
          <c:extLst>
            <c:ext xmlns:c16="http://schemas.microsoft.com/office/drawing/2014/chart" uri="{C3380CC4-5D6E-409C-BE32-E72D297353CC}">
              <c16:uniqueId val="{00000000-BBA7-447D-965C-06036F728D16}"/>
            </c:ext>
          </c:extLst>
        </c:ser>
        <c:ser>
          <c:idx val="1"/>
          <c:order val="1"/>
          <c:tx>
            <c:strRef>
              <c:f>'D:\ESSPROS\Publikacia_2021\[OPR_Publikácia Grafy rok 2019.xlsx]bývanie a soc.vylúčenie'!$C$8</c:f>
              <c:strCache>
                <c:ptCount val="1"/>
                <c:pt idx="0">
                  <c:v>Vecné dávky</c:v>
                </c:pt>
              </c:strCache>
            </c:strRef>
          </c:tx>
          <c:spPr>
            <a:solidFill>
              <a:schemeClr val="accent6">
                <a:lumMod val="60000"/>
                <a:lumOff val="40000"/>
              </a:schemeClr>
            </a:solidFill>
          </c:spPr>
          <c:invertIfNegative val="0"/>
          <c:cat>
            <c:strRef>
              <c:f>'[2]bývanie a soc.vylúčenie'!$A$9:$A$30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'[2]bývanie a soc.vylúčenie'!$C$9:$C$30</c:f>
              <c:numCache>
                <c:formatCode>General</c:formatCode>
                <c:ptCount val="22"/>
                <c:pt idx="0">
                  <c:v>10.500000000000007</c:v>
                </c:pt>
                <c:pt idx="1">
                  <c:v>10.38</c:v>
                </c:pt>
                <c:pt idx="2">
                  <c:v>12.460000000000008</c:v>
                </c:pt>
                <c:pt idx="3">
                  <c:v>14.570000000000029</c:v>
                </c:pt>
                <c:pt idx="4">
                  <c:v>14.290000000000015</c:v>
                </c:pt>
                <c:pt idx="5">
                  <c:v>15.94</c:v>
                </c:pt>
                <c:pt idx="6">
                  <c:v>17.57</c:v>
                </c:pt>
                <c:pt idx="7">
                  <c:v>17.8</c:v>
                </c:pt>
                <c:pt idx="8">
                  <c:v>22.96</c:v>
                </c:pt>
                <c:pt idx="9">
                  <c:v>26.01</c:v>
                </c:pt>
                <c:pt idx="10">
                  <c:v>23.46</c:v>
                </c:pt>
                <c:pt idx="11">
                  <c:v>21.25</c:v>
                </c:pt>
                <c:pt idx="12">
                  <c:v>21.79</c:v>
                </c:pt>
                <c:pt idx="13">
                  <c:v>21.77</c:v>
                </c:pt>
                <c:pt idx="14">
                  <c:v>30.93</c:v>
                </c:pt>
                <c:pt idx="15">
                  <c:v>32.11</c:v>
                </c:pt>
                <c:pt idx="16">
                  <c:v>31.36</c:v>
                </c:pt>
                <c:pt idx="17">
                  <c:v>40.14</c:v>
                </c:pt>
                <c:pt idx="18">
                  <c:v>45.25</c:v>
                </c:pt>
                <c:pt idx="19">
                  <c:v>39.18</c:v>
                </c:pt>
                <c:pt idx="20">
                  <c:v>40.72</c:v>
                </c:pt>
                <c:pt idx="21">
                  <c:v>45.99</c:v>
                </c:pt>
              </c:numCache>
            </c:numRef>
          </c:val>
          <c:extLst>
            <c:ext xmlns:c16="http://schemas.microsoft.com/office/drawing/2014/chart" uri="{C3380CC4-5D6E-409C-BE32-E72D297353CC}">
              <c16:uniqueId val="{00000001-BBA7-447D-965C-06036F728D16}"/>
            </c:ext>
          </c:extLst>
        </c:ser>
        <c:ser>
          <c:idx val="2"/>
          <c:order val="2"/>
          <c:tx>
            <c:strRef>
              <c:f>'D:\ESSPROS\Publikacia_2021\[OPR_Publikácia Grafy rok 2019.xlsx]bývanie a soc.vylúčenie'!$D$8</c:f>
              <c:strCache>
                <c:ptCount val="1"/>
                <c:pt idx="0">
                  <c:v>Iné dávky</c:v>
                </c:pt>
              </c:strCache>
            </c:strRef>
          </c:tx>
          <c:spPr>
            <a:solidFill>
              <a:schemeClr val="accent5">
                <a:lumMod val="60000"/>
                <a:lumOff val="40000"/>
              </a:schemeClr>
            </a:solidFill>
          </c:spPr>
          <c:invertIfNegative val="0"/>
          <c:cat>
            <c:strRef>
              <c:f>'[2]bývanie a soc.vylúčenie'!$A$9:$A$30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'[2]bývanie a soc.vylúčenie'!$D$9:$D$30</c:f>
              <c:numCache>
                <c:formatCode>General</c:formatCode>
                <c:ptCount val="22"/>
                <c:pt idx="0">
                  <c:v>0.02</c:v>
                </c:pt>
                <c:pt idx="1">
                  <c:v>0.01</c:v>
                </c:pt>
                <c:pt idx="2">
                  <c:v>13.36</c:v>
                </c:pt>
                <c:pt idx="3">
                  <c:v>16.420000000000002</c:v>
                </c:pt>
                <c:pt idx="4">
                  <c:v>21.46</c:v>
                </c:pt>
                <c:pt idx="5">
                  <c:v>21.56</c:v>
                </c:pt>
                <c:pt idx="6">
                  <c:v>8.2100000000000009</c:v>
                </c:pt>
                <c:pt idx="7">
                  <c:v>0</c:v>
                </c:pt>
                <c:pt idx="8">
                  <c:v>0</c:v>
                </c:pt>
                <c:pt idx="9">
                  <c:v>18.95</c:v>
                </c:pt>
                <c:pt idx="10">
                  <c:v>18.79</c:v>
                </c:pt>
                <c:pt idx="11">
                  <c:v>21.72</c:v>
                </c:pt>
                <c:pt idx="12">
                  <c:v>23.47</c:v>
                </c:pt>
                <c:pt idx="13">
                  <c:v>25.36</c:v>
                </c:pt>
                <c:pt idx="14">
                  <c:v>27.63</c:v>
                </c:pt>
                <c:pt idx="15">
                  <c:v>28.76</c:v>
                </c:pt>
                <c:pt idx="16">
                  <c:v>30.23</c:v>
                </c:pt>
                <c:pt idx="17">
                  <c:v>33.03</c:v>
                </c:pt>
                <c:pt idx="18">
                  <c:v>32.36</c:v>
                </c:pt>
                <c:pt idx="19">
                  <c:v>43.79</c:v>
                </c:pt>
                <c:pt idx="20">
                  <c:v>46.68</c:v>
                </c:pt>
                <c:pt idx="21">
                  <c:v>42.39</c:v>
                </c:pt>
              </c:numCache>
            </c:numRef>
          </c:val>
          <c:extLst>
            <c:ext xmlns:c16="http://schemas.microsoft.com/office/drawing/2014/chart" uri="{C3380CC4-5D6E-409C-BE32-E72D297353CC}">
              <c16:uniqueId val="{00000002-BBA7-447D-965C-06036F728D16}"/>
            </c:ext>
          </c:extLst>
        </c:ser>
        <c:dLbls>
          <c:showLegendKey val="0"/>
          <c:showVal val="0"/>
          <c:showCatName val="0"/>
          <c:showSerName val="0"/>
          <c:showPercent val="0"/>
          <c:showBubbleSize val="0"/>
        </c:dLbls>
        <c:gapWidth val="18"/>
        <c:overlap val="100"/>
        <c:axId val="-171085888"/>
        <c:axId val="-171084800"/>
      </c:barChart>
      <c:lineChart>
        <c:grouping val="standard"/>
        <c:varyColors val="0"/>
        <c:ser>
          <c:idx val="3"/>
          <c:order val="3"/>
          <c:tx>
            <c:strRef>
              <c:f>'D:\ESSPROS\Publikacia_2021\[OPR_Publikácia Grafy rok 2019.xlsx]bývanie a soc.vylúčenie'!$E$8</c:f>
              <c:strCache>
                <c:ptCount val="1"/>
                <c:pt idx="0">
                  <c:v>% HDP</c:v>
                </c:pt>
              </c:strCache>
            </c:strRef>
          </c:tx>
          <c:spPr>
            <a:ln w="19050">
              <a:solidFill>
                <a:srgbClr val="C00000"/>
              </a:solidFill>
            </a:ln>
          </c:spPr>
          <c:marker>
            <c:symbol val="circle"/>
            <c:size val="5"/>
            <c:spPr>
              <a:solidFill>
                <a:srgbClr val="FF0000"/>
              </a:solidFill>
              <a:ln>
                <a:solidFill>
                  <a:srgbClr val="C00000"/>
                </a:solidFill>
              </a:ln>
            </c:spPr>
          </c:marker>
          <c:dPt>
            <c:idx val="3"/>
            <c:bubble3D val="0"/>
            <c:extLst>
              <c:ext xmlns:c16="http://schemas.microsoft.com/office/drawing/2014/chart" uri="{C3380CC4-5D6E-409C-BE32-E72D297353CC}">
                <c16:uniqueId val="{00000003-BBA7-447D-965C-06036F728D16}"/>
              </c:ext>
            </c:extLst>
          </c:dPt>
          <c:cat>
            <c:strRef>
              <c:f>'[2]bývanie a soc.vylúčenie'!$A$9:$A$29</c:f>
              <c:strCache>
                <c:ptCount val="21"/>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strCache>
            </c:strRef>
          </c:cat>
          <c:val>
            <c:numRef>
              <c:f>'[2]bývanie a soc.vylúčenie'!$E$9:$E$30</c:f>
              <c:numCache>
                <c:formatCode>General</c:formatCode>
                <c:ptCount val="22"/>
                <c:pt idx="0">
                  <c:v>0.9</c:v>
                </c:pt>
                <c:pt idx="1">
                  <c:v>1.2</c:v>
                </c:pt>
                <c:pt idx="2">
                  <c:v>1.1000000000000001</c:v>
                </c:pt>
                <c:pt idx="3">
                  <c:v>1.2</c:v>
                </c:pt>
                <c:pt idx="4">
                  <c:v>1.1000000000000001</c:v>
                </c:pt>
                <c:pt idx="5">
                  <c:v>0.8</c:v>
                </c:pt>
                <c:pt idx="6">
                  <c:v>0.5</c:v>
                </c:pt>
                <c:pt idx="7">
                  <c:v>0.5</c:v>
                </c:pt>
                <c:pt idx="8">
                  <c:v>0.5</c:v>
                </c:pt>
                <c:pt idx="9">
                  <c:v>0.5</c:v>
                </c:pt>
                <c:pt idx="10">
                  <c:v>0.4</c:v>
                </c:pt>
                <c:pt idx="11">
                  <c:v>0.4</c:v>
                </c:pt>
                <c:pt idx="12">
                  <c:v>0.4</c:v>
                </c:pt>
                <c:pt idx="13">
                  <c:v>0.4</c:v>
                </c:pt>
                <c:pt idx="14">
                  <c:v>0.4</c:v>
                </c:pt>
                <c:pt idx="15">
                  <c:v>0.4</c:v>
                </c:pt>
                <c:pt idx="16">
                  <c:v>0.4</c:v>
                </c:pt>
                <c:pt idx="17">
                  <c:v>0.3</c:v>
                </c:pt>
                <c:pt idx="18">
                  <c:v>0.3</c:v>
                </c:pt>
                <c:pt idx="19">
                  <c:v>0.3</c:v>
                </c:pt>
                <c:pt idx="20">
                  <c:v>0.2</c:v>
                </c:pt>
                <c:pt idx="21">
                  <c:v>0.2</c:v>
                </c:pt>
              </c:numCache>
            </c:numRef>
          </c:val>
          <c:smooth val="0"/>
          <c:extLst>
            <c:ext xmlns:c16="http://schemas.microsoft.com/office/drawing/2014/chart" uri="{C3380CC4-5D6E-409C-BE32-E72D297353CC}">
              <c16:uniqueId val="{00000004-BBA7-447D-965C-06036F728D16}"/>
            </c:ext>
          </c:extLst>
        </c:ser>
        <c:dLbls>
          <c:showLegendKey val="0"/>
          <c:showVal val="0"/>
          <c:showCatName val="0"/>
          <c:showSerName val="0"/>
          <c:showPercent val="0"/>
          <c:showBubbleSize val="0"/>
        </c:dLbls>
        <c:marker val="1"/>
        <c:smooth val="0"/>
        <c:axId val="-182531664"/>
        <c:axId val="-182536016"/>
      </c:lineChart>
      <c:catAx>
        <c:axId val="-171085888"/>
        <c:scaling>
          <c:orientation val="minMax"/>
        </c:scaling>
        <c:delete val="0"/>
        <c:axPos val="b"/>
        <c:numFmt formatCode="General" sourceLinked="0"/>
        <c:majorTickMark val="out"/>
        <c:minorTickMark val="none"/>
        <c:tickLblPos val="nextTo"/>
        <c:txPr>
          <a:bodyPr rot="-5400000" vert="horz"/>
          <a:lstStyle/>
          <a:p>
            <a:pPr>
              <a:defRPr sz="800">
                <a:latin typeface="Arial Narrow" panose="020B0606020202030204" pitchFamily="34" charset="0"/>
              </a:defRPr>
            </a:pPr>
            <a:endParaRPr lang="sk-SK"/>
          </a:p>
        </c:txPr>
        <c:crossAx val="-171084800"/>
        <c:crosses val="autoZero"/>
        <c:auto val="1"/>
        <c:lblAlgn val="ctr"/>
        <c:lblOffset val="100"/>
        <c:noMultiLvlLbl val="0"/>
      </c:catAx>
      <c:valAx>
        <c:axId val="-171084800"/>
        <c:scaling>
          <c:orientation val="minMax"/>
          <c:max val="400"/>
          <c:min val="0"/>
        </c:scaling>
        <c:delete val="0"/>
        <c:axPos val="l"/>
        <c:majorGridlines/>
        <c:numFmt formatCode="0" sourceLinked="0"/>
        <c:majorTickMark val="out"/>
        <c:minorTickMark val="none"/>
        <c:tickLblPos val="nextTo"/>
        <c:txPr>
          <a:bodyPr/>
          <a:lstStyle/>
          <a:p>
            <a:pPr>
              <a:defRPr sz="800">
                <a:latin typeface="Arial Narrow" panose="020B0606020202030204" pitchFamily="34" charset="0"/>
              </a:defRPr>
            </a:pPr>
            <a:endParaRPr lang="sk-SK"/>
          </a:p>
        </c:txPr>
        <c:crossAx val="-171085888"/>
        <c:crosses val="autoZero"/>
        <c:crossBetween val="between"/>
      </c:valAx>
      <c:valAx>
        <c:axId val="-182536016"/>
        <c:scaling>
          <c:orientation val="minMax"/>
          <c:max val="1.3"/>
          <c:min val="0"/>
        </c:scaling>
        <c:delete val="0"/>
        <c:axPos val="r"/>
        <c:numFmt formatCode="0.0" sourceLinked="0"/>
        <c:majorTickMark val="out"/>
        <c:minorTickMark val="none"/>
        <c:tickLblPos val="nextTo"/>
        <c:txPr>
          <a:bodyPr/>
          <a:lstStyle/>
          <a:p>
            <a:pPr>
              <a:defRPr sz="800">
                <a:latin typeface="Arial Narrow" panose="020B0606020202030204" pitchFamily="34" charset="0"/>
              </a:defRPr>
            </a:pPr>
            <a:endParaRPr lang="sk-SK"/>
          </a:p>
        </c:txPr>
        <c:crossAx val="-182531664"/>
        <c:crosses val="max"/>
        <c:crossBetween val="between"/>
        <c:majorUnit val="0.2"/>
      </c:valAx>
      <c:catAx>
        <c:axId val="-182531664"/>
        <c:scaling>
          <c:orientation val="minMax"/>
        </c:scaling>
        <c:delete val="1"/>
        <c:axPos val="b"/>
        <c:numFmt formatCode="General" sourceLinked="1"/>
        <c:majorTickMark val="out"/>
        <c:minorTickMark val="none"/>
        <c:tickLblPos val="nextTo"/>
        <c:crossAx val="-182536016"/>
        <c:crosses val="autoZero"/>
        <c:auto val="1"/>
        <c:lblAlgn val="ctr"/>
        <c:lblOffset val="100"/>
        <c:noMultiLvlLbl val="0"/>
      </c:catAx>
    </c:plotArea>
    <c:legend>
      <c:legendPos val="r"/>
      <c:layout>
        <c:manualLayout>
          <c:xMode val="edge"/>
          <c:yMode val="edge"/>
          <c:x val="3.910274216524217E-2"/>
          <c:y val="0.85112227992777501"/>
          <c:w val="0.94654746686934621"/>
          <c:h val="0.13292999999999999"/>
        </c:manualLayout>
      </c:layout>
      <c:overlay val="0"/>
      <c:txPr>
        <a:bodyPr/>
        <a:lstStyle/>
        <a:p>
          <a:pPr>
            <a:defRPr sz="800">
              <a:latin typeface="Arial Narrow" panose="020B0606020202030204" pitchFamily="34" charset="0"/>
            </a:defRPr>
          </a:pPr>
          <a:endParaRPr lang="sk-SK"/>
        </a:p>
      </c:txPr>
    </c:legend>
    <c:plotVisOnly val="1"/>
    <c:dispBlanksAs val="gap"/>
    <c:showDLblsOverMax val="0"/>
  </c:chart>
  <c:spPr>
    <a:ln>
      <a:solidFill>
        <a:srgbClr val="C00000"/>
      </a:solidFill>
    </a:ln>
  </c:sp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246981627296588"/>
          <c:y val="6.9444444444444448E-2"/>
          <c:w val="0.80471303587051624"/>
          <c:h val="0.78869789594304884"/>
        </c:manualLayout>
      </c:layout>
      <c:barChart>
        <c:barDir val="col"/>
        <c:grouping val="clustered"/>
        <c:varyColors val="0"/>
        <c:ser>
          <c:idx val="0"/>
          <c:order val="0"/>
          <c:tx>
            <c:strRef>
              <c:f>'\ESSPROS\Publikacia_2021\[OPR_Publikácia Grafy rok 2019.xlsx]výdavky na dôchodky'!$B$10</c:f>
              <c:strCache>
                <c:ptCount val="1"/>
                <c:pt idx="0">
                  <c:v>Mil. Eur</c:v>
                </c:pt>
              </c:strCache>
            </c:strRef>
          </c:tx>
          <c:spPr>
            <a:solidFill>
              <a:schemeClr val="accent1"/>
            </a:solidFill>
            <a:ln>
              <a:noFill/>
            </a:ln>
            <a:effectLst/>
          </c:spPr>
          <c:invertIfNegative val="0"/>
          <c:cat>
            <c:strRef>
              <c:f>'\ESSPROS\Publikacia_2021\[OPR_Publikácia Grafy rok 2019.xlsx]výdavky na dôchodky'!$A$11:$A$32</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'\ESSPROS\Publikacia_2021\[OPR_Publikácia Grafy rok 2019.xlsx]výdavky na dôchodky'!$B$11:$B$32</c:f>
              <c:numCache>
                <c:formatCode>General</c:formatCode>
                <c:ptCount val="22"/>
                <c:pt idx="0">
                  <c:v>1472.27</c:v>
                </c:pt>
                <c:pt idx="1">
                  <c:v>1437.06</c:v>
                </c:pt>
                <c:pt idx="2">
                  <c:v>1644.88</c:v>
                </c:pt>
                <c:pt idx="3">
                  <c:v>1739.86</c:v>
                </c:pt>
                <c:pt idx="4">
                  <c:v>1922.85</c:v>
                </c:pt>
                <c:pt idx="5">
                  <c:v>2159.2600000000002</c:v>
                </c:pt>
                <c:pt idx="6">
                  <c:v>2515.81</c:v>
                </c:pt>
                <c:pt idx="7">
                  <c:v>2880.4</c:v>
                </c:pt>
                <c:pt idx="8">
                  <c:v>3271.62</c:v>
                </c:pt>
                <c:pt idx="9">
                  <c:v>3982.5</c:v>
                </c:pt>
                <c:pt idx="10">
                  <c:v>4615.25</c:v>
                </c:pt>
                <c:pt idx="11">
                  <c:v>5323.53</c:v>
                </c:pt>
                <c:pt idx="12">
                  <c:v>5550.88</c:v>
                </c:pt>
                <c:pt idx="13">
                  <c:v>5729.74</c:v>
                </c:pt>
                <c:pt idx="14">
                  <c:v>5999.6</c:v>
                </c:pt>
                <c:pt idx="15">
                  <c:v>6248.8</c:v>
                </c:pt>
                <c:pt idx="16">
                  <c:v>6607.74</c:v>
                </c:pt>
                <c:pt idx="17">
                  <c:v>6793.08</c:v>
                </c:pt>
                <c:pt idx="18">
                  <c:v>6884.48</c:v>
                </c:pt>
                <c:pt idx="19">
                  <c:v>7182.59</c:v>
                </c:pt>
                <c:pt idx="20">
                  <c:v>7511.99</c:v>
                </c:pt>
                <c:pt idx="21">
                  <c:v>7810.33</c:v>
                </c:pt>
              </c:numCache>
            </c:numRef>
          </c:val>
          <c:extLst>
            <c:ext xmlns:c16="http://schemas.microsoft.com/office/drawing/2014/chart" uri="{C3380CC4-5D6E-409C-BE32-E72D297353CC}">
              <c16:uniqueId val="{00000000-4EC2-49EC-B123-0AC75D5203C1}"/>
            </c:ext>
          </c:extLst>
        </c:ser>
        <c:dLbls>
          <c:showLegendKey val="0"/>
          <c:showVal val="0"/>
          <c:showCatName val="0"/>
          <c:showSerName val="0"/>
          <c:showPercent val="0"/>
          <c:showBubbleSize val="0"/>
        </c:dLbls>
        <c:gapWidth val="60"/>
        <c:overlap val="-67"/>
        <c:axId val="-20878720"/>
        <c:axId val="-20878176"/>
      </c:barChart>
      <c:lineChart>
        <c:grouping val="standard"/>
        <c:varyColors val="0"/>
        <c:ser>
          <c:idx val="1"/>
          <c:order val="1"/>
          <c:tx>
            <c:strRef>
              <c:f>'\ESSPROS\Publikacia_2021\[OPR_Publikácia Grafy rok 2019.xlsx]výdavky na dôchodky'!$C$10</c:f>
              <c:strCache>
                <c:ptCount val="1"/>
                <c:pt idx="0">
                  <c:v>% HDP</c:v>
                </c:pt>
              </c:strCache>
            </c:strRef>
          </c:tx>
          <c:spPr>
            <a:ln w="12700" cap="rnd">
              <a:solidFill>
                <a:srgbClr val="C00000"/>
              </a:solidFill>
              <a:prstDash val="sysDash"/>
              <a:round/>
            </a:ln>
            <a:effectLst/>
          </c:spPr>
          <c:marker>
            <c:symbol val="diamond"/>
            <c:size val="6"/>
            <c:spPr>
              <a:solidFill>
                <a:srgbClr val="FF0000"/>
              </a:solidFill>
              <a:ln w="9525">
                <a:solidFill>
                  <a:srgbClr val="C00000"/>
                </a:solidFill>
              </a:ln>
              <a:effectLst/>
            </c:spPr>
          </c:marker>
          <c:cat>
            <c:strRef>
              <c:f>'\ESSPROS\Publikacia_2021\[OPR_Publikácia Grafy rok 2019.xlsx]výdavky na dôchodky'!$A$11:$A$32</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'\ESSPROS\Publikacia_2021\[OPR_Publikácia Grafy rok 2019.xlsx]výdavky na dôchodky'!$C$11:$C$32</c:f>
              <c:numCache>
                <c:formatCode>General</c:formatCode>
                <c:ptCount val="22"/>
                <c:pt idx="0">
                  <c:v>7.2</c:v>
                </c:pt>
                <c:pt idx="1">
                  <c:v>7.4</c:v>
                </c:pt>
                <c:pt idx="2">
                  <c:v>7.3</c:v>
                </c:pt>
                <c:pt idx="3">
                  <c:v>7.3</c:v>
                </c:pt>
                <c:pt idx="4">
                  <c:v>7.3</c:v>
                </c:pt>
                <c:pt idx="5">
                  <c:v>7.2</c:v>
                </c:pt>
                <c:pt idx="6">
                  <c:v>7.2</c:v>
                </c:pt>
                <c:pt idx="7">
                  <c:v>7.3</c:v>
                </c:pt>
                <c:pt idx="8">
                  <c:v>7.2</c:v>
                </c:pt>
                <c:pt idx="9">
                  <c:v>7.1</c:v>
                </c:pt>
                <c:pt idx="10">
                  <c:v>7</c:v>
                </c:pt>
                <c:pt idx="11">
                  <c:v>8.3000000000000007</c:v>
                </c:pt>
                <c:pt idx="12">
                  <c:v>8.1</c:v>
                </c:pt>
                <c:pt idx="13">
                  <c:v>8</c:v>
                </c:pt>
                <c:pt idx="14">
                  <c:v>8.1999999999999993</c:v>
                </c:pt>
                <c:pt idx="15">
                  <c:v>8.4</c:v>
                </c:pt>
                <c:pt idx="16">
                  <c:v>8.6999999999999993</c:v>
                </c:pt>
                <c:pt idx="17">
                  <c:v>8.5</c:v>
                </c:pt>
                <c:pt idx="18">
                  <c:v>8.5</c:v>
                </c:pt>
                <c:pt idx="19">
                  <c:v>8.5</c:v>
                </c:pt>
                <c:pt idx="20">
                  <c:v>8.4</c:v>
                </c:pt>
                <c:pt idx="21">
                  <c:v>8.3000000000000007</c:v>
                </c:pt>
              </c:numCache>
            </c:numRef>
          </c:val>
          <c:smooth val="0"/>
          <c:extLst>
            <c:ext xmlns:c16="http://schemas.microsoft.com/office/drawing/2014/chart" uri="{C3380CC4-5D6E-409C-BE32-E72D297353CC}">
              <c16:uniqueId val="{00000001-4EC2-49EC-B123-0AC75D5203C1}"/>
            </c:ext>
          </c:extLst>
        </c:ser>
        <c:dLbls>
          <c:showLegendKey val="0"/>
          <c:showVal val="0"/>
          <c:showCatName val="0"/>
          <c:showSerName val="0"/>
          <c:showPercent val="0"/>
          <c:showBubbleSize val="0"/>
        </c:dLbls>
        <c:marker val="1"/>
        <c:smooth val="0"/>
        <c:axId val="-20884704"/>
        <c:axId val="-20874368"/>
      </c:lineChart>
      <c:catAx>
        <c:axId val="-2087872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Narrow" panose="020B0606020202030204" pitchFamily="34" charset="0"/>
                <a:ea typeface="+mn-ea"/>
                <a:cs typeface="+mn-cs"/>
              </a:defRPr>
            </a:pPr>
            <a:endParaRPr lang="sk-SK"/>
          </a:p>
        </c:txPr>
        <c:crossAx val="-20878176"/>
        <c:crosses val="autoZero"/>
        <c:auto val="1"/>
        <c:lblAlgn val="ctr"/>
        <c:lblOffset val="100"/>
        <c:noMultiLvlLbl val="0"/>
      </c:catAx>
      <c:valAx>
        <c:axId val="-20878176"/>
        <c:scaling>
          <c:orientation val="minMax"/>
          <c:max val="8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Narrow" panose="020B0606020202030204" pitchFamily="34" charset="0"/>
                    <a:ea typeface="+mn-ea"/>
                    <a:cs typeface="+mn-cs"/>
                  </a:defRPr>
                </a:pPr>
                <a:r>
                  <a:rPr lang="en-US" sz="800" b="0">
                    <a:latin typeface="Arial Narrow" panose="020B0606020202030204" pitchFamily="34" charset="0"/>
                  </a:rPr>
                  <a:t>Celkové výdavky na dôchodky (mil. E</a:t>
                </a:r>
                <a:r>
                  <a:rPr lang="sk-SK" sz="800" b="0">
                    <a:latin typeface="Arial Narrow" panose="020B0606020202030204" pitchFamily="34" charset="0"/>
                  </a:rPr>
                  <a:t>ur)</a:t>
                </a:r>
                <a:endParaRPr lang="en-US" sz="800" b="0">
                  <a:latin typeface="Arial Narrow" panose="020B0606020202030204" pitchFamily="34" charset="0"/>
                </a:endParaRPr>
              </a:p>
            </c:rich>
          </c:tx>
          <c:layout>
            <c:manualLayout>
              <c:xMode val="edge"/>
              <c:yMode val="edge"/>
              <c:x val="1.6168853893263342E-2"/>
              <c:y val="0.15697172751005992"/>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Narrow" panose="020B0606020202030204" pitchFamily="34" charset="0"/>
                  <a:ea typeface="+mn-ea"/>
                  <a:cs typeface="+mn-cs"/>
                </a:defRPr>
              </a:pPr>
              <a:endParaRPr lang="sk-SK"/>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Narrow" panose="020B0606020202030204" pitchFamily="34" charset="0"/>
                <a:ea typeface="+mn-ea"/>
                <a:cs typeface="+mn-cs"/>
              </a:defRPr>
            </a:pPr>
            <a:endParaRPr lang="sk-SK"/>
          </a:p>
        </c:txPr>
        <c:crossAx val="-20878720"/>
        <c:crosses val="autoZero"/>
        <c:crossBetween val="between"/>
        <c:majorUnit val="1000"/>
      </c:valAx>
      <c:valAx>
        <c:axId val="-20874368"/>
        <c:scaling>
          <c:orientation val="minMax"/>
          <c:min val="6"/>
        </c:scaling>
        <c:delete val="0"/>
        <c:axPos val="r"/>
        <c:title>
          <c:tx>
            <c:rich>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Narrow" panose="020B0606020202030204" pitchFamily="34" charset="0"/>
                    <a:ea typeface="+mn-ea"/>
                    <a:cs typeface="+mn-cs"/>
                  </a:defRPr>
                </a:pPr>
                <a:r>
                  <a:rPr lang="en-US" sz="800">
                    <a:latin typeface="Arial Narrow" panose="020B0606020202030204" pitchFamily="34" charset="0"/>
                  </a:rPr>
                  <a:t>% HDP</a:t>
                </a:r>
              </a:p>
            </c:rich>
          </c:tx>
          <c:overlay val="0"/>
          <c:spPr>
            <a:noFill/>
            <a:ln>
              <a:noFill/>
            </a:ln>
            <a:effectLst/>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Arial Narrow" panose="020B0606020202030204" pitchFamily="34" charset="0"/>
                  <a:ea typeface="+mn-ea"/>
                  <a:cs typeface="+mn-cs"/>
                </a:defRPr>
              </a:pPr>
              <a:endParaRPr lang="sk-SK"/>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Narrow" panose="020B0606020202030204" pitchFamily="34" charset="0"/>
                <a:ea typeface="+mn-ea"/>
                <a:cs typeface="+mn-cs"/>
              </a:defRPr>
            </a:pPr>
            <a:endParaRPr lang="sk-SK"/>
          </a:p>
        </c:txPr>
        <c:crossAx val="-20884704"/>
        <c:crosses val="max"/>
        <c:crossBetween val="between"/>
        <c:majorUnit val="0.5"/>
      </c:valAx>
      <c:catAx>
        <c:axId val="-20884704"/>
        <c:scaling>
          <c:orientation val="minMax"/>
        </c:scaling>
        <c:delete val="1"/>
        <c:axPos val="b"/>
        <c:numFmt formatCode="General" sourceLinked="1"/>
        <c:majorTickMark val="out"/>
        <c:minorTickMark val="none"/>
        <c:tickLblPos val="nextTo"/>
        <c:crossAx val="-20874368"/>
        <c:crosses val="autoZero"/>
        <c:auto val="1"/>
        <c:lblAlgn val="ctr"/>
        <c:lblOffset val="100"/>
        <c:noMultiLvlLbl val="0"/>
      </c:catAx>
      <c:spPr>
        <a:noFill/>
        <a:ln>
          <a:noFill/>
        </a:ln>
        <a:effectLst/>
      </c:spPr>
    </c:plotArea>
    <c:legend>
      <c:legendPos val="b"/>
      <c:layout>
        <c:manualLayout>
          <c:xMode val="edge"/>
          <c:yMode val="edge"/>
          <c:x val="0.20984142607174103"/>
          <c:y val="0.16046593048718519"/>
          <c:w val="0.31587580645161295"/>
          <c:h val="0.1130661179915324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rgbClr val="C00000"/>
      </a:solidFill>
      <a:round/>
    </a:ln>
    <a:effectLst/>
  </c:spPr>
  <c:txPr>
    <a:bodyPr/>
    <a:lstStyle/>
    <a:p>
      <a:pPr>
        <a:defRPr/>
      </a:pPr>
      <a:endParaRPr lang="sk-SK"/>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7122703412073491E-2"/>
          <c:y val="6.5671672662673722E-2"/>
          <c:w val="0.87232174103237092"/>
          <c:h val="0.50848725278516993"/>
        </c:manualLayout>
      </c:layout>
      <c:barChart>
        <c:barDir val="col"/>
        <c:grouping val="percentStacked"/>
        <c:varyColors val="0"/>
        <c:ser>
          <c:idx val="0"/>
          <c:order val="0"/>
          <c:tx>
            <c:strRef>
              <c:f>'\ESSPROS\Publikacia_2021\[OPR_Publikácia Grafy rok 2019.xlsx]výdavky na dôchodky'!$Z$38</c:f>
              <c:strCache>
                <c:ptCount val="1"/>
                <c:pt idx="0">
                  <c:v>starobný dôchodok</c:v>
                </c:pt>
              </c:strCache>
            </c:strRef>
          </c:tx>
          <c:spPr>
            <a:solidFill>
              <a:schemeClr val="accent1"/>
            </a:solidFill>
            <a:ln>
              <a:noFill/>
            </a:ln>
            <a:effectLst/>
          </c:spPr>
          <c:invertIfNegative val="0"/>
          <c:cat>
            <c:strRef>
              <c:f>'\ESSPROS\Publikacia_2021\[OPR_Publikácia Grafy rok 2019.xlsx]výdavky na dôchodky'!$Y$39:$Y$60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'\ESSPROS\Publikacia_2021\[OPR_Publikácia Grafy rok 2019.xlsx]výdavky na dôchodky'!$Z$39:$Z$60</c:f>
              <c:numCache>
                <c:formatCode>General</c:formatCode>
                <c:ptCount val="22"/>
                <c:pt idx="0">
                  <c:v>72.469044400823222</c:v>
                </c:pt>
                <c:pt idx="1">
                  <c:v>72.399203930246486</c:v>
                </c:pt>
                <c:pt idx="2">
                  <c:v>72.872185204999766</c:v>
                </c:pt>
                <c:pt idx="3">
                  <c:v>74.345637005276288</c:v>
                </c:pt>
                <c:pt idx="4">
                  <c:v>75.225316587357312</c:v>
                </c:pt>
                <c:pt idx="5">
                  <c:v>75.778739012439431</c:v>
                </c:pt>
                <c:pt idx="6">
                  <c:v>75.278339779236106</c:v>
                </c:pt>
                <c:pt idx="7">
                  <c:v>74.686501874739619</c:v>
                </c:pt>
                <c:pt idx="8">
                  <c:v>73.378326333742919</c:v>
                </c:pt>
                <c:pt idx="9">
                  <c:v>72.555178907721285</c:v>
                </c:pt>
                <c:pt idx="10">
                  <c:v>71.932398028275827</c:v>
                </c:pt>
                <c:pt idx="11">
                  <c:v>69.183793460354309</c:v>
                </c:pt>
                <c:pt idx="12">
                  <c:v>69.356390338108554</c:v>
                </c:pt>
                <c:pt idx="13">
                  <c:v>70.204407180779597</c:v>
                </c:pt>
                <c:pt idx="14">
                  <c:v>71.215914394292952</c:v>
                </c:pt>
                <c:pt idx="15">
                  <c:v>71.725131225195241</c:v>
                </c:pt>
                <c:pt idx="16">
                  <c:v>73.092918304896983</c:v>
                </c:pt>
                <c:pt idx="17">
                  <c:v>74.204631772333016</c:v>
                </c:pt>
                <c:pt idx="18">
                  <c:v>73.867307334758763</c:v>
                </c:pt>
                <c:pt idx="19">
                  <c:v>74.238262242450133</c:v>
                </c:pt>
                <c:pt idx="20">
                  <c:v>74.730131429887422</c:v>
                </c:pt>
                <c:pt idx="21">
                  <c:v>75.698466005917808</c:v>
                </c:pt>
              </c:numCache>
            </c:numRef>
          </c:val>
          <c:extLst>
            <c:ext xmlns:c16="http://schemas.microsoft.com/office/drawing/2014/chart" uri="{C3380CC4-5D6E-409C-BE32-E72D297353CC}">
              <c16:uniqueId val="{00000000-D9A7-4E03-96A5-DE205AEF710D}"/>
            </c:ext>
          </c:extLst>
        </c:ser>
        <c:ser>
          <c:idx val="1"/>
          <c:order val="1"/>
          <c:tx>
            <c:strRef>
              <c:f>'\ESSPROS\Publikacia_2021\[OPR_Publikácia Grafy rok 2019.xlsx]výdavky na dôchodky'!$AA$38</c:f>
              <c:strCache>
                <c:ptCount val="1"/>
                <c:pt idx="0">
                  <c:v>predpokladaný dôchodok</c:v>
                </c:pt>
              </c:strCache>
            </c:strRef>
          </c:tx>
          <c:spPr>
            <a:solidFill>
              <a:schemeClr val="accent2"/>
            </a:solidFill>
            <a:ln>
              <a:noFill/>
            </a:ln>
            <a:effectLst/>
          </c:spPr>
          <c:invertIfNegative val="0"/>
          <c:cat>
            <c:strRef>
              <c:f>'\ESSPROS\Publikacia_2021\[OPR_Publikácia Grafy rok 2019.xlsx]výdavky na dôchodky'!$Y$39:$Y$60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'\ESSPROS\Publikacia_2021\[OPR_Publikácia Grafy rok 2019.xlsx]výdavky na dôchodky'!$AA$39:$AA$60</c:f>
              <c:numCache>
                <c:formatCode>General</c:formatCode>
                <c:ptCount val="22"/>
                <c:pt idx="0">
                  <c:v>8.1506788836286821E-3</c:v>
                </c:pt>
                <c:pt idx="1">
                  <c:v>9.046247199142694E-3</c:v>
                </c:pt>
                <c:pt idx="2">
                  <c:v>9.7271533485725394E-3</c:v>
                </c:pt>
                <c:pt idx="3">
                  <c:v>5.9200165530559935E-2</c:v>
                </c:pt>
                <c:pt idx="4">
                  <c:v>0.22778687885170451</c:v>
                </c:pt>
                <c:pt idx="5">
                  <c:v>0.50804442262627014</c:v>
                </c:pt>
                <c:pt idx="6">
                  <c:v>0.65386495800557276</c:v>
                </c:pt>
                <c:pt idx="7">
                  <c:v>0.9245243716150533</c:v>
                </c:pt>
                <c:pt idx="8">
                  <c:v>0.62446127606506863</c:v>
                </c:pt>
                <c:pt idx="9">
                  <c:v>0.68826114249843062</c:v>
                </c:pt>
                <c:pt idx="10">
                  <c:v>0.12762038892801039</c:v>
                </c:pt>
                <c:pt idx="11">
                  <c:v>3.1544858392833328</c:v>
                </c:pt>
                <c:pt idx="12">
                  <c:v>3.1659844925489296</c:v>
                </c:pt>
                <c:pt idx="13">
                  <c:v>3.4711871742871403</c:v>
                </c:pt>
                <c:pt idx="14">
                  <c:v>3.3823921594772979</c:v>
                </c:pt>
                <c:pt idx="15">
                  <c:v>3.3212776853155801</c:v>
                </c:pt>
                <c:pt idx="16">
                  <c:v>2.9774173923308123</c:v>
                </c:pt>
                <c:pt idx="17">
                  <c:v>2.28541398010917</c:v>
                </c:pt>
                <c:pt idx="18">
                  <c:v>2.8115413219299064</c:v>
                </c:pt>
                <c:pt idx="19">
                  <c:v>2.6949888549952039</c:v>
                </c:pt>
                <c:pt idx="20">
                  <c:v>2.6980866587948067</c:v>
                </c:pt>
                <c:pt idx="21">
                  <c:v>2.4676294087445729</c:v>
                </c:pt>
              </c:numCache>
            </c:numRef>
          </c:val>
          <c:extLst>
            <c:ext xmlns:c16="http://schemas.microsoft.com/office/drawing/2014/chart" uri="{C3380CC4-5D6E-409C-BE32-E72D297353CC}">
              <c16:uniqueId val="{00000001-D9A7-4E03-96A5-DE205AEF710D}"/>
            </c:ext>
          </c:extLst>
        </c:ser>
        <c:ser>
          <c:idx val="2"/>
          <c:order val="2"/>
          <c:tx>
            <c:strRef>
              <c:f>'\ESSPROS\Publikacia_2021\[OPR_Publikácia Grafy rok 2019.xlsx]výdavky na dôchodky'!$AB$38</c:f>
              <c:strCache>
                <c:ptCount val="1"/>
                <c:pt idx="0">
                  <c:v>invalidný dôchodok</c:v>
                </c:pt>
              </c:strCache>
            </c:strRef>
          </c:tx>
          <c:spPr>
            <a:solidFill>
              <a:schemeClr val="accent3"/>
            </a:solidFill>
            <a:ln>
              <a:noFill/>
            </a:ln>
            <a:effectLst/>
          </c:spPr>
          <c:invertIfNegative val="0"/>
          <c:cat>
            <c:strRef>
              <c:f>'\ESSPROS\Publikacia_2021\[OPR_Publikácia Grafy rok 2019.xlsx]výdavky na dôchodky'!$Y$39:$Y$60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'\ESSPROS\Publikacia_2021\[OPR_Publikácia Grafy rok 2019.xlsx]výdavky na dôchodky'!$AB$39:$AB$60</c:f>
              <c:numCache>
                <c:formatCode>General</c:formatCode>
                <c:ptCount val="22"/>
                <c:pt idx="0">
                  <c:v>12.073193096374986</c:v>
                </c:pt>
                <c:pt idx="1">
                  <c:v>12.033596370367279</c:v>
                </c:pt>
                <c:pt idx="2">
                  <c:v>12.182043674918534</c:v>
                </c:pt>
                <c:pt idx="3">
                  <c:v>12.229719632614119</c:v>
                </c:pt>
                <c:pt idx="4">
                  <c:v>12.134591881842059</c:v>
                </c:pt>
                <c:pt idx="5">
                  <c:v>11.809601437529523</c:v>
                </c:pt>
                <c:pt idx="6">
                  <c:v>11.832769565269237</c:v>
                </c:pt>
                <c:pt idx="7">
                  <c:v>11.541105402027496</c:v>
                </c:pt>
                <c:pt idx="8">
                  <c:v>11.596701328393884</c:v>
                </c:pt>
                <c:pt idx="9">
                  <c:v>11.677338355304459</c:v>
                </c:pt>
                <c:pt idx="10">
                  <c:v>11.967282379069392</c:v>
                </c:pt>
                <c:pt idx="11">
                  <c:v>11.981711383236313</c:v>
                </c:pt>
                <c:pt idx="12">
                  <c:v>12.166179056293776</c:v>
                </c:pt>
                <c:pt idx="13">
                  <c:v>12.424822068715159</c:v>
                </c:pt>
                <c:pt idx="14">
                  <c:v>12.500833388892593</c:v>
                </c:pt>
                <c:pt idx="15">
                  <c:v>12.414863653821532</c:v>
                </c:pt>
                <c:pt idx="16">
                  <c:v>12.008795745595318</c:v>
                </c:pt>
                <c:pt idx="17">
                  <c:v>11.801568655160841</c:v>
                </c:pt>
                <c:pt idx="18">
                  <c:v>11.850858743144</c:v>
                </c:pt>
                <c:pt idx="19">
                  <c:v>11.617953969250646</c:v>
                </c:pt>
                <c:pt idx="20">
                  <c:v>11.255606037814214</c:v>
                </c:pt>
                <c:pt idx="21">
                  <c:v>11.09709833003215</c:v>
                </c:pt>
              </c:numCache>
            </c:numRef>
          </c:val>
          <c:extLst>
            <c:ext xmlns:c16="http://schemas.microsoft.com/office/drawing/2014/chart" uri="{C3380CC4-5D6E-409C-BE32-E72D297353CC}">
              <c16:uniqueId val="{00000002-D9A7-4E03-96A5-DE205AEF710D}"/>
            </c:ext>
          </c:extLst>
        </c:ser>
        <c:ser>
          <c:idx val="3"/>
          <c:order val="3"/>
          <c:tx>
            <c:strRef>
              <c:f>'\ESSPROS\Publikacia_2021\[OPR_Publikácia Grafy rok 2019.xlsx]výdavky na dôchodky'!$AC$38</c:f>
              <c:strCache>
                <c:ptCount val="1"/>
                <c:pt idx="0">
                  <c:v>pozostalostný dôchodok</c:v>
                </c:pt>
              </c:strCache>
            </c:strRef>
          </c:tx>
          <c:spPr>
            <a:solidFill>
              <a:schemeClr val="accent4"/>
            </a:solidFill>
            <a:ln>
              <a:noFill/>
            </a:ln>
            <a:effectLst/>
          </c:spPr>
          <c:invertIfNegative val="0"/>
          <c:cat>
            <c:strRef>
              <c:f>'\ESSPROS\Publikacia_2021\[OPR_Publikácia Grafy rok 2019.xlsx]výdavky na dôchodky'!$Y$39:$Y$60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'\ESSPROS\Publikacia_2021\[OPR_Publikácia Grafy rok 2019.xlsx]výdavky na dôchodky'!$AC$39:$AC$60</c:f>
              <c:numCache>
                <c:formatCode>General</c:formatCode>
                <c:ptCount val="22"/>
                <c:pt idx="0">
                  <c:v>13.414658995972207</c:v>
                </c:pt>
                <c:pt idx="1">
                  <c:v>13.140717854508511</c:v>
                </c:pt>
                <c:pt idx="2">
                  <c:v>12.537084772141432</c:v>
                </c:pt>
                <c:pt idx="3">
                  <c:v>12.420539583644661</c:v>
                </c:pt>
                <c:pt idx="4">
                  <c:v>12.298411212523078</c:v>
                </c:pt>
                <c:pt idx="5">
                  <c:v>11.843409316154608</c:v>
                </c:pt>
                <c:pt idx="6">
                  <c:v>11.713921162567919</c:v>
                </c:pt>
                <c:pt idx="7">
                  <c:v>11.593875850576309</c:v>
                </c:pt>
                <c:pt idx="8">
                  <c:v>11.434396415231598</c:v>
                </c:pt>
                <c:pt idx="9">
                  <c:v>11.455869428750786</c:v>
                </c:pt>
                <c:pt idx="10">
                  <c:v>11.406099344564216</c:v>
                </c:pt>
                <c:pt idx="11">
                  <c:v>11.167214235666936</c:v>
                </c:pt>
                <c:pt idx="12">
                  <c:v>10.990509612890209</c:v>
                </c:pt>
                <c:pt idx="13">
                  <c:v>10.888626709065333</c:v>
                </c:pt>
                <c:pt idx="14">
                  <c:v>10.767051136742449</c:v>
                </c:pt>
                <c:pt idx="15">
                  <c:v>10.656125976187427</c:v>
                </c:pt>
                <c:pt idx="16">
                  <c:v>10.363603894826371</c:v>
                </c:pt>
                <c:pt idx="17">
                  <c:v>10.208476861747544</c:v>
                </c:pt>
                <c:pt idx="18">
                  <c:v>9.9515141303337362</c:v>
                </c:pt>
                <c:pt idx="19">
                  <c:v>9.8990754031623691</c:v>
                </c:pt>
                <c:pt idx="20">
                  <c:v>10.067904776231066</c:v>
                </c:pt>
                <c:pt idx="21">
                  <c:v>9.6022831301622347</c:v>
                </c:pt>
              </c:numCache>
            </c:numRef>
          </c:val>
          <c:extLst>
            <c:ext xmlns:c16="http://schemas.microsoft.com/office/drawing/2014/chart" uri="{C3380CC4-5D6E-409C-BE32-E72D297353CC}">
              <c16:uniqueId val="{00000003-D9A7-4E03-96A5-DE205AEF710D}"/>
            </c:ext>
          </c:extLst>
        </c:ser>
        <c:ser>
          <c:idx val="4"/>
          <c:order val="4"/>
          <c:tx>
            <c:strRef>
              <c:f>'\ESSPROS\Publikacia_2021\[OPR_Publikácia Grafy rok 2019.xlsx]výdavky na dôchodky'!$AD$38</c:f>
              <c:strCache>
                <c:ptCount val="1"/>
                <c:pt idx="0">
                  <c:v>predčasný dôchodok</c:v>
                </c:pt>
              </c:strCache>
            </c:strRef>
          </c:tx>
          <c:spPr>
            <a:solidFill>
              <a:schemeClr val="accent5"/>
            </a:solidFill>
            <a:ln>
              <a:noFill/>
            </a:ln>
            <a:effectLst/>
          </c:spPr>
          <c:invertIfNegative val="0"/>
          <c:cat>
            <c:strRef>
              <c:f>'\ESSPROS\Publikacia_2021\[OPR_Publikácia Grafy rok 2019.xlsx]výdavky na dôchodky'!$Y$39:$Y$60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'\ESSPROS\Publikacia_2021\[OPR_Publikácia Grafy rok 2019.xlsx]výdavky na dôchodky'!$AD$39:$AD$60</c:f>
              <c:numCache>
                <c:formatCode>General</c:formatCode>
                <c:ptCount val="22"/>
                <c:pt idx="0">
                  <c:v>2.0349528279459612</c:v>
                </c:pt>
                <c:pt idx="1">
                  <c:v>2.4167397325094289</c:v>
                </c:pt>
                <c:pt idx="2">
                  <c:v>2.3995671416759885</c:v>
                </c:pt>
                <c:pt idx="3">
                  <c:v>0.94490361293437419</c:v>
                </c:pt>
                <c:pt idx="4">
                  <c:v>0.11389343942585226</c:v>
                </c:pt>
                <c:pt idx="5">
                  <c:v>5.9742689625149357E-2</c:v>
                </c:pt>
                <c:pt idx="6">
                  <c:v>0.5211045349211586</c:v>
                </c:pt>
                <c:pt idx="7">
                  <c:v>1.253992501041522</c:v>
                </c:pt>
                <c:pt idx="8">
                  <c:v>2.9658089875963594</c:v>
                </c:pt>
                <c:pt idx="9">
                  <c:v>3.6231010671688635</c:v>
                </c:pt>
                <c:pt idx="10">
                  <c:v>4.5665998591625589</c:v>
                </c:pt>
                <c:pt idx="11">
                  <c:v>4.5126072361759961</c:v>
                </c:pt>
                <c:pt idx="12">
                  <c:v>4.3209365001585338</c:v>
                </c:pt>
                <c:pt idx="13">
                  <c:v>3.0109568671527858</c:v>
                </c:pt>
                <c:pt idx="14">
                  <c:v>2.1339755983732247</c:v>
                </c:pt>
                <c:pt idx="15">
                  <c:v>1.8826014594802203</c:v>
                </c:pt>
                <c:pt idx="16">
                  <c:v>1.5571133246768185</c:v>
                </c:pt>
                <c:pt idx="17">
                  <c:v>1.4999087306494256</c:v>
                </c:pt>
                <c:pt idx="18">
                  <c:v>1.5190689783396858</c:v>
                </c:pt>
                <c:pt idx="19">
                  <c:v>1.5498587556856231</c:v>
                </c:pt>
                <c:pt idx="20">
                  <c:v>1.2482710972724935</c:v>
                </c:pt>
                <c:pt idx="21">
                  <c:v>1.1343950895800818</c:v>
                </c:pt>
              </c:numCache>
            </c:numRef>
          </c:val>
          <c:extLst>
            <c:ext xmlns:c16="http://schemas.microsoft.com/office/drawing/2014/chart" uri="{C3380CC4-5D6E-409C-BE32-E72D297353CC}">
              <c16:uniqueId val="{00000004-D9A7-4E03-96A5-DE205AEF710D}"/>
            </c:ext>
          </c:extLst>
        </c:ser>
        <c:dLbls>
          <c:showLegendKey val="0"/>
          <c:showVal val="0"/>
          <c:showCatName val="0"/>
          <c:showSerName val="0"/>
          <c:showPercent val="0"/>
          <c:showBubbleSize val="0"/>
        </c:dLbls>
        <c:gapWidth val="150"/>
        <c:overlap val="100"/>
        <c:axId val="-1840721792"/>
        <c:axId val="-1840710912"/>
      </c:barChart>
      <c:catAx>
        <c:axId val="-1840721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840710912"/>
        <c:crosses val="autoZero"/>
        <c:auto val="1"/>
        <c:lblAlgn val="ctr"/>
        <c:lblOffset val="100"/>
        <c:noMultiLvlLbl val="0"/>
      </c:catAx>
      <c:valAx>
        <c:axId val="-1840710912"/>
        <c:scaling>
          <c:orientation val="minMax"/>
          <c:min val="0.60000000000000009"/>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840721792"/>
        <c:crosses val="autoZero"/>
        <c:crossBetween val="between"/>
        <c:majorUnit val="5.000000000000001E-2"/>
      </c:valAx>
      <c:spPr>
        <a:noFill/>
        <a:ln>
          <a:noFill/>
        </a:ln>
        <a:effectLst/>
      </c:spPr>
    </c:plotArea>
    <c:legend>
      <c:legendPos val="b"/>
      <c:layout>
        <c:manualLayout>
          <c:xMode val="edge"/>
          <c:yMode val="edge"/>
          <c:x val="7.0519247594050746E-2"/>
          <c:y val="0.79179024176295298"/>
          <c:w val="0.85896150481189848"/>
          <c:h val="0.1723888458755886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216100495399859"/>
          <c:y val="5.7878466807876394E-2"/>
          <c:w val="0.79479759377211612"/>
          <c:h val="0.71398504659394635"/>
        </c:manualLayout>
      </c:layout>
      <c:barChart>
        <c:barDir val="col"/>
        <c:grouping val="stacked"/>
        <c:varyColors val="0"/>
        <c:ser>
          <c:idx val="0"/>
          <c:order val="0"/>
          <c:tx>
            <c:strRef>
              <c:f>'D:\ESSPROS\Publikacia_2021\[OPR_Publikácia Grafy rok 2019.xlsx]prijmy '!$Q$57</c:f>
              <c:strCache>
                <c:ptCount val="1"/>
                <c:pt idx="0">
                  <c:v>Zamestnávatelia</c:v>
                </c:pt>
              </c:strCache>
            </c:strRef>
          </c:tx>
          <c:spPr>
            <a:solidFill>
              <a:schemeClr val="accent1">
                <a:lumMod val="75000"/>
              </a:schemeClr>
            </a:solidFill>
            <a:ln>
              <a:noFill/>
            </a:ln>
          </c:spPr>
          <c:invertIfNegative val="0"/>
          <c:dPt>
            <c:idx val="12"/>
            <c:invertIfNegative val="0"/>
            <c:bubble3D val="0"/>
            <c:extLst>
              <c:ext xmlns:c16="http://schemas.microsoft.com/office/drawing/2014/chart" uri="{C3380CC4-5D6E-409C-BE32-E72D297353CC}">
                <c16:uniqueId val="{00000000-07D6-46FC-9F15-6987CE68B976}"/>
              </c:ext>
            </c:extLst>
          </c:dPt>
          <c:cat>
            <c:strRef>
              <c:f>'[1]prijmy '!$R$56:$AM$56</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'[1]prijmy '!$R$57:$AM$57</c:f>
              <c:numCache>
                <c:formatCode>General</c:formatCode>
                <c:ptCount val="22"/>
                <c:pt idx="0">
                  <c:v>1950.02</c:v>
                </c:pt>
                <c:pt idx="1">
                  <c:v>1800.2</c:v>
                </c:pt>
                <c:pt idx="2">
                  <c:v>2055.0300000000002</c:v>
                </c:pt>
                <c:pt idx="3">
                  <c:v>2109.3200000000002</c:v>
                </c:pt>
                <c:pt idx="4">
                  <c:v>2323.98</c:v>
                </c:pt>
                <c:pt idx="5">
                  <c:v>2653.63</c:v>
                </c:pt>
                <c:pt idx="6">
                  <c:v>2886.84</c:v>
                </c:pt>
                <c:pt idx="7">
                  <c:v>3068.78</c:v>
                </c:pt>
                <c:pt idx="8">
                  <c:v>3458.53</c:v>
                </c:pt>
                <c:pt idx="9">
                  <c:v>4312.95</c:v>
                </c:pt>
                <c:pt idx="10">
                  <c:v>5237.75</c:v>
                </c:pt>
                <c:pt idx="11">
                  <c:v>5365.17</c:v>
                </c:pt>
                <c:pt idx="12">
                  <c:v>5394.57</c:v>
                </c:pt>
                <c:pt idx="13">
                  <c:v>5722.79</c:v>
                </c:pt>
                <c:pt idx="14">
                  <c:v>5821.81</c:v>
                </c:pt>
                <c:pt idx="15">
                  <c:v>6203.25</c:v>
                </c:pt>
                <c:pt idx="16">
                  <c:v>6471.52</c:v>
                </c:pt>
                <c:pt idx="17">
                  <c:v>6858.04</c:v>
                </c:pt>
                <c:pt idx="18">
                  <c:v>7264.01</c:v>
                </c:pt>
                <c:pt idx="19">
                  <c:v>7940.7</c:v>
                </c:pt>
                <c:pt idx="20">
                  <c:v>7802.81</c:v>
                </c:pt>
                <c:pt idx="21">
                  <c:v>9070.81</c:v>
                </c:pt>
              </c:numCache>
            </c:numRef>
          </c:val>
          <c:extLst>
            <c:ext xmlns:c16="http://schemas.microsoft.com/office/drawing/2014/chart" uri="{C3380CC4-5D6E-409C-BE32-E72D297353CC}">
              <c16:uniqueId val="{00000001-07D6-46FC-9F15-6987CE68B976}"/>
            </c:ext>
          </c:extLst>
        </c:ser>
        <c:ser>
          <c:idx val="1"/>
          <c:order val="1"/>
          <c:tx>
            <c:strRef>
              <c:f>'D:\ESSPROS\Publikacia_2021\[OPR_Publikácia Grafy rok 2019.xlsx]prijmy '!$Q$58</c:f>
              <c:strCache>
                <c:ptCount val="1"/>
                <c:pt idx="0">
                  <c:v>Zamestnanci</c:v>
                </c:pt>
              </c:strCache>
            </c:strRef>
          </c:tx>
          <c:spPr>
            <a:solidFill>
              <a:schemeClr val="accent1">
                <a:lumMod val="40000"/>
                <a:lumOff val="60000"/>
              </a:schemeClr>
            </a:solidFill>
            <a:ln>
              <a:noFill/>
            </a:ln>
          </c:spPr>
          <c:invertIfNegative val="0"/>
          <c:cat>
            <c:strRef>
              <c:f>'[1]prijmy '!$R$56:$AM$56</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'[1]prijmy '!$R$58:$AM$58</c:f>
              <c:numCache>
                <c:formatCode>General</c:formatCode>
                <c:ptCount val="22"/>
                <c:pt idx="0">
                  <c:v>585.73</c:v>
                </c:pt>
                <c:pt idx="1">
                  <c:v>547.38</c:v>
                </c:pt>
                <c:pt idx="2">
                  <c:v>639.97</c:v>
                </c:pt>
                <c:pt idx="3">
                  <c:v>698.4</c:v>
                </c:pt>
                <c:pt idx="4">
                  <c:v>782.91</c:v>
                </c:pt>
                <c:pt idx="5">
                  <c:v>875.17</c:v>
                </c:pt>
                <c:pt idx="6">
                  <c:v>969.86</c:v>
                </c:pt>
                <c:pt idx="7">
                  <c:v>1167.1400000000001</c:v>
                </c:pt>
                <c:pt idx="8">
                  <c:v>1311.2</c:v>
                </c:pt>
                <c:pt idx="9">
                  <c:v>1606.36</c:v>
                </c:pt>
                <c:pt idx="10">
                  <c:v>1965.72</c:v>
                </c:pt>
                <c:pt idx="11">
                  <c:v>1944.88</c:v>
                </c:pt>
                <c:pt idx="12">
                  <c:v>1983.79</c:v>
                </c:pt>
                <c:pt idx="13">
                  <c:v>2085.61</c:v>
                </c:pt>
                <c:pt idx="14">
                  <c:v>2137.2399999999998</c:v>
                </c:pt>
                <c:pt idx="15">
                  <c:v>2286.69</c:v>
                </c:pt>
                <c:pt idx="16">
                  <c:v>2423.39</c:v>
                </c:pt>
                <c:pt idx="17">
                  <c:v>2557.17</c:v>
                </c:pt>
                <c:pt idx="18">
                  <c:v>2699.74</c:v>
                </c:pt>
                <c:pt idx="19">
                  <c:v>2955.34</c:v>
                </c:pt>
                <c:pt idx="20">
                  <c:v>3036.18</c:v>
                </c:pt>
                <c:pt idx="21">
                  <c:v>3462.27</c:v>
                </c:pt>
              </c:numCache>
            </c:numRef>
          </c:val>
          <c:extLst>
            <c:ext xmlns:c16="http://schemas.microsoft.com/office/drawing/2014/chart" uri="{C3380CC4-5D6E-409C-BE32-E72D297353CC}">
              <c16:uniqueId val="{00000002-07D6-46FC-9F15-6987CE68B976}"/>
            </c:ext>
          </c:extLst>
        </c:ser>
        <c:ser>
          <c:idx val="2"/>
          <c:order val="2"/>
          <c:tx>
            <c:strRef>
              <c:f>'D:\ESSPROS\Publikacia_2021\[OPR_Publikácia Grafy rok 2019.xlsx]prijmy '!$Q$59</c:f>
              <c:strCache>
                <c:ptCount val="1"/>
                <c:pt idx="0">
                  <c:v>SZČO</c:v>
                </c:pt>
              </c:strCache>
            </c:strRef>
          </c:tx>
          <c:spPr>
            <a:solidFill>
              <a:schemeClr val="accent3">
                <a:lumMod val="75000"/>
              </a:schemeClr>
            </a:solidFill>
            <a:ln>
              <a:noFill/>
            </a:ln>
          </c:spPr>
          <c:invertIfNegative val="0"/>
          <c:cat>
            <c:strRef>
              <c:f>'[1]prijmy '!$R$56:$AM$56</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'[1]prijmy '!$R$59:$AM$59</c:f>
              <c:numCache>
                <c:formatCode>General</c:formatCode>
                <c:ptCount val="22"/>
                <c:pt idx="0">
                  <c:v>114.54</c:v>
                </c:pt>
                <c:pt idx="1">
                  <c:v>106.63</c:v>
                </c:pt>
                <c:pt idx="2">
                  <c:v>131.25</c:v>
                </c:pt>
                <c:pt idx="3">
                  <c:v>120.01</c:v>
                </c:pt>
                <c:pt idx="4">
                  <c:v>127.18</c:v>
                </c:pt>
                <c:pt idx="5">
                  <c:v>138.79</c:v>
                </c:pt>
                <c:pt idx="6">
                  <c:v>165.9</c:v>
                </c:pt>
                <c:pt idx="7">
                  <c:v>242.55</c:v>
                </c:pt>
                <c:pt idx="8">
                  <c:v>314.73</c:v>
                </c:pt>
                <c:pt idx="9">
                  <c:v>373.85</c:v>
                </c:pt>
                <c:pt idx="10">
                  <c:v>424.63</c:v>
                </c:pt>
                <c:pt idx="11">
                  <c:v>432.26</c:v>
                </c:pt>
                <c:pt idx="12">
                  <c:v>415.94</c:v>
                </c:pt>
                <c:pt idx="13">
                  <c:v>449.79</c:v>
                </c:pt>
                <c:pt idx="14">
                  <c:v>453.25</c:v>
                </c:pt>
                <c:pt idx="15">
                  <c:v>496.31</c:v>
                </c:pt>
                <c:pt idx="16">
                  <c:v>528.15</c:v>
                </c:pt>
                <c:pt idx="17">
                  <c:v>564.42999999999995</c:v>
                </c:pt>
                <c:pt idx="18">
                  <c:v>587.63</c:v>
                </c:pt>
                <c:pt idx="19">
                  <c:v>601.94000000000005</c:v>
                </c:pt>
                <c:pt idx="20">
                  <c:v>613.83000000000004</c:v>
                </c:pt>
                <c:pt idx="21">
                  <c:v>633.83000000000004</c:v>
                </c:pt>
              </c:numCache>
            </c:numRef>
          </c:val>
          <c:extLst>
            <c:ext xmlns:c16="http://schemas.microsoft.com/office/drawing/2014/chart" uri="{C3380CC4-5D6E-409C-BE32-E72D297353CC}">
              <c16:uniqueId val="{00000003-07D6-46FC-9F15-6987CE68B976}"/>
            </c:ext>
          </c:extLst>
        </c:ser>
        <c:ser>
          <c:idx val="3"/>
          <c:order val="3"/>
          <c:tx>
            <c:strRef>
              <c:f>'D:\ESSPROS\Publikacia_2021\[OPR_Publikácia Grafy rok 2019.xlsx]prijmy '!$Q$60</c:f>
              <c:strCache>
                <c:ptCount val="1"/>
                <c:pt idx="0">
                  <c:v>Dobrovoľní platitelia</c:v>
                </c:pt>
              </c:strCache>
            </c:strRef>
          </c:tx>
          <c:spPr>
            <a:solidFill>
              <a:schemeClr val="tx1"/>
            </a:solidFill>
            <a:ln>
              <a:solidFill>
                <a:schemeClr val="tx1"/>
              </a:solidFill>
            </a:ln>
          </c:spPr>
          <c:invertIfNegative val="0"/>
          <c:cat>
            <c:strRef>
              <c:f>'[1]prijmy '!$R$56:$AM$56</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'[1]prijmy '!$R$60:$AM$60</c:f>
              <c:numCache>
                <c:formatCode>General</c:formatCode>
                <c:ptCount val="22"/>
                <c:pt idx="0">
                  <c:v>9.98</c:v>
                </c:pt>
                <c:pt idx="1">
                  <c:v>12.26</c:v>
                </c:pt>
                <c:pt idx="2">
                  <c:v>16.12</c:v>
                </c:pt>
                <c:pt idx="3">
                  <c:v>18.71</c:v>
                </c:pt>
                <c:pt idx="4">
                  <c:v>22.57</c:v>
                </c:pt>
                <c:pt idx="5">
                  <c:v>24.15</c:v>
                </c:pt>
                <c:pt idx="6">
                  <c:v>44.52</c:v>
                </c:pt>
                <c:pt idx="7">
                  <c:v>29.22</c:v>
                </c:pt>
                <c:pt idx="8">
                  <c:v>49.02</c:v>
                </c:pt>
                <c:pt idx="9">
                  <c:v>56.08</c:v>
                </c:pt>
                <c:pt idx="10">
                  <c:v>52.54</c:v>
                </c:pt>
                <c:pt idx="11">
                  <c:v>64.09</c:v>
                </c:pt>
                <c:pt idx="12">
                  <c:v>75.239999999999995</c:v>
                </c:pt>
                <c:pt idx="13">
                  <c:v>97.37</c:v>
                </c:pt>
                <c:pt idx="14">
                  <c:v>87.73</c:v>
                </c:pt>
                <c:pt idx="15">
                  <c:v>86.35</c:v>
                </c:pt>
                <c:pt idx="16">
                  <c:v>83.69</c:v>
                </c:pt>
                <c:pt idx="17">
                  <c:v>80.78</c:v>
                </c:pt>
                <c:pt idx="18">
                  <c:v>87.71</c:v>
                </c:pt>
                <c:pt idx="19">
                  <c:v>74.64</c:v>
                </c:pt>
                <c:pt idx="20">
                  <c:v>78.540000000000006</c:v>
                </c:pt>
                <c:pt idx="21">
                  <c:v>85.09</c:v>
                </c:pt>
              </c:numCache>
            </c:numRef>
          </c:val>
          <c:extLst>
            <c:ext xmlns:c16="http://schemas.microsoft.com/office/drawing/2014/chart" uri="{C3380CC4-5D6E-409C-BE32-E72D297353CC}">
              <c16:uniqueId val="{00000004-07D6-46FC-9F15-6987CE68B976}"/>
            </c:ext>
          </c:extLst>
        </c:ser>
        <c:ser>
          <c:idx val="4"/>
          <c:order val="4"/>
          <c:tx>
            <c:strRef>
              <c:f>'D:\ESSPROS\Publikacia_2021\[OPR_Publikácia Grafy rok 2019.xlsx]prijmy '!$Q$61</c:f>
              <c:strCache>
                <c:ptCount val="1"/>
                <c:pt idx="0">
                  <c:v>Príspevky verejnej správy</c:v>
                </c:pt>
              </c:strCache>
            </c:strRef>
          </c:tx>
          <c:spPr>
            <a:solidFill>
              <a:schemeClr val="accent2">
                <a:lumMod val="60000"/>
                <a:lumOff val="40000"/>
              </a:schemeClr>
            </a:solidFill>
            <a:ln>
              <a:solidFill>
                <a:schemeClr val="accent2">
                  <a:lumMod val="60000"/>
                  <a:lumOff val="40000"/>
                </a:schemeClr>
              </a:solidFill>
            </a:ln>
          </c:spPr>
          <c:invertIfNegative val="0"/>
          <c:cat>
            <c:strRef>
              <c:f>'[1]prijmy '!$R$56:$AM$56</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'[1]prijmy '!$R$61:$AM$61</c:f>
              <c:numCache>
                <c:formatCode>General</c:formatCode>
                <c:ptCount val="22"/>
                <c:pt idx="0">
                  <c:v>1196.56</c:v>
                </c:pt>
                <c:pt idx="1">
                  <c:v>1171.6099999999999</c:v>
                </c:pt>
                <c:pt idx="2">
                  <c:v>1321.01</c:v>
                </c:pt>
                <c:pt idx="3">
                  <c:v>1470.31</c:v>
                </c:pt>
                <c:pt idx="4">
                  <c:v>1680.67</c:v>
                </c:pt>
                <c:pt idx="5">
                  <c:v>1648.5</c:v>
                </c:pt>
                <c:pt idx="6">
                  <c:v>1764.27</c:v>
                </c:pt>
                <c:pt idx="7">
                  <c:v>1999.05</c:v>
                </c:pt>
                <c:pt idx="8">
                  <c:v>2208.9499999999998</c:v>
                </c:pt>
                <c:pt idx="9">
                  <c:v>2640.89</c:v>
                </c:pt>
                <c:pt idx="10">
                  <c:v>2966.57</c:v>
                </c:pt>
                <c:pt idx="11">
                  <c:v>3422.88</c:v>
                </c:pt>
                <c:pt idx="12">
                  <c:v>3842.53</c:v>
                </c:pt>
                <c:pt idx="13">
                  <c:v>5099.74</c:v>
                </c:pt>
                <c:pt idx="14">
                  <c:v>5342.98</c:v>
                </c:pt>
                <c:pt idx="15">
                  <c:v>4625.76</c:v>
                </c:pt>
                <c:pt idx="16">
                  <c:v>4691.3500000000004</c:v>
                </c:pt>
                <c:pt idx="17">
                  <c:v>4344.7299999999996</c:v>
                </c:pt>
                <c:pt idx="18">
                  <c:v>4502.1099999999997</c:v>
                </c:pt>
                <c:pt idx="19">
                  <c:v>4262.1499999999996</c:v>
                </c:pt>
                <c:pt idx="20">
                  <c:v>4311.04</c:v>
                </c:pt>
                <c:pt idx="21">
                  <c:v>4272.79</c:v>
                </c:pt>
              </c:numCache>
            </c:numRef>
          </c:val>
          <c:extLst>
            <c:ext xmlns:c16="http://schemas.microsoft.com/office/drawing/2014/chart" uri="{C3380CC4-5D6E-409C-BE32-E72D297353CC}">
              <c16:uniqueId val="{00000005-07D6-46FC-9F15-6987CE68B976}"/>
            </c:ext>
          </c:extLst>
        </c:ser>
        <c:ser>
          <c:idx val="5"/>
          <c:order val="5"/>
          <c:tx>
            <c:strRef>
              <c:f>'D:\ESSPROS\Publikacia_2021\[OPR_Publikácia Grafy rok 2019.xlsx]prijmy '!$Q$62</c:f>
              <c:strCache>
                <c:ptCount val="1"/>
                <c:pt idx="0">
                  <c:v>Iné príjmy</c:v>
                </c:pt>
              </c:strCache>
            </c:strRef>
          </c:tx>
          <c:spPr>
            <a:solidFill>
              <a:schemeClr val="accent6">
                <a:lumMod val="60000"/>
                <a:lumOff val="40000"/>
              </a:schemeClr>
            </a:solidFill>
            <a:ln>
              <a:noFill/>
            </a:ln>
          </c:spPr>
          <c:invertIfNegative val="0"/>
          <c:cat>
            <c:strRef>
              <c:f>'[1]prijmy '!$R$56:$AM$56</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'[1]prijmy '!$R$62:$AM$62</c:f>
              <c:numCache>
                <c:formatCode>General</c:formatCode>
                <c:ptCount val="22"/>
                <c:pt idx="0">
                  <c:v>98.68</c:v>
                </c:pt>
                <c:pt idx="1">
                  <c:v>117.54</c:v>
                </c:pt>
                <c:pt idx="2">
                  <c:v>94.07</c:v>
                </c:pt>
                <c:pt idx="3">
                  <c:v>112.24</c:v>
                </c:pt>
                <c:pt idx="4">
                  <c:v>92.99</c:v>
                </c:pt>
                <c:pt idx="5">
                  <c:v>70.430000000000007</c:v>
                </c:pt>
                <c:pt idx="6">
                  <c:v>84.3</c:v>
                </c:pt>
                <c:pt idx="7">
                  <c:v>100.81</c:v>
                </c:pt>
                <c:pt idx="8">
                  <c:v>691.24</c:v>
                </c:pt>
                <c:pt idx="9">
                  <c:v>776.15</c:v>
                </c:pt>
                <c:pt idx="10">
                  <c:v>757.95</c:v>
                </c:pt>
                <c:pt idx="11">
                  <c:v>1411.57</c:v>
                </c:pt>
                <c:pt idx="12">
                  <c:v>1794.88</c:v>
                </c:pt>
                <c:pt idx="13">
                  <c:v>292.73</c:v>
                </c:pt>
                <c:pt idx="14">
                  <c:v>406.86</c:v>
                </c:pt>
                <c:pt idx="15">
                  <c:v>286.97000000000003</c:v>
                </c:pt>
                <c:pt idx="16">
                  <c:v>620.37</c:v>
                </c:pt>
                <c:pt idx="17">
                  <c:v>419.49</c:v>
                </c:pt>
                <c:pt idx="18">
                  <c:v>459.56</c:v>
                </c:pt>
                <c:pt idx="19">
                  <c:v>504.36</c:v>
                </c:pt>
                <c:pt idx="20">
                  <c:v>515.08000000000004</c:v>
                </c:pt>
                <c:pt idx="21">
                  <c:v>534.41</c:v>
                </c:pt>
              </c:numCache>
            </c:numRef>
          </c:val>
          <c:extLst>
            <c:ext xmlns:c16="http://schemas.microsoft.com/office/drawing/2014/chart" uri="{C3380CC4-5D6E-409C-BE32-E72D297353CC}">
              <c16:uniqueId val="{00000006-07D6-46FC-9F15-6987CE68B976}"/>
            </c:ext>
          </c:extLst>
        </c:ser>
        <c:dLbls>
          <c:showLegendKey val="0"/>
          <c:showVal val="0"/>
          <c:showCatName val="0"/>
          <c:showSerName val="0"/>
          <c:showPercent val="0"/>
          <c:showBubbleSize val="0"/>
        </c:dLbls>
        <c:gapWidth val="9"/>
        <c:overlap val="100"/>
        <c:axId val="-1953151136"/>
        <c:axId val="-1953150592"/>
      </c:barChart>
      <c:lineChart>
        <c:grouping val="standard"/>
        <c:varyColors val="0"/>
        <c:ser>
          <c:idx val="7"/>
          <c:order val="7"/>
          <c:tx>
            <c:strRef>
              <c:f>'D:\ESSPROS\Publikacia_2021\[OPR_Publikácia Grafy rok 2019.xlsx]prijmy '!$Q$63</c:f>
              <c:strCache>
                <c:ptCount val="1"/>
                <c:pt idx="0">
                  <c:v>Príjmy (konšt. ceny 2010)</c:v>
                </c:pt>
              </c:strCache>
            </c:strRef>
          </c:tx>
          <c:spPr>
            <a:ln>
              <a:solidFill>
                <a:srgbClr val="FF0000"/>
              </a:solidFill>
            </a:ln>
          </c:spPr>
          <c:marker>
            <c:symbol val="circle"/>
            <c:size val="6"/>
            <c:spPr>
              <a:solidFill>
                <a:srgbClr val="FF0000"/>
              </a:solidFill>
              <a:ln cmpd="sng">
                <a:solidFill>
                  <a:schemeClr val="accent2">
                    <a:lumMod val="75000"/>
                  </a:schemeClr>
                </a:solidFill>
              </a:ln>
            </c:spPr>
          </c:marker>
          <c:val>
            <c:numRef>
              <c:f>'[1]prijmy '!$R$63:$AM$63</c:f>
              <c:numCache>
                <c:formatCode>General</c:formatCode>
                <c:ptCount val="22"/>
                <c:pt idx="0">
                  <c:v>9024.25</c:v>
                </c:pt>
                <c:pt idx="1">
                  <c:v>8742.5499999999993</c:v>
                </c:pt>
                <c:pt idx="2">
                  <c:v>8846.67</c:v>
                </c:pt>
                <c:pt idx="3">
                  <c:v>9070.1299999999992</c:v>
                </c:pt>
                <c:pt idx="4">
                  <c:v>9636.61</c:v>
                </c:pt>
                <c:pt idx="5">
                  <c:v>9443.51</c:v>
                </c:pt>
                <c:pt idx="6">
                  <c:v>9275.58</c:v>
                </c:pt>
                <c:pt idx="7">
                  <c:v>9687.35</c:v>
                </c:pt>
                <c:pt idx="8">
                  <c:v>10805.04</c:v>
                </c:pt>
                <c:pt idx="9">
                  <c:v>11634.97</c:v>
                </c:pt>
                <c:pt idx="10">
                  <c:v>12025.94</c:v>
                </c:pt>
                <c:pt idx="11">
                  <c:v>12781.07</c:v>
                </c:pt>
                <c:pt idx="12">
                  <c:v>13506.94</c:v>
                </c:pt>
                <c:pt idx="13">
                  <c:v>13251.24</c:v>
                </c:pt>
                <c:pt idx="14">
                  <c:v>13282.75</c:v>
                </c:pt>
                <c:pt idx="15">
                  <c:v>12863.26</c:v>
                </c:pt>
                <c:pt idx="16">
                  <c:v>13626.05</c:v>
                </c:pt>
                <c:pt idx="17">
                  <c:v>13632.1</c:v>
                </c:pt>
                <c:pt idx="18">
                  <c:v>14369.84</c:v>
                </c:pt>
                <c:pt idx="19">
                  <c:v>14802.88</c:v>
                </c:pt>
                <c:pt idx="20">
                  <c:v>14484.36</c:v>
                </c:pt>
                <c:pt idx="21">
                  <c:v>15588.7</c:v>
                </c:pt>
              </c:numCache>
            </c:numRef>
          </c:val>
          <c:smooth val="0"/>
          <c:extLst>
            <c:ext xmlns:c16="http://schemas.microsoft.com/office/drawing/2014/chart" uri="{C3380CC4-5D6E-409C-BE32-E72D297353CC}">
              <c16:uniqueId val="{00000007-07D6-46FC-9F15-6987CE68B976}"/>
            </c:ext>
          </c:extLst>
        </c:ser>
        <c:dLbls>
          <c:showLegendKey val="0"/>
          <c:showVal val="0"/>
          <c:showCatName val="0"/>
          <c:showSerName val="0"/>
          <c:showPercent val="0"/>
          <c:showBubbleSize val="0"/>
        </c:dLbls>
        <c:marker val="1"/>
        <c:smooth val="0"/>
        <c:axId val="-1953151136"/>
        <c:axId val="-1953150592"/>
      </c:lineChart>
      <c:lineChart>
        <c:grouping val="standard"/>
        <c:varyColors val="0"/>
        <c:ser>
          <c:idx val="6"/>
          <c:order val="6"/>
          <c:tx>
            <c:strRef>
              <c:f>'D:\ESSPROS\Publikacia_2021\[OPR_Publikácia Grafy rok 2019.xlsx]prijmy '!$Q$64</c:f>
              <c:strCache>
                <c:ptCount val="1"/>
                <c:pt idx="0">
                  <c:v>Transfery</c:v>
                </c:pt>
              </c:strCache>
            </c:strRef>
          </c:tx>
          <c:spPr>
            <a:ln>
              <a:solidFill>
                <a:srgbClr val="FFFF00"/>
              </a:solidFill>
            </a:ln>
          </c:spPr>
          <c:marker>
            <c:symbol val="triangle"/>
            <c:size val="6"/>
            <c:spPr>
              <a:solidFill>
                <a:srgbClr val="FFFF00"/>
              </a:solidFill>
              <a:ln>
                <a:solidFill>
                  <a:schemeClr val="tx1"/>
                </a:solidFill>
              </a:ln>
            </c:spPr>
          </c:marker>
          <c:cat>
            <c:multiLvlStrRef>
              <c:f>'[1]prijmy '!$R$56:$AK$64</c:f>
              <c:multiLvlStrCache>
                <c:ptCount val="20"/>
                <c:lvl>
                  <c:pt idx="0">
                    <c:v>51,659</c:v>
                  </c:pt>
                  <c:pt idx="1">
                    <c:v>136,793</c:v>
                  </c:pt>
                  <c:pt idx="2">
                    <c:v>164,247</c:v>
                  </c:pt>
                  <c:pt idx="3">
                    <c:v>159,531</c:v>
                  </c:pt>
                  <c:pt idx="4">
                    <c:v>194,1782217</c:v>
                  </c:pt>
                  <c:pt idx="5">
                    <c:v>211,5655741</c:v>
                  </c:pt>
                  <c:pt idx="6">
                    <c:v>551,8371796</c:v>
                  </c:pt>
                  <c:pt idx="7">
                    <c:v>1580,328</c:v>
                  </c:pt>
                  <c:pt idx="8">
                    <c:v>1693,303</c:v>
                  </c:pt>
                  <c:pt idx="9">
                    <c:v>2044,795762</c:v>
                  </c:pt>
                  <c:pt idx="10">
                    <c:v>2109,4</c:v>
                  </c:pt>
                  <c:pt idx="11">
                    <c:v>2111,773</c:v>
                  </c:pt>
                  <c:pt idx="12">
                    <c:v>1781,95</c:v>
                  </c:pt>
                  <c:pt idx="13">
                    <c:v>2038,131</c:v>
                  </c:pt>
                  <c:pt idx="14">
                    <c:v>1970,518</c:v>
                  </c:pt>
                  <c:pt idx="15">
                    <c:v>1963,032</c:v>
                  </c:pt>
                  <c:pt idx="16">
                    <c:v>1902,326</c:v>
                  </c:pt>
                  <c:pt idx="17">
                    <c:v>2544,733</c:v>
                  </c:pt>
                  <c:pt idx="18">
                    <c:v>2637,83</c:v>
                  </c:pt>
                  <c:pt idx="19">
                    <c:v>2402,296</c:v>
                  </c:pt>
                </c:lvl>
                <c:lvl>
                  <c:pt idx="0">
                    <c:v>9024,25</c:v>
                  </c:pt>
                  <c:pt idx="1">
                    <c:v>8742,55</c:v>
                  </c:pt>
                  <c:pt idx="2">
                    <c:v>8846,67</c:v>
                  </c:pt>
                  <c:pt idx="3">
                    <c:v>9070,13</c:v>
                  </c:pt>
                  <c:pt idx="4">
                    <c:v>9636,61</c:v>
                  </c:pt>
                  <c:pt idx="5">
                    <c:v>9443,51</c:v>
                  </c:pt>
                  <c:pt idx="6">
                    <c:v>9275,58</c:v>
                  </c:pt>
                  <c:pt idx="7">
                    <c:v>9687,35</c:v>
                  </c:pt>
                  <c:pt idx="8">
                    <c:v>10805,04</c:v>
                  </c:pt>
                  <c:pt idx="9">
                    <c:v>11634,97</c:v>
                  </c:pt>
                  <c:pt idx="10">
                    <c:v>12025,94</c:v>
                  </c:pt>
                  <c:pt idx="11">
                    <c:v>12781,07</c:v>
                  </c:pt>
                  <c:pt idx="12">
                    <c:v>13506,94</c:v>
                  </c:pt>
                  <c:pt idx="13">
                    <c:v>13251,24</c:v>
                  </c:pt>
                  <c:pt idx="14">
                    <c:v>13282,75</c:v>
                  </c:pt>
                  <c:pt idx="15">
                    <c:v>12863,26</c:v>
                  </c:pt>
                  <c:pt idx="16">
                    <c:v>13626,05</c:v>
                  </c:pt>
                  <c:pt idx="17">
                    <c:v>13632,1</c:v>
                  </c:pt>
                  <c:pt idx="18">
                    <c:v>14369,84</c:v>
                  </c:pt>
                  <c:pt idx="19">
                    <c:v>14802,88</c:v>
                  </c:pt>
                </c:lvl>
                <c:lvl>
                  <c:pt idx="0">
                    <c:v>98,68</c:v>
                  </c:pt>
                  <c:pt idx="1">
                    <c:v>117,54</c:v>
                  </c:pt>
                  <c:pt idx="2">
                    <c:v>94,07</c:v>
                  </c:pt>
                  <c:pt idx="3">
                    <c:v>112,24</c:v>
                  </c:pt>
                  <c:pt idx="4">
                    <c:v>92,99</c:v>
                  </c:pt>
                  <c:pt idx="5">
                    <c:v>70,43</c:v>
                  </c:pt>
                  <c:pt idx="6">
                    <c:v>84,3</c:v>
                  </c:pt>
                  <c:pt idx="7">
                    <c:v>100,81</c:v>
                  </c:pt>
                  <c:pt idx="8">
                    <c:v>691,24</c:v>
                  </c:pt>
                  <c:pt idx="9">
                    <c:v>776,15</c:v>
                  </c:pt>
                  <c:pt idx="10">
                    <c:v>757,95</c:v>
                  </c:pt>
                  <c:pt idx="11">
                    <c:v>1411,57</c:v>
                  </c:pt>
                  <c:pt idx="12">
                    <c:v>1794,88</c:v>
                  </c:pt>
                  <c:pt idx="13">
                    <c:v>292,73</c:v>
                  </c:pt>
                  <c:pt idx="14">
                    <c:v>406,86</c:v>
                  </c:pt>
                  <c:pt idx="15">
                    <c:v>286,97</c:v>
                  </c:pt>
                  <c:pt idx="16">
                    <c:v>620,37</c:v>
                  </c:pt>
                  <c:pt idx="17">
                    <c:v>419,49</c:v>
                  </c:pt>
                  <c:pt idx="18">
                    <c:v>459,56</c:v>
                  </c:pt>
                  <c:pt idx="19">
                    <c:v>504,36</c:v>
                  </c:pt>
                </c:lvl>
                <c:lvl>
                  <c:pt idx="0">
                    <c:v>1196,56</c:v>
                  </c:pt>
                  <c:pt idx="1">
                    <c:v>1171,61</c:v>
                  </c:pt>
                  <c:pt idx="2">
                    <c:v>1321,01</c:v>
                  </c:pt>
                  <c:pt idx="3">
                    <c:v>1470,31</c:v>
                  </c:pt>
                  <c:pt idx="4">
                    <c:v>1680,67</c:v>
                  </c:pt>
                  <c:pt idx="5">
                    <c:v>1648,5</c:v>
                  </c:pt>
                  <c:pt idx="6">
                    <c:v>1764,27</c:v>
                  </c:pt>
                  <c:pt idx="7">
                    <c:v>1999,05</c:v>
                  </c:pt>
                  <c:pt idx="8">
                    <c:v>2208,95</c:v>
                  </c:pt>
                  <c:pt idx="9">
                    <c:v>2640,89</c:v>
                  </c:pt>
                  <c:pt idx="10">
                    <c:v>2966,57</c:v>
                  </c:pt>
                  <c:pt idx="11">
                    <c:v>3422,88</c:v>
                  </c:pt>
                  <c:pt idx="12">
                    <c:v>3842,53</c:v>
                  </c:pt>
                  <c:pt idx="13">
                    <c:v>5099,74</c:v>
                  </c:pt>
                  <c:pt idx="14">
                    <c:v>5342,98</c:v>
                  </c:pt>
                  <c:pt idx="15">
                    <c:v>4625,76</c:v>
                  </c:pt>
                  <c:pt idx="16">
                    <c:v>4691,35</c:v>
                  </c:pt>
                  <c:pt idx="17">
                    <c:v>4344,73</c:v>
                  </c:pt>
                  <c:pt idx="18">
                    <c:v>4502,11</c:v>
                  </c:pt>
                  <c:pt idx="19">
                    <c:v>4262,15</c:v>
                  </c:pt>
                </c:lvl>
                <c:lvl>
                  <c:pt idx="0">
                    <c:v>9,98</c:v>
                  </c:pt>
                  <c:pt idx="1">
                    <c:v>12,26</c:v>
                  </c:pt>
                  <c:pt idx="2">
                    <c:v>16,12</c:v>
                  </c:pt>
                  <c:pt idx="3">
                    <c:v>18,71</c:v>
                  </c:pt>
                  <c:pt idx="4">
                    <c:v>22,57</c:v>
                  </c:pt>
                  <c:pt idx="5">
                    <c:v>24,15</c:v>
                  </c:pt>
                  <c:pt idx="6">
                    <c:v>44,52</c:v>
                  </c:pt>
                  <c:pt idx="7">
                    <c:v>29,22</c:v>
                  </c:pt>
                  <c:pt idx="8">
                    <c:v>49,02</c:v>
                  </c:pt>
                  <c:pt idx="9">
                    <c:v>56,08</c:v>
                  </c:pt>
                  <c:pt idx="10">
                    <c:v>52,54</c:v>
                  </c:pt>
                  <c:pt idx="11">
                    <c:v>64,09</c:v>
                  </c:pt>
                  <c:pt idx="12">
                    <c:v>75,24</c:v>
                  </c:pt>
                  <c:pt idx="13">
                    <c:v>97,37</c:v>
                  </c:pt>
                  <c:pt idx="14">
                    <c:v>87,73</c:v>
                  </c:pt>
                  <c:pt idx="15">
                    <c:v>86,35</c:v>
                  </c:pt>
                  <c:pt idx="16">
                    <c:v>83,69</c:v>
                  </c:pt>
                  <c:pt idx="17">
                    <c:v>80,78</c:v>
                  </c:pt>
                  <c:pt idx="18">
                    <c:v>87,71</c:v>
                  </c:pt>
                  <c:pt idx="19">
                    <c:v>74,64</c:v>
                  </c:pt>
                </c:lvl>
                <c:lvl>
                  <c:pt idx="0">
                    <c:v>114,54</c:v>
                  </c:pt>
                  <c:pt idx="1">
                    <c:v>106,63</c:v>
                  </c:pt>
                  <c:pt idx="2">
                    <c:v>131,25</c:v>
                  </c:pt>
                  <c:pt idx="3">
                    <c:v>120,01</c:v>
                  </c:pt>
                  <c:pt idx="4">
                    <c:v>127,18</c:v>
                  </c:pt>
                  <c:pt idx="5">
                    <c:v>138,79</c:v>
                  </c:pt>
                  <c:pt idx="6">
                    <c:v>165,9</c:v>
                  </c:pt>
                  <c:pt idx="7">
                    <c:v>242,55</c:v>
                  </c:pt>
                  <c:pt idx="8">
                    <c:v>314,73</c:v>
                  </c:pt>
                  <c:pt idx="9">
                    <c:v>373,85</c:v>
                  </c:pt>
                  <c:pt idx="10">
                    <c:v>424,63</c:v>
                  </c:pt>
                  <c:pt idx="11">
                    <c:v>432,26</c:v>
                  </c:pt>
                  <c:pt idx="12">
                    <c:v>415,94</c:v>
                  </c:pt>
                  <c:pt idx="13">
                    <c:v>449,79</c:v>
                  </c:pt>
                  <c:pt idx="14">
                    <c:v>453,25</c:v>
                  </c:pt>
                  <c:pt idx="15">
                    <c:v>496,31</c:v>
                  </c:pt>
                  <c:pt idx="16">
                    <c:v>528,15</c:v>
                  </c:pt>
                  <c:pt idx="17">
                    <c:v>564,43</c:v>
                  </c:pt>
                  <c:pt idx="18">
                    <c:v>587,63</c:v>
                  </c:pt>
                  <c:pt idx="19">
                    <c:v>601,94</c:v>
                  </c:pt>
                </c:lvl>
                <c:lvl>
                  <c:pt idx="0">
                    <c:v>585,73</c:v>
                  </c:pt>
                  <c:pt idx="1">
                    <c:v>547,38</c:v>
                  </c:pt>
                  <c:pt idx="2">
                    <c:v>639,97</c:v>
                  </c:pt>
                  <c:pt idx="3">
                    <c:v>698,4</c:v>
                  </c:pt>
                  <c:pt idx="4">
                    <c:v>782,91</c:v>
                  </c:pt>
                  <c:pt idx="5">
                    <c:v>875,17</c:v>
                  </c:pt>
                  <c:pt idx="6">
                    <c:v>969,86</c:v>
                  </c:pt>
                  <c:pt idx="7">
                    <c:v>1167,14</c:v>
                  </c:pt>
                  <c:pt idx="8">
                    <c:v>1311,2</c:v>
                  </c:pt>
                  <c:pt idx="9">
                    <c:v>1606,36</c:v>
                  </c:pt>
                  <c:pt idx="10">
                    <c:v>1965,72</c:v>
                  </c:pt>
                  <c:pt idx="11">
                    <c:v>1944,88</c:v>
                  </c:pt>
                  <c:pt idx="12">
                    <c:v>1983,79</c:v>
                  </c:pt>
                  <c:pt idx="13">
                    <c:v>2085,61</c:v>
                  </c:pt>
                  <c:pt idx="14">
                    <c:v>2137,24</c:v>
                  </c:pt>
                  <c:pt idx="15">
                    <c:v>2286,69</c:v>
                  </c:pt>
                  <c:pt idx="16">
                    <c:v>2423,39</c:v>
                  </c:pt>
                  <c:pt idx="17">
                    <c:v>2557,17</c:v>
                  </c:pt>
                  <c:pt idx="18">
                    <c:v>2699,74</c:v>
                  </c:pt>
                  <c:pt idx="19">
                    <c:v>2955,34</c:v>
                  </c:pt>
                </c:lvl>
                <c:lvl>
                  <c:pt idx="0">
                    <c:v>1950,02</c:v>
                  </c:pt>
                  <c:pt idx="1">
                    <c:v>1800,2</c:v>
                  </c:pt>
                  <c:pt idx="2">
                    <c:v>2055,03</c:v>
                  </c:pt>
                  <c:pt idx="3">
                    <c:v>2109,32</c:v>
                  </c:pt>
                  <c:pt idx="4">
                    <c:v>2323,98</c:v>
                  </c:pt>
                  <c:pt idx="5">
                    <c:v>2653,63</c:v>
                  </c:pt>
                  <c:pt idx="6">
                    <c:v>2886,84</c:v>
                  </c:pt>
                  <c:pt idx="7">
                    <c:v>3068,78</c:v>
                  </c:pt>
                  <c:pt idx="8">
                    <c:v>3458,53</c:v>
                  </c:pt>
                  <c:pt idx="9">
                    <c:v>4312,95</c:v>
                  </c:pt>
                  <c:pt idx="10">
                    <c:v>5237,75</c:v>
                  </c:pt>
                  <c:pt idx="11">
                    <c:v>5365,17</c:v>
                  </c:pt>
                  <c:pt idx="12">
                    <c:v>5394,57</c:v>
                  </c:pt>
                  <c:pt idx="13">
                    <c:v>5722,79</c:v>
                  </c:pt>
                  <c:pt idx="14">
                    <c:v>5821,81</c:v>
                  </c:pt>
                  <c:pt idx="15">
                    <c:v>6203,25</c:v>
                  </c:pt>
                  <c:pt idx="16">
                    <c:v>6471,52</c:v>
                  </c:pt>
                  <c:pt idx="17">
                    <c:v>6858,04</c:v>
                  </c:pt>
                  <c:pt idx="18">
                    <c:v>7264,01</c:v>
                  </c:pt>
                  <c:pt idx="19">
                    <c:v>7940,7</c:v>
                  </c:pt>
                </c:lvl>
                <c:lvl>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lvl>
              </c:multiLvlStrCache>
            </c:multiLvlStrRef>
          </c:cat>
          <c:val>
            <c:numRef>
              <c:f>'[1]prijmy '!$R$64:$AM$64</c:f>
              <c:numCache>
                <c:formatCode>General</c:formatCode>
                <c:ptCount val="22"/>
                <c:pt idx="0">
                  <c:v>51.658999999999999</c:v>
                </c:pt>
                <c:pt idx="1">
                  <c:v>136.79300000000001</c:v>
                </c:pt>
                <c:pt idx="2">
                  <c:v>164.24700000000001</c:v>
                </c:pt>
                <c:pt idx="3">
                  <c:v>159.53100000000001</c:v>
                </c:pt>
                <c:pt idx="4">
                  <c:v>194.17822166899998</c:v>
                </c:pt>
                <c:pt idx="5">
                  <c:v>211.565574056</c:v>
                </c:pt>
                <c:pt idx="6">
                  <c:v>551.83717957910108</c:v>
                </c:pt>
                <c:pt idx="7">
                  <c:v>1580.328</c:v>
                </c:pt>
                <c:pt idx="8">
                  <c:v>1693.3029999999999</c:v>
                </c:pt>
                <c:pt idx="9">
                  <c:v>2044.795761800438</c:v>
                </c:pt>
                <c:pt idx="10">
                  <c:v>2109.4</c:v>
                </c:pt>
                <c:pt idx="11">
                  <c:v>2111.7730000000001</c:v>
                </c:pt>
                <c:pt idx="12">
                  <c:v>1781.9499999999998</c:v>
                </c:pt>
                <c:pt idx="13">
                  <c:v>2038.1310000000001</c:v>
                </c:pt>
                <c:pt idx="14">
                  <c:v>1970.5179999999998</c:v>
                </c:pt>
                <c:pt idx="15">
                  <c:v>1963.0320000000002</c:v>
                </c:pt>
                <c:pt idx="16">
                  <c:v>1902.326</c:v>
                </c:pt>
                <c:pt idx="17">
                  <c:v>2544.7330000000002</c:v>
                </c:pt>
                <c:pt idx="18">
                  <c:v>2637.83</c:v>
                </c:pt>
                <c:pt idx="19">
                  <c:v>2402.2959999999998</c:v>
                </c:pt>
                <c:pt idx="20">
                  <c:v>2450.87</c:v>
                </c:pt>
                <c:pt idx="21">
                  <c:v>3120.7250000000004</c:v>
                </c:pt>
              </c:numCache>
            </c:numRef>
          </c:val>
          <c:smooth val="0"/>
          <c:extLst>
            <c:ext xmlns:c16="http://schemas.microsoft.com/office/drawing/2014/chart" uri="{C3380CC4-5D6E-409C-BE32-E72D297353CC}">
              <c16:uniqueId val="{00000008-07D6-46FC-9F15-6987CE68B976}"/>
            </c:ext>
          </c:extLst>
        </c:ser>
        <c:dLbls>
          <c:showLegendKey val="0"/>
          <c:showVal val="0"/>
          <c:showCatName val="0"/>
          <c:showSerName val="0"/>
          <c:showPercent val="0"/>
          <c:showBubbleSize val="0"/>
        </c:dLbls>
        <c:marker val="1"/>
        <c:smooth val="0"/>
        <c:axId val="-1957017536"/>
        <c:axId val="-1957011552"/>
      </c:lineChart>
      <c:catAx>
        <c:axId val="-1953151136"/>
        <c:scaling>
          <c:orientation val="minMax"/>
        </c:scaling>
        <c:delete val="0"/>
        <c:axPos val="b"/>
        <c:majorGridlines>
          <c:spPr>
            <a:ln>
              <a:solidFill>
                <a:schemeClr val="bg1">
                  <a:lumMod val="75000"/>
                </a:schemeClr>
              </a:solidFill>
              <a:prstDash val="sysDot"/>
            </a:ln>
          </c:spPr>
        </c:majorGridlines>
        <c:numFmt formatCode="General" sourceLinked="1"/>
        <c:majorTickMark val="out"/>
        <c:minorTickMark val="none"/>
        <c:tickLblPos val="nextTo"/>
        <c:txPr>
          <a:bodyPr/>
          <a:lstStyle/>
          <a:p>
            <a:pPr>
              <a:defRPr sz="800">
                <a:latin typeface="Arial Narrow" pitchFamily="34" charset="0"/>
              </a:defRPr>
            </a:pPr>
            <a:endParaRPr lang="sk-SK"/>
          </a:p>
        </c:txPr>
        <c:crossAx val="-1953150592"/>
        <c:crosses val="autoZero"/>
        <c:auto val="1"/>
        <c:lblAlgn val="ctr"/>
        <c:lblOffset val="100"/>
        <c:noMultiLvlLbl val="0"/>
      </c:catAx>
      <c:valAx>
        <c:axId val="-1953150592"/>
        <c:scaling>
          <c:orientation val="minMax"/>
          <c:max val="18000"/>
          <c:min val="0"/>
        </c:scaling>
        <c:delete val="0"/>
        <c:axPos val="l"/>
        <c:majorGridlines>
          <c:spPr>
            <a:ln>
              <a:prstDash val="sysDot"/>
            </a:ln>
          </c:spPr>
        </c:majorGridlines>
        <c:numFmt formatCode="0" sourceLinked="0"/>
        <c:majorTickMark val="out"/>
        <c:minorTickMark val="none"/>
        <c:tickLblPos val="nextTo"/>
        <c:txPr>
          <a:bodyPr/>
          <a:lstStyle/>
          <a:p>
            <a:pPr>
              <a:defRPr sz="850">
                <a:latin typeface="Arial Narrow" pitchFamily="34" charset="0"/>
              </a:defRPr>
            </a:pPr>
            <a:endParaRPr lang="sk-SK"/>
          </a:p>
        </c:txPr>
        <c:crossAx val="-1953151136"/>
        <c:crosses val="autoZero"/>
        <c:crossBetween val="between"/>
        <c:majorUnit val="2000"/>
      </c:valAx>
      <c:valAx>
        <c:axId val="-1957011552"/>
        <c:scaling>
          <c:orientation val="minMax"/>
          <c:max val="3300"/>
        </c:scaling>
        <c:delete val="0"/>
        <c:axPos val="r"/>
        <c:numFmt formatCode="0" sourceLinked="0"/>
        <c:majorTickMark val="out"/>
        <c:minorTickMark val="none"/>
        <c:tickLblPos val="nextTo"/>
        <c:txPr>
          <a:bodyPr/>
          <a:lstStyle/>
          <a:p>
            <a:pPr>
              <a:defRPr sz="850">
                <a:latin typeface="Arial Narrow" pitchFamily="34" charset="0"/>
              </a:defRPr>
            </a:pPr>
            <a:endParaRPr lang="sk-SK"/>
          </a:p>
        </c:txPr>
        <c:crossAx val="-1957017536"/>
        <c:crosses val="max"/>
        <c:crossBetween val="between"/>
        <c:majorUnit val="300"/>
      </c:valAx>
      <c:catAx>
        <c:axId val="-1957017536"/>
        <c:scaling>
          <c:orientation val="minMax"/>
        </c:scaling>
        <c:delete val="1"/>
        <c:axPos val="b"/>
        <c:numFmt formatCode="General" sourceLinked="1"/>
        <c:majorTickMark val="out"/>
        <c:minorTickMark val="none"/>
        <c:tickLblPos val="nextTo"/>
        <c:crossAx val="-1957011552"/>
        <c:crosses val="autoZero"/>
        <c:auto val="1"/>
        <c:lblAlgn val="ctr"/>
        <c:lblOffset val="100"/>
        <c:noMultiLvlLbl val="0"/>
      </c:catAx>
    </c:plotArea>
    <c:legend>
      <c:legendPos val="b"/>
      <c:layout>
        <c:manualLayout>
          <c:xMode val="edge"/>
          <c:yMode val="edge"/>
          <c:x val="1.3003315333468485E-2"/>
          <c:y val="0.86167774326374336"/>
          <c:w val="0.96404480921986246"/>
          <c:h val="0.11901657862387455"/>
        </c:manualLayout>
      </c:layout>
      <c:overlay val="0"/>
      <c:txPr>
        <a:bodyPr/>
        <a:lstStyle/>
        <a:p>
          <a:pPr>
            <a:defRPr sz="900">
              <a:latin typeface="Arial Narrow" pitchFamily="34" charset="0"/>
            </a:defRPr>
          </a:pPr>
          <a:endParaRPr lang="sk-SK"/>
        </a:p>
      </c:txPr>
    </c:legend>
    <c:plotVisOnly val="1"/>
    <c:dispBlanksAs val="gap"/>
    <c:showDLblsOverMax val="0"/>
  </c:chart>
  <c:spPr>
    <a:ln>
      <a:solidFill>
        <a:srgbClr val="C00000"/>
      </a:solidFill>
    </a:ln>
  </c:sp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0548262348864816E-2"/>
          <c:y val="3.5216826565621279E-2"/>
          <c:w val="0.88140428223996392"/>
          <c:h val="0.57269898224747218"/>
        </c:manualLayout>
      </c:layout>
      <c:lineChart>
        <c:grouping val="standard"/>
        <c:varyColors val="0"/>
        <c:ser>
          <c:idx val="0"/>
          <c:order val="0"/>
          <c:tx>
            <c:strRef>
              <c:f>'D:\ESSPROS\Publikacia_2021\[OPR_Publikácia Grafy rok 2019.xlsx]prijmy '!$B$6</c:f>
              <c:strCache>
                <c:ptCount val="1"/>
                <c:pt idx="0">
                  <c:v>Finančné a nefinančné korporácie</c:v>
                </c:pt>
              </c:strCache>
            </c:strRef>
          </c:tx>
          <c:spPr>
            <a:ln w="12700" cap="rnd">
              <a:solidFill>
                <a:schemeClr val="accent1">
                  <a:alpha val="98000"/>
                </a:schemeClr>
              </a:solidFill>
              <a:round/>
            </a:ln>
            <a:effectLst/>
          </c:spPr>
          <c:marker>
            <c:symbol val="triangle"/>
            <c:size val="5"/>
            <c:spPr>
              <a:solidFill>
                <a:schemeClr val="bg1"/>
              </a:solidFill>
              <a:ln w="9525">
                <a:solidFill>
                  <a:schemeClr val="accent1"/>
                </a:solidFill>
              </a:ln>
              <a:effectLst/>
            </c:spPr>
          </c:marker>
          <c:cat>
            <c:strRef>
              <c:f>'[2]prijmy '!$A$7:$A$28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'[2]prijmy '!$B$7:$B$28</c:f>
              <c:numCache>
                <c:formatCode>General</c:formatCode>
                <c:ptCount val="22"/>
                <c:pt idx="0">
                  <c:v>34.520000000000003</c:v>
                </c:pt>
                <c:pt idx="1">
                  <c:v>33.58</c:v>
                </c:pt>
                <c:pt idx="2">
                  <c:v>33.630000000000003</c:v>
                </c:pt>
                <c:pt idx="3">
                  <c:v>31.12</c:v>
                </c:pt>
                <c:pt idx="4">
                  <c:v>29.99</c:v>
                </c:pt>
                <c:pt idx="5">
                  <c:v>33.28</c:v>
                </c:pt>
                <c:pt idx="6">
                  <c:v>35.44</c:v>
                </c:pt>
                <c:pt idx="7">
                  <c:v>35.03</c:v>
                </c:pt>
                <c:pt idx="8">
                  <c:v>32.36</c:v>
                </c:pt>
                <c:pt idx="9">
                  <c:v>33.020000000000003</c:v>
                </c:pt>
                <c:pt idx="10">
                  <c:v>34.82</c:v>
                </c:pt>
                <c:pt idx="11">
                  <c:v>32.11</c:v>
                </c:pt>
                <c:pt idx="12">
                  <c:v>30.52</c:v>
                </c:pt>
                <c:pt idx="13">
                  <c:v>31.9</c:v>
                </c:pt>
                <c:pt idx="14">
                  <c:v>32.21</c:v>
                </c:pt>
                <c:pt idx="15">
                  <c:v>33.99</c:v>
                </c:pt>
                <c:pt idx="16">
                  <c:v>33.96</c:v>
                </c:pt>
                <c:pt idx="17">
                  <c:v>34.79</c:v>
                </c:pt>
                <c:pt idx="18">
                  <c:v>35.450000000000003</c:v>
                </c:pt>
                <c:pt idx="19">
                  <c:v>36.1</c:v>
                </c:pt>
                <c:pt idx="20">
                  <c:v>35.32</c:v>
                </c:pt>
                <c:pt idx="21">
                  <c:v>37.31</c:v>
                </c:pt>
              </c:numCache>
            </c:numRef>
          </c:val>
          <c:smooth val="0"/>
          <c:extLst>
            <c:ext xmlns:c16="http://schemas.microsoft.com/office/drawing/2014/chart" uri="{C3380CC4-5D6E-409C-BE32-E72D297353CC}">
              <c16:uniqueId val="{00000000-1146-41C3-BA1A-FEAAF5D9E587}"/>
            </c:ext>
          </c:extLst>
        </c:ser>
        <c:ser>
          <c:idx val="1"/>
          <c:order val="1"/>
          <c:tx>
            <c:strRef>
              <c:f>'D:\ESSPROS\Publikacia_2021\[OPR_Publikácia Grafy rok 2019.xlsx]prijmy '!$C$6</c:f>
              <c:strCache>
                <c:ptCount val="1"/>
                <c:pt idx="0">
                  <c:v>Ústredná štátna správa</c:v>
                </c:pt>
              </c:strCache>
            </c:strRef>
          </c:tx>
          <c:spPr>
            <a:ln w="28575" cap="rnd">
              <a:solidFill>
                <a:srgbClr val="FF0000"/>
              </a:solidFill>
              <a:prstDash val="sysDot"/>
              <a:round/>
            </a:ln>
            <a:effectLst/>
          </c:spPr>
          <c:marker>
            <c:symbol val="circle"/>
            <c:size val="5"/>
            <c:spPr>
              <a:solidFill>
                <a:schemeClr val="bg1"/>
              </a:solidFill>
              <a:ln w="9525">
                <a:solidFill>
                  <a:srgbClr val="FF0000"/>
                </a:solidFill>
              </a:ln>
              <a:effectLst/>
            </c:spPr>
          </c:marker>
          <c:cat>
            <c:strRef>
              <c:f>'[2]prijmy '!$A$7:$A$28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'[2]prijmy '!$C$7:$C$28</c:f>
              <c:numCache>
                <c:formatCode>General</c:formatCode>
                <c:ptCount val="22"/>
                <c:pt idx="0">
                  <c:v>39.18</c:v>
                </c:pt>
                <c:pt idx="1">
                  <c:v>40.380000000000003</c:v>
                </c:pt>
                <c:pt idx="2">
                  <c:v>41.49</c:v>
                </c:pt>
                <c:pt idx="3">
                  <c:v>43.05</c:v>
                </c:pt>
                <c:pt idx="4">
                  <c:v>42.3</c:v>
                </c:pt>
                <c:pt idx="5">
                  <c:v>36.020000000000003</c:v>
                </c:pt>
                <c:pt idx="6">
                  <c:v>34.9</c:v>
                </c:pt>
                <c:pt idx="7">
                  <c:v>33.58</c:v>
                </c:pt>
                <c:pt idx="8">
                  <c:v>36.79</c:v>
                </c:pt>
                <c:pt idx="9">
                  <c:v>36.32</c:v>
                </c:pt>
                <c:pt idx="10">
                  <c:v>33.840000000000003</c:v>
                </c:pt>
                <c:pt idx="11">
                  <c:v>36.89</c:v>
                </c:pt>
                <c:pt idx="12">
                  <c:v>42.39</c:v>
                </c:pt>
                <c:pt idx="13">
                  <c:v>39.82</c:v>
                </c:pt>
                <c:pt idx="14">
                  <c:v>40.36</c:v>
                </c:pt>
                <c:pt idx="15">
                  <c:v>36.630000000000003</c:v>
                </c:pt>
                <c:pt idx="16">
                  <c:v>35.520000000000003</c:v>
                </c:pt>
                <c:pt idx="17">
                  <c:v>34.619999999999997</c:v>
                </c:pt>
                <c:pt idx="18">
                  <c:v>33.93</c:v>
                </c:pt>
                <c:pt idx="19">
                  <c:v>31.35</c:v>
                </c:pt>
                <c:pt idx="20">
                  <c:v>31.62</c:v>
                </c:pt>
                <c:pt idx="21">
                  <c:v>28.89</c:v>
                </c:pt>
              </c:numCache>
            </c:numRef>
          </c:val>
          <c:smooth val="0"/>
          <c:extLst>
            <c:ext xmlns:c16="http://schemas.microsoft.com/office/drawing/2014/chart" uri="{C3380CC4-5D6E-409C-BE32-E72D297353CC}">
              <c16:uniqueId val="{00000001-1146-41C3-BA1A-FEAAF5D9E587}"/>
            </c:ext>
          </c:extLst>
        </c:ser>
        <c:ser>
          <c:idx val="2"/>
          <c:order val="2"/>
          <c:tx>
            <c:strRef>
              <c:f>'D:\ESSPROS\Publikacia_2021\[OPR_Publikácia Grafy rok 2019.xlsx]prijmy '!$D$6</c:f>
              <c:strCache>
                <c:ptCount val="1"/>
                <c:pt idx="0">
                  <c:v>Regionálna a miestna samospráva</c:v>
                </c:pt>
              </c:strCache>
            </c:strRef>
          </c:tx>
          <c:spPr>
            <a:ln w="19050" cap="rnd">
              <a:solidFill>
                <a:schemeClr val="accent3"/>
              </a:solidFill>
              <a:round/>
            </a:ln>
            <a:effectLst/>
          </c:spPr>
          <c:marker>
            <c:symbol val="circle"/>
            <c:size val="5"/>
            <c:spPr>
              <a:noFill/>
              <a:ln w="9525">
                <a:noFill/>
              </a:ln>
              <a:effectLst/>
            </c:spPr>
          </c:marker>
          <c:cat>
            <c:strRef>
              <c:f>'[2]prijmy '!$A$7:$A$28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'[2]prijmy '!$D$7:$D$28</c:f>
              <c:numCache>
                <c:formatCode>General</c:formatCode>
                <c:ptCount val="22"/>
                <c:pt idx="0">
                  <c:v>1.37</c:v>
                </c:pt>
                <c:pt idx="1">
                  <c:v>1.34</c:v>
                </c:pt>
                <c:pt idx="2">
                  <c:v>1.1399999999999999</c:v>
                </c:pt>
                <c:pt idx="3">
                  <c:v>1.3</c:v>
                </c:pt>
                <c:pt idx="4">
                  <c:v>3</c:v>
                </c:pt>
                <c:pt idx="5">
                  <c:v>6.47</c:v>
                </c:pt>
                <c:pt idx="6">
                  <c:v>5.23</c:v>
                </c:pt>
                <c:pt idx="7">
                  <c:v>5.31</c:v>
                </c:pt>
                <c:pt idx="8">
                  <c:v>5.73</c:v>
                </c:pt>
                <c:pt idx="9">
                  <c:v>5.63</c:v>
                </c:pt>
                <c:pt idx="10">
                  <c:v>5.71</c:v>
                </c:pt>
                <c:pt idx="11">
                  <c:v>5.61</c:v>
                </c:pt>
                <c:pt idx="12">
                  <c:v>5.16</c:v>
                </c:pt>
                <c:pt idx="13">
                  <c:v>5.68</c:v>
                </c:pt>
                <c:pt idx="14">
                  <c:v>5.17</c:v>
                </c:pt>
                <c:pt idx="15">
                  <c:v>5.62</c:v>
                </c:pt>
                <c:pt idx="16">
                  <c:v>5.51</c:v>
                </c:pt>
                <c:pt idx="17">
                  <c:v>5.81</c:v>
                </c:pt>
                <c:pt idx="18">
                  <c:v>5.84</c:v>
                </c:pt>
                <c:pt idx="19">
                  <c:v>6.2</c:v>
                </c:pt>
                <c:pt idx="20">
                  <c:v>6.11</c:v>
                </c:pt>
                <c:pt idx="21">
                  <c:v>6.49</c:v>
                </c:pt>
              </c:numCache>
            </c:numRef>
          </c:val>
          <c:smooth val="0"/>
          <c:extLst>
            <c:ext xmlns:c16="http://schemas.microsoft.com/office/drawing/2014/chart" uri="{C3380CC4-5D6E-409C-BE32-E72D297353CC}">
              <c16:uniqueId val="{00000002-1146-41C3-BA1A-FEAAF5D9E587}"/>
            </c:ext>
          </c:extLst>
        </c:ser>
        <c:ser>
          <c:idx val="3"/>
          <c:order val="3"/>
          <c:tx>
            <c:strRef>
              <c:f>'D:\ESSPROS\Publikacia_2021\[OPR_Publikácia Grafy rok 2019.xlsx]prijmy '!$E$6</c:f>
              <c:strCache>
                <c:ptCount val="1"/>
                <c:pt idx="0">
                  <c:v>Povinné sociálne poistenie</c:v>
                </c:pt>
              </c:strCache>
            </c:strRef>
          </c:tx>
          <c:spPr>
            <a:ln w="12700" cap="rnd">
              <a:solidFill>
                <a:schemeClr val="accent4"/>
              </a:solidFill>
              <a:round/>
            </a:ln>
            <a:effectLst/>
          </c:spPr>
          <c:marker>
            <c:symbol val="circle"/>
            <c:size val="5"/>
            <c:spPr>
              <a:solidFill>
                <a:schemeClr val="accent4"/>
              </a:solidFill>
              <a:ln w="9525">
                <a:solidFill>
                  <a:schemeClr val="accent4"/>
                </a:solidFill>
              </a:ln>
              <a:effectLst/>
            </c:spPr>
          </c:marker>
          <c:cat>
            <c:strRef>
              <c:f>'[2]prijmy '!$A$7:$A$28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'[2]prijmy '!$E$7:$E$28</c:f>
              <c:numCache>
                <c:formatCode>General</c:formatCode>
                <c:ptCount val="22"/>
                <c:pt idx="0">
                  <c:v>0.37</c:v>
                </c:pt>
                <c:pt idx="1">
                  <c:v>0.41</c:v>
                </c:pt>
                <c:pt idx="2">
                  <c:v>0.4</c:v>
                </c:pt>
                <c:pt idx="3">
                  <c:v>0.4</c:v>
                </c:pt>
                <c:pt idx="4">
                  <c:v>0.37</c:v>
                </c:pt>
                <c:pt idx="5">
                  <c:v>0.71</c:v>
                </c:pt>
                <c:pt idx="6">
                  <c:v>0.34</c:v>
                </c:pt>
                <c:pt idx="7">
                  <c:v>0.28999999999999998</c:v>
                </c:pt>
                <c:pt idx="8">
                  <c:v>0.28999999999999998</c:v>
                </c:pt>
                <c:pt idx="9">
                  <c:v>0.31</c:v>
                </c:pt>
                <c:pt idx="10">
                  <c:v>0.31</c:v>
                </c:pt>
                <c:pt idx="11">
                  <c:v>2.88</c:v>
                </c:pt>
                <c:pt idx="12">
                  <c:v>0.82</c:v>
                </c:pt>
                <c:pt idx="13">
                  <c:v>0.56000000000000005</c:v>
                </c:pt>
                <c:pt idx="14">
                  <c:v>0.7</c:v>
                </c:pt>
                <c:pt idx="15">
                  <c:v>0.42</c:v>
                </c:pt>
                <c:pt idx="16">
                  <c:v>1.65</c:v>
                </c:pt>
                <c:pt idx="17">
                  <c:v>0.37</c:v>
                </c:pt>
                <c:pt idx="18">
                  <c:v>0.4</c:v>
                </c:pt>
                <c:pt idx="19">
                  <c:v>1.32</c:v>
                </c:pt>
                <c:pt idx="20">
                  <c:v>1.36</c:v>
                </c:pt>
                <c:pt idx="21">
                  <c:v>1.27</c:v>
                </c:pt>
              </c:numCache>
            </c:numRef>
          </c:val>
          <c:smooth val="0"/>
          <c:extLst>
            <c:ext xmlns:c16="http://schemas.microsoft.com/office/drawing/2014/chart" uri="{C3380CC4-5D6E-409C-BE32-E72D297353CC}">
              <c16:uniqueId val="{00000003-1146-41C3-BA1A-FEAAF5D9E587}"/>
            </c:ext>
          </c:extLst>
        </c:ser>
        <c:ser>
          <c:idx val="4"/>
          <c:order val="4"/>
          <c:tx>
            <c:strRef>
              <c:f>'D:\ESSPROS\Publikacia_2021\[OPR_Publikácia Grafy rok 2019.xlsx]prijmy '!$F$6</c:f>
              <c:strCache>
                <c:ptCount val="1"/>
                <c:pt idx="0">
                  <c:v>Domácnosti</c:v>
                </c:pt>
              </c:strCache>
            </c:strRef>
          </c:tx>
          <c:spPr>
            <a:ln w="12700" cap="rnd">
              <a:solidFill>
                <a:srgbClr val="C00000"/>
              </a:solidFill>
              <a:prstDash val="dash"/>
              <a:round/>
            </a:ln>
            <a:effectLst/>
          </c:spPr>
          <c:marker>
            <c:symbol val="x"/>
            <c:size val="5"/>
            <c:spPr>
              <a:solidFill>
                <a:schemeClr val="bg1"/>
              </a:solidFill>
              <a:ln w="9525">
                <a:solidFill>
                  <a:srgbClr val="C00000"/>
                </a:solidFill>
              </a:ln>
              <a:effectLst/>
            </c:spPr>
          </c:marker>
          <c:cat>
            <c:strRef>
              <c:f>'[2]prijmy '!$A$7:$A$28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'[2]prijmy '!$F$7:$F$28</c:f>
              <c:numCache>
                <c:formatCode>General</c:formatCode>
                <c:ptCount val="22"/>
                <c:pt idx="0">
                  <c:v>23.99</c:v>
                </c:pt>
                <c:pt idx="1">
                  <c:v>23.71</c:v>
                </c:pt>
                <c:pt idx="2">
                  <c:v>22.87</c:v>
                </c:pt>
                <c:pt idx="3">
                  <c:v>23.63</c:v>
                </c:pt>
                <c:pt idx="4">
                  <c:v>23.86</c:v>
                </c:pt>
                <c:pt idx="5">
                  <c:v>22.9</c:v>
                </c:pt>
                <c:pt idx="6">
                  <c:v>23.34</c:v>
                </c:pt>
                <c:pt idx="7">
                  <c:v>25.02</c:v>
                </c:pt>
                <c:pt idx="8">
                  <c:v>23.68</c:v>
                </c:pt>
                <c:pt idx="9">
                  <c:v>23.61</c:v>
                </c:pt>
                <c:pt idx="10">
                  <c:v>23.99</c:v>
                </c:pt>
                <c:pt idx="11">
                  <c:v>21.61</c:v>
                </c:pt>
                <c:pt idx="12">
                  <c:v>20.29</c:v>
                </c:pt>
                <c:pt idx="13">
                  <c:v>21.15</c:v>
                </c:pt>
                <c:pt idx="14">
                  <c:v>20.75</c:v>
                </c:pt>
                <c:pt idx="15">
                  <c:v>22.59</c:v>
                </c:pt>
                <c:pt idx="16">
                  <c:v>22.48</c:v>
                </c:pt>
                <c:pt idx="17">
                  <c:v>23.53</c:v>
                </c:pt>
                <c:pt idx="18">
                  <c:v>23.49</c:v>
                </c:pt>
                <c:pt idx="19">
                  <c:v>24.18</c:v>
                </c:pt>
                <c:pt idx="20">
                  <c:v>24.71</c:v>
                </c:pt>
                <c:pt idx="21">
                  <c:v>25.06</c:v>
                </c:pt>
              </c:numCache>
            </c:numRef>
          </c:val>
          <c:smooth val="0"/>
          <c:extLst>
            <c:ext xmlns:c16="http://schemas.microsoft.com/office/drawing/2014/chart" uri="{C3380CC4-5D6E-409C-BE32-E72D297353CC}">
              <c16:uniqueId val="{00000004-1146-41C3-BA1A-FEAAF5D9E587}"/>
            </c:ext>
          </c:extLst>
        </c:ser>
        <c:ser>
          <c:idx val="5"/>
          <c:order val="5"/>
          <c:tx>
            <c:strRef>
              <c:f>'D:\ESSPROS\Publikacia_2021\[OPR_Publikácia Grafy rok 2019.xlsx]prijmy '!$G$6</c:f>
              <c:strCache>
                <c:ptCount val="1"/>
                <c:pt idx="0">
                  <c:v>Neziskové inštitúcie slúžiace domácnostiam</c:v>
                </c:pt>
              </c:strCache>
            </c:strRef>
          </c:tx>
          <c:spPr>
            <a:ln w="12700" cap="rnd">
              <a:solidFill>
                <a:schemeClr val="accent6"/>
              </a:solidFill>
              <a:round/>
            </a:ln>
            <a:effectLst/>
          </c:spPr>
          <c:marker>
            <c:symbol val="circle"/>
            <c:size val="5"/>
            <c:spPr>
              <a:solidFill>
                <a:schemeClr val="accent6"/>
              </a:solidFill>
              <a:ln w="9525">
                <a:solidFill>
                  <a:schemeClr val="accent6"/>
                </a:solidFill>
              </a:ln>
              <a:effectLst/>
            </c:spPr>
          </c:marker>
          <c:cat>
            <c:strRef>
              <c:f>'[2]prijmy '!$A$7:$A$28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'[2]prijmy '!$G$7:$G$28</c:f>
              <c:numCache>
                <c:formatCode>General</c:formatCode>
                <c:ptCount val="22"/>
                <c:pt idx="0">
                  <c:v>0.56000000000000005</c:v>
                </c:pt>
                <c:pt idx="1">
                  <c:v>0.55000000000000004</c:v>
                </c:pt>
                <c:pt idx="2">
                  <c:v>0.45</c:v>
                </c:pt>
                <c:pt idx="3">
                  <c:v>0.46</c:v>
                </c:pt>
                <c:pt idx="4">
                  <c:v>0.44</c:v>
                </c:pt>
                <c:pt idx="5">
                  <c:v>0.61</c:v>
                </c:pt>
                <c:pt idx="6">
                  <c:v>0.72</c:v>
                </c:pt>
                <c:pt idx="7">
                  <c:v>0.72</c:v>
                </c:pt>
                <c:pt idx="8">
                  <c:v>1.1200000000000001</c:v>
                </c:pt>
                <c:pt idx="9">
                  <c:v>1.08</c:v>
                </c:pt>
                <c:pt idx="10">
                  <c:v>0.96</c:v>
                </c:pt>
                <c:pt idx="11">
                  <c:v>0.86</c:v>
                </c:pt>
                <c:pt idx="12">
                  <c:v>0.77</c:v>
                </c:pt>
                <c:pt idx="13">
                  <c:v>0.79</c:v>
                </c:pt>
                <c:pt idx="14">
                  <c:v>0.78</c:v>
                </c:pt>
                <c:pt idx="15">
                  <c:v>0.73</c:v>
                </c:pt>
                <c:pt idx="16">
                  <c:v>0.85</c:v>
                </c:pt>
                <c:pt idx="17">
                  <c:v>0.85</c:v>
                </c:pt>
                <c:pt idx="18">
                  <c:v>0.84</c:v>
                </c:pt>
                <c:pt idx="19">
                  <c:v>0.81</c:v>
                </c:pt>
                <c:pt idx="20">
                  <c:v>0.83</c:v>
                </c:pt>
                <c:pt idx="21">
                  <c:v>0.94</c:v>
                </c:pt>
              </c:numCache>
            </c:numRef>
          </c:val>
          <c:smooth val="0"/>
          <c:extLst>
            <c:ext xmlns:c16="http://schemas.microsoft.com/office/drawing/2014/chart" uri="{C3380CC4-5D6E-409C-BE32-E72D297353CC}">
              <c16:uniqueId val="{00000005-1146-41C3-BA1A-FEAAF5D9E587}"/>
            </c:ext>
          </c:extLst>
        </c:ser>
        <c:ser>
          <c:idx val="6"/>
          <c:order val="6"/>
          <c:tx>
            <c:strRef>
              <c:f>'D:\ESSPROS\Publikacia_2021\[OPR_Publikácia Grafy rok 2019.xlsx]prijmy '!$H$6</c:f>
              <c:strCache>
                <c:ptCount val="1"/>
                <c:pt idx="0">
                  <c:v>Zvyšok sveta</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Pt>
            <c:idx val="15"/>
            <c:bubble3D val="0"/>
            <c:spPr>
              <a:ln w="12700" cap="rnd">
                <a:solidFill>
                  <a:schemeClr val="accent1">
                    <a:lumMod val="60000"/>
                  </a:schemeClr>
                </a:solidFill>
                <a:round/>
              </a:ln>
              <a:effectLst/>
            </c:spPr>
            <c:extLst>
              <c:ext xmlns:c16="http://schemas.microsoft.com/office/drawing/2014/chart" uri="{C3380CC4-5D6E-409C-BE32-E72D297353CC}">
                <c16:uniqueId val="{00000007-1146-41C3-BA1A-FEAAF5D9E587}"/>
              </c:ext>
            </c:extLst>
          </c:dPt>
          <c:cat>
            <c:strRef>
              <c:f>'[2]prijmy '!$A$7:$A$28</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'[2]prijmy '!$H$7:$H$28</c:f>
              <c:numCache>
                <c:formatCode>General</c:formatCode>
                <c:ptCount val="22"/>
                <c:pt idx="0">
                  <c:v>0.01</c:v>
                </c:pt>
                <c:pt idx="1">
                  <c:v>0.01</c:v>
                </c:pt>
                <c:pt idx="2">
                  <c:v>0.02</c:v>
                </c:pt>
                <c:pt idx="3">
                  <c:v>0.03</c:v>
                </c:pt>
                <c:pt idx="4">
                  <c:v>0.04</c:v>
                </c:pt>
                <c:pt idx="5">
                  <c:v>0.02</c:v>
                </c:pt>
                <c:pt idx="6">
                  <c:v>0.03</c:v>
                </c:pt>
                <c:pt idx="7">
                  <c:v>0.05</c:v>
                </c:pt>
                <c:pt idx="8">
                  <c:v>0.02</c:v>
                </c:pt>
                <c:pt idx="9">
                  <c:v>0.03</c:v>
                </c:pt>
                <c:pt idx="10">
                  <c:v>0.37</c:v>
                </c:pt>
                <c:pt idx="11">
                  <c:v>0.03</c:v>
                </c:pt>
                <c:pt idx="12">
                  <c:v>0.05</c:v>
                </c:pt>
                <c:pt idx="13">
                  <c:v>0.09</c:v>
                </c:pt>
                <c:pt idx="14">
                  <c:v>0.03</c:v>
                </c:pt>
                <c:pt idx="15">
                  <c:v>0.02</c:v>
                </c:pt>
                <c:pt idx="16">
                  <c:v>0.03</c:v>
                </c:pt>
                <c:pt idx="17">
                  <c:v>0.02</c:v>
                </c:pt>
                <c:pt idx="18">
                  <c:v>0.04</c:v>
                </c:pt>
                <c:pt idx="19">
                  <c:v>0.04</c:v>
                </c:pt>
                <c:pt idx="20">
                  <c:v>0.05</c:v>
                </c:pt>
                <c:pt idx="21">
                  <c:v>0.04</c:v>
                </c:pt>
              </c:numCache>
            </c:numRef>
          </c:val>
          <c:smooth val="0"/>
          <c:extLst>
            <c:ext xmlns:c16="http://schemas.microsoft.com/office/drawing/2014/chart" uri="{C3380CC4-5D6E-409C-BE32-E72D297353CC}">
              <c16:uniqueId val="{00000008-1146-41C3-BA1A-FEAAF5D9E587}"/>
            </c:ext>
          </c:extLst>
        </c:ser>
        <c:dLbls>
          <c:showLegendKey val="0"/>
          <c:showVal val="0"/>
          <c:showCatName val="0"/>
          <c:showSerName val="0"/>
          <c:showPercent val="0"/>
          <c:showBubbleSize val="0"/>
        </c:dLbls>
        <c:marker val="1"/>
        <c:smooth val="0"/>
        <c:axId val="-1957032224"/>
        <c:axId val="-1957026240"/>
      </c:lineChart>
      <c:catAx>
        <c:axId val="-195703222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50" b="0" i="0" u="none" strike="noStrike" kern="1200" baseline="0">
                <a:solidFill>
                  <a:schemeClr val="tx1"/>
                </a:solidFill>
                <a:latin typeface="Arial Narrow" panose="020B0606020202030204" pitchFamily="34" charset="0"/>
                <a:ea typeface="+mn-ea"/>
                <a:cs typeface="+mn-cs"/>
              </a:defRPr>
            </a:pPr>
            <a:endParaRPr lang="sk-SK"/>
          </a:p>
        </c:txPr>
        <c:crossAx val="-1957026240"/>
        <c:crosses val="autoZero"/>
        <c:auto val="1"/>
        <c:lblAlgn val="ctr"/>
        <c:lblOffset val="100"/>
        <c:noMultiLvlLbl val="0"/>
      </c:catAx>
      <c:valAx>
        <c:axId val="-1957026240"/>
        <c:scaling>
          <c:orientation val="minMax"/>
          <c:max val="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750" b="0" i="0" u="none" strike="noStrike" kern="1200" baseline="0">
                    <a:solidFill>
                      <a:schemeClr val="tx1"/>
                    </a:solidFill>
                    <a:latin typeface="Arial Narrow" panose="020B0606020202030204" pitchFamily="34" charset="0"/>
                    <a:ea typeface="+mn-ea"/>
                    <a:cs typeface="+mn-cs"/>
                  </a:defRPr>
                </a:pPr>
                <a:r>
                  <a:rPr lang="en-US" sz="750" b="0">
                    <a:solidFill>
                      <a:schemeClr val="tx1"/>
                    </a:solidFill>
                    <a:latin typeface="Arial Narrow" panose="020B0606020202030204" pitchFamily="34" charset="0"/>
                  </a:rPr>
                  <a:t>Štruktúra príjmov na sociálnu ochranu</a:t>
                </a:r>
                <a:r>
                  <a:rPr lang="sk-SK" sz="750" b="0">
                    <a:solidFill>
                      <a:schemeClr val="tx1"/>
                    </a:solidFill>
                    <a:latin typeface="Arial Narrow" panose="020B0606020202030204" pitchFamily="34" charset="0"/>
                  </a:rPr>
                  <a:t> </a:t>
                </a:r>
                <a:r>
                  <a:rPr lang="sk-SK" sz="750" b="0" baseline="0">
                    <a:solidFill>
                      <a:schemeClr val="tx1"/>
                    </a:solidFill>
                    <a:latin typeface="Arial Narrow" panose="020B0606020202030204" pitchFamily="34" charset="0"/>
                  </a:rPr>
                  <a:t> </a:t>
                </a:r>
                <a:r>
                  <a:rPr lang="sk-SK" sz="750" b="0">
                    <a:solidFill>
                      <a:schemeClr val="tx1"/>
                    </a:solidFill>
                    <a:latin typeface="Arial Narrow" panose="020B0606020202030204" pitchFamily="34" charset="0"/>
                  </a:rPr>
                  <a:t>%.</a:t>
                </a:r>
              </a:p>
            </c:rich>
          </c:tx>
          <c:layout>
            <c:manualLayout>
              <c:xMode val="edge"/>
              <c:yMode val="edge"/>
              <c:x val="1.4660104252952373E-2"/>
              <c:y val="0.11736258328285885"/>
            </c:manualLayout>
          </c:layout>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750" b="0" i="0" u="none" strike="noStrike" kern="1200" baseline="0">
                <a:solidFill>
                  <a:schemeClr val="tx1"/>
                </a:solidFill>
                <a:latin typeface="Arial Narrow" panose="020B0606020202030204" pitchFamily="34" charset="0"/>
                <a:ea typeface="+mn-ea"/>
                <a:cs typeface="+mn-cs"/>
              </a:defRPr>
            </a:pPr>
            <a:endParaRPr lang="sk-SK"/>
          </a:p>
        </c:txPr>
        <c:crossAx val="-1957032224"/>
        <c:crosses val="autoZero"/>
        <c:crossBetween val="between"/>
        <c:majorUnit val="5"/>
      </c:valAx>
      <c:spPr>
        <a:noFill/>
        <a:ln>
          <a:noFill/>
        </a:ln>
        <a:effectLst/>
      </c:spPr>
    </c:plotArea>
    <c:legend>
      <c:legendPos val="b"/>
      <c:layout>
        <c:manualLayout>
          <c:xMode val="edge"/>
          <c:yMode val="edge"/>
          <c:x val="0.10455057194372218"/>
          <c:y val="0.7522213393408943"/>
          <c:w val="0.8707262031525953"/>
          <c:h val="0.22816133515464807"/>
        </c:manualLayout>
      </c:layout>
      <c:overlay val="0"/>
      <c:spPr>
        <a:noFill/>
        <a:ln>
          <a:noFill/>
        </a:ln>
        <a:effectLst/>
      </c:spPr>
      <c:txPr>
        <a:bodyPr rot="0" spcFirstLastPara="1" vertOverflow="ellipsis" vert="horz" wrap="square" anchor="ctr" anchorCtr="1"/>
        <a:lstStyle/>
        <a:p>
          <a:pPr>
            <a:defRPr sz="750" b="0" i="0" u="none" strike="noStrike" kern="1200" baseline="0">
              <a:solidFill>
                <a:schemeClr val="tx1">
                  <a:lumMod val="65000"/>
                  <a:lumOff val="35000"/>
                </a:schemeClr>
              </a:solidFill>
              <a:latin typeface="Arial Narrow" panose="020B0606020202030204" pitchFamily="34" charset="0"/>
              <a:ea typeface="+mn-ea"/>
              <a:cs typeface="+mn-cs"/>
            </a:defRPr>
          </a:pPr>
          <a:endParaRPr lang="sk-SK"/>
        </a:p>
      </c:txPr>
    </c:legend>
    <c:plotVisOnly val="1"/>
    <c:dispBlanksAs val="zero"/>
    <c:showDLblsOverMax val="0"/>
  </c:chart>
  <c:spPr>
    <a:solidFill>
      <a:schemeClr val="bg1"/>
    </a:solidFill>
    <a:ln w="9525" cap="flat" cmpd="sng" algn="ctr">
      <a:solidFill>
        <a:srgbClr val="C00000"/>
      </a:solidFill>
      <a:round/>
    </a:ln>
    <a:effectLst/>
  </c:spPr>
  <c:txPr>
    <a:bodyPr/>
    <a:lstStyle/>
    <a:p>
      <a:pPr>
        <a:defRPr/>
      </a:pPr>
      <a:endParaRPr lang="sk-SK"/>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262673611111114E-2"/>
          <c:y val="0.1567660642570281"/>
          <c:w val="0.84231128472222205"/>
          <c:h val="0.80206392235609114"/>
        </c:manualLayout>
      </c:layout>
      <c:ofPieChart>
        <c:ofPieType val="pie"/>
        <c:varyColors val="1"/>
        <c:ser>
          <c:idx val="0"/>
          <c:order val="0"/>
          <c:dPt>
            <c:idx val="1"/>
            <c:bubble3D val="0"/>
            <c:explosion val="14"/>
            <c:spPr>
              <a:solidFill>
                <a:schemeClr val="accent6">
                  <a:lumMod val="75000"/>
                </a:schemeClr>
              </a:solidFill>
            </c:spPr>
            <c:extLst>
              <c:ext xmlns:c16="http://schemas.microsoft.com/office/drawing/2014/chart" uri="{C3380CC4-5D6E-409C-BE32-E72D297353CC}">
                <c16:uniqueId val="{00000001-EDCC-4275-A175-1FBF5A680FB0}"/>
              </c:ext>
            </c:extLst>
          </c:dPt>
          <c:dPt>
            <c:idx val="2"/>
            <c:bubble3D val="0"/>
            <c:spPr>
              <a:solidFill>
                <a:schemeClr val="accent5">
                  <a:lumMod val="40000"/>
                  <a:lumOff val="60000"/>
                </a:schemeClr>
              </a:solidFill>
            </c:spPr>
            <c:extLst>
              <c:ext xmlns:c16="http://schemas.microsoft.com/office/drawing/2014/chart" uri="{C3380CC4-5D6E-409C-BE32-E72D297353CC}">
                <c16:uniqueId val="{00000003-EDCC-4275-A175-1FBF5A680FB0}"/>
              </c:ext>
            </c:extLst>
          </c:dPt>
          <c:dPt>
            <c:idx val="3"/>
            <c:bubble3D val="0"/>
            <c:spPr>
              <a:solidFill>
                <a:schemeClr val="bg2">
                  <a:lumMod val="50000"/>
                </a:schemeClr>
              </a:solidFill>
            </c:spPr>
            <c:extLst>
              <c:ext xmlns:c16="http://schemas.microsoft.com/office/drawing/2014/chart" uri="{C3380CC4-5D6E-409C-BE32-E72D297353CC}">
                <c16:uniqueId val="{00000005-EDCC-4275-A175-1FBF5A680FB0}"/>
              </c:ext>
            </c:extLst>
          </c:dPt>
          <c:dPt>
            <c:idx val="4"/>
            <c:bubble3D val="0"/>
            <c:explosion val="9"/>
            <c:spPr>
              <a:solidFill>
                <a:schemeClr val="accent4">
                  <a:lumMod val="40000"/>
                  <a:lumOff val="60000"/>
                </a:schemeClr>
              </a:solidFill>
            </c:spPr>
            <c:extLst>
              <c:ext xmlns:c16="http://schemas.microsoft.com/office/drawing/2014/chart" uri="{C3380CC4-5D6E-409C-BE32-E72D297353CC}">
                <c16:uniqueId val="{00000007-EDCC-4275-A175-1FBF5A680FB0}"/>
              </c:ext>
            </c:extLst>
          </c:dPt>
          <c:dPt>
            <c:idx val="5"/>
            <c:bubble3D val="0"/>
            <c:spPr>
              <a:solidFill>
                <a:schemeClr val="accent6">
                  <a:lumMod val="75000"/>
                </a:schemeClr>
              </a:solidFill>
            </c:spPr>
            <c:extLst>
              <c:ext xmlns:c16="http://schemas.microsoft.com/office/drawing/2014/chart" uri="{C3380CC4-5D6E-409C-BE32-E72D297353CC}">
                <c16:uniqueId val="{00000009-EDCC-4275-A175-1FBF5A680FB0}"/>
              </c:ext>
            </c:extLst>
          </c:dPt>
          <c:dPt>
            <c:idx val="6"/>
            <c:bubble3D val="0"/>
            <c:explosion val="5"/>
            <c:spPr>
              <a:solidFill>
                <a:schemeClr val="accent3">
                  <a:lumMod val="60000"/>
                  <a:lumOff val="40000"/>
                </a:schemeClr>
              </a:solidFill>
            </c:spPr>
            <c:extLst>
              <c:ext xmlns:c16="http://schemas.microsoft.com/office/drawing/2014/chart" uri="{C3380CC4-5D6E-409C-BE32-E72D297353CC}">
                <c16:uniqueId val="{0000000B-EDCC-4275-A175-1FBF5A680FB0}"/>
              </c:ext>
            </c:extLst>
          </c:dPt>
          <c:dPt>
            <c:idx val="7"/>
            <c:bubble3D val="0"/>
            <c:spPr>
              <a:solidFill>
                <a:schemeClr val="accent6">
                  <a:lumMod val="60000"/>
                  <a:lumOff val="40000"/>
                </a:schemeClr>
              </a:solidFill>
            </c:spPr>
            <c:extLst>
              <c:ext xmlns:c16="http://schemas.microsoft.com/office/drawing/2014/chart" uri="{C3380CC4-5D6E-409C-BE32-E72D297353CC}">
                <c16:uniqueId val="{0000000D-EDCC-4275-A175-1FBF5A680FB0}"/>
              </c:ext>
            </c:extLst>
          </c:dPt>
          <c:dPt>
            <c:idx val="8"/>
            <c:bubble3D val="0"/>
            <c:explosion val="11"/>
            <c:spPr>
              <a:solidFill>
                <a:schemeClr val="tx2">
                  <a:lumMod val="75000"/>
                </a:schemeClr>
              </a:solidFill>
            </c:spPr>
            <c:extLst>
              <c:ext xmlns:c16="http://schemas.microsoft.com/office/drawing/2014/chart" uri="{C3380CC4-5D6E-409C-BE32-E72D297353CC}">
                <c16:uniqueId val="{0000000F-EDCC-4275-A175-1FBF5A680FB0}"/>
              </c:ext>
            </c:extLst>
          </c:dPt>
          <c:dPt>
            <c:idx val="9"/>
            <c:bubble3D val="0"/>
            <c:spPr>
              <a:pattFill prst="lgCheck">
                <a:fgClr>
                  <a:schemeClr val="accent6">
                    <a:lumMod val="40000"/>
                    <a:lumOff val="60000"/>
                  </a:schemeClr>
                </a:fgClr>
                <a:bgClr>
                  <a:schemeClr val="bg1"/>
                </a:bgClr>
              </a:pattFill>
            </c:spPr>
            <c:extLst>
              <c:ext xmlns:c16="http://schemas.microsoft.com/office/drawing/2014/chart" uri="{C3380CC4-5D6E-409C-BE32-E72D297353CC}">
                <c16:uniqueId val="{00000011-EDCC-4275-A175-1FBF5A680FB0}"/>
              </c:ext>
            </c:extLst>
          </c:dPt>
          <c:dLbls>
            <c:dLbl>
              <c:idx val="0"/>
              <c:layout>
                <c:manualLayout>
                  <c:x val="4.5277777777777764E-3"/>
                  <c:y val="0.30999263721552878"/>
                </c:manualLayout>
              </c:layout>
              <c:numFmt formatCode="0.0%" sourceLinked="0"/>
              <c:spPr>
                <a:noFill/>
                <a:ln>
                  <a:noFill/>
                </a:ln>
                <a:effectLst/>
              </c:spPr>
              <c:txPr>
                <a:bodyPr/>
                <a:lstStyle/>
                <a:p>
                  <a:pPr>
                    <a:defRPr sz="850">
                      <a:latin typeface="Arial Narrow" panose="020B0606020202030204" pitchFamily="34" charset="0"/>
                    </a:defRPr>
                  </a:pPr>
                  <a:endParaRPr lang="sk-SK"/>
                </a:p>
              </c:txPr>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12-EDCC-4275-A175-1FBF5A680FB0}"/>
                </c:ext>
              </c:extLst>
            </c:dLbl>
            <c:dLbl>
              <c:idx val="1"/>
              <c:layout>
                <c:manualLayout>
                  <c:x val="2.7098958333333319E-2"/>
                  <c:y val="-0.39166131191432396"/>
                </c:manualLayout>
              </c:layout>
              <c:tx>
                <c:rich>
                  <a:bodyPr/>
                  <a:lstStyle/>
                  <a:p>
                    <a:pPr>
                      <a:defRPr sz="850">
                        <a:latin typeface="Arial Narrow" panose="020B0606020202030204" pitchFamily="34" charset="0"/>
                      </a:defRPr>
                    </a:pPr>
                    <a:r>
                      <a:rPr lang="en-US"/>
                      <a:t>Administrattívne</a:t>
                    </a:r>
                    <a:r>
                      <a:rPr lang="en-US" baseline="0"/>
                      <a:t> výdavky
2,6%</a:t>
                    </a:r>
                  </a:p>
                </c:rich>
              </c:tx>
              <c:numFmt formatCode="0.0%" sourceLinked="0"/>
              <c:spPr>
                <a:noFill/>
                <a:ln>
                  <a:noFill/>
                </a:ln>
                <a:effectLst/>
              </c:spPr>
              <c:showLegendKey val="0"/>
              <c:showVal val="0"/>
              <c:showCatName val="1"/>
              <c:showSerName val="1"/>
              <c:showPercent val="1"/>
              <c:showBubbleSize val="0"/>
              <c:extLst>
                <c:ext xmlns:c15="http://schemas.microsoft.com/office/drawing/2012/chart" uri="{CE6537A1-D6FC-4f65-9D91-7224C49458BB}">
                  <c15:layout>
                    <c:manualLayout>
                      <c:w val="0.21387152777777776"/>
                      <c:h val="0.17218105756358767"/>
                    </c:manualLayout>
                  </c15:layout>
                </c:ext>
                <c:ext xmlns:c16="http://schemas.microsoft.com/office/drawing/2014/chart" uri="{C3380CC4-5D6E-409C-BE32-E72D297353CC}">
                  <c16:uniqueId val="{00000001-EDCC-4275-A175-1FBF5A680FB0}"/>
                </c:ext>
              </c:extLst>
            </c:dLbl>
            <c:dLbl>
              <c:idx val="2"/>
              <c:layout>
                <c:manualLayout>
                  <c:x val="0.14256527777777778"/>
                  <c:y val="0.22467453145917002"/>
                </c:manualLayout>
              </c:layout>
              <c:tx>
                <c:rich>
                  <a:bodyPr/>
                  <a:lstStyle/>
                  <a:p>
                    <a:fld id="{6462ADC8-7079-4387-8BA1-6A19D3CD56C6}" type="CATEGORYNAME">
                      <a:rPr lang="en-US"/>
                      <a:pPr/>
                      <a:t>[NÁZOV KATEGÓRIE]</a:t>
                    </a:fld>
                    <a:r>
                      <a:rPr lang="en-US" baseline="0"/>
                      <a:t>
31,7%</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EDCC-4275-A175-1FBF5A680FB0}"/>
                </c:ext>
              </c:extLst>
            </c:dLbl>
            <c:dLbl>
              <c:idx val="3"/>
              <c:layout>
                <c:manualLayout>
                  <c:x val="-0.14953543307086614"/>
                  <c:y val="-4.3788276465441818E-2"/>
                </c:manualLayout>
              </c:layout>
              <c:tx>
                <c:rich>
                  <a:bodyPr/>
                  <a:lstStyle/>
                  <a:p>
                    <a:fld id="{B1C216B1-BE07-444B-902D-FEC1482A8B1E}" type="CATEGORYNAME">
                      <a:rPr lang="en-US"/>
                      <a:pPr/>
                      <a:t>[NÁZOV KATEGÓRIE]</a:t>
                    </a:fld>
                    <a:r>
                      <a:rPr lang="en-US" baseline="0"/>
                      <a:t>
8,1%</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EDCC-4275-A175-1FBF5A680FB0}"/>
                </c:ext>
              </c:extLst>
            </c:dLbl>
            <c:dLbl>
              <c:idx val="4"/>
              <c:layout>
                <c:manualLayout>
                  <c:x val="-1.4891660584535426E-2"/>
                  <c:y val="-6.7047188755020082E-2"/>
                </c:manualLayout>
              </c:layout>
              <c:tx>
                <c:rich>
                  <a:bodyPr/>
                  <a:lstStyle/>
                  <a:p>
                    <a:fld id="{D1F33CA8-E372-409F-9678-AC10AA76FD0B}" type="CATEGORYNAME">
                      <a:rPr lang="en-US"/>
                      <a:pPr/>
                      <a:t>[NÁZOV KATEGÓRIE]</a:t>
                    </a:fld>
                    <a:r>
                      <a:rPr lang="en-US" baseline="0"/>
                      <a:t>
4,6%</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EDCC-4275-A175-1FBF5A680FB0}"/>
                </c:ext>
              </c:extLst>
            </c:dLbl>
            <c:dLbl>
              <c:idx val="5"/>
              <c:layout>
                <c:manualLayout>
                  <c:x val="-2.1596296296296298E-3"/>
                  <c:y val="3.816231593038822E-2"/>
                </c:manualLayout>
              </c:layout>
              <c:tx>
                <c:rich>
                  <a:bodyPr/>
                  <a:lstStyle/>
                  <a:p>
                    <a:fld id="{8EFC96FE-1643-484E-877F-1913C1F779F2}" type="CATEGORYNAME">
                      <a:rPr lang="en-US"/>
                      <a:pPr/>
                      <a:t>[NÁZOV KATEGÓRIE]</a:t>
                    </a:fld>
                    <a:r>
                      <a:rPr lang="en-US" baseline="0"/>
                      <a:t>
2,8%</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EDCC-4275-A175-1FBF5A680FB0}"/>
                </c:ext>
              </c:extLst>
            </c:dLbl>
            <c:dLbl>
              <c:idx val="6"/>
              <c:layout>
                <c:manualLayout>
                  <c:x val="-3.4981666666666841E-2"/>
                  <c:y val="0.27422590361445781"/>
                </c:manualLayout>
              </c:layout>
              <c:tx>
                <c:rich>
                  <a:bodyPr/>
                  <a:lstStyle/>
                  <a:p>
                    <a:fld id="{5AB08A8D-E63D-444C-B3D7-A0BE254C3A81}" type="CATEGORYNAME">
                      <a:rPr lang="en-US"/>
                      <a:pPr/>
                      <a:t>[NÁZOV KATEGÓRIE]</a:t>
                    </a:fld>
                    <a:r>
                      <a:rPr lang="en-US" baseline="0"/>
                      <a:t>
9,0%</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EDCC-4275-A175-1FBF5A680FB0}"/>
                </c:ext>
              </c:extLst>
            </c:dLbl>
            <c:dLbl>
              <c:idx val="7"/>
              <c:layout>
                <c:manualLayout>
                  <c:x val="2.7850421041119854E-2"/>
                  <c:y val="-0.22590332458442694"/>
                </c:manualLayout>
              </c:layout>
              <c:tx>
                <c:rich>
                  <a:bodyPr/>
                  <a:lstStyle/>
                  <a:p>
                    <a:fld id="{0DECEBA0-A518-4643-A562-13732F5DF058}" type="CATEGORYNAME">
                      <a:rPr lang="en-US"/>
                      <a:pPr/>
                      <a:t>[NÁZOV KATEGÓRIE]</a:t>
                    </a:fld>
                    <a:r>
                      <a:rPr lang="en-US" baseline="0"/>
                      <a:t>
39,5%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EDCC-4275-A175-1FBF5A680FB0}"/>
                </c:ext>
              </c:extLst>
            </c:dLbl>
            <c:dLbl>
              <c:idx val="8"/>
              <c:layout>
                <c:manualLayout>
                  <c:x val="7.1414259259259261E-2"/>
                  <c:y val="0.15902041499330655"/>
                </c:manualLayout>
              </c:layout>
              <c:tx>
                <c:rich>
                  <a:bodyPr/>
                  <a:lstStyle/>
                  <a:p>
                    <a:fld id="{9AD27C45-971B-4118-983C-A3E496AB3E9A}" type="CATEGORYNAME">
                      <a:rPr lang="en-US"/>
                      <a:pPr/>
                      <a:t>[NÁZOV KATEGÓRIE]</a:t>
                    </a:fld>
                    <a:r>
                      <a:rPr lang="en-US" baseline="0"/>
                      <a:t>
1,5%</a:t>
                    </a: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F-EDCC-4275-A175-1FBF5A680FB0}"/>
                </c:ext>
              </c:extLst>
            </c:dLbl>
            <c:dLbl>
              <c:idx val="9"/>
              <c:layout>
                <c:manualLayout>
                  <c:x val="-0.26998347479256973"/>
                  <c:y val="-0.14796753681392236"/>
                </c:manualLayout>
              </c:layout>
              <c:tx>
                <c:rich>
                  <a:bodyPr/>
                  <a:lstStyle/>
                  <a:p>
                    <a:pPr>
                      <a:defRPr sz="1050" b="1">
                        <a:latin typeface="Arial Narrow" panose="020B0606020202030204" pitchFamily="34" charset="0"/>
                      </a:defRPr>
                    </a:pPr>
                    <a:r>
                      <a:rPr lang="en-US" sz="1050" b="1"/>
                      <a:t>Sociálne dávky</a:t>
                    </a:r>
                    <a:r>
                      <a:rPr lang="en-US" sz="1050" b="1" baseline="0"/>
                      <a:t>
97,2%</a:t>
                    </a:r>
                  </a:p>
                </c:rich>
              </c:tx>
              <c:numFmt formatCode="0.0%" sourceLinked="0"/>
              <c:spPr>
                <a:solidFill>
                  <a:schemeClr val="accent6">
                    <a:lumMod val="40000"/>
                    <a:lumOff val="60000"/>
                  </a:schemeClr>
                </a:solidFill>
                <a:ln>
                  <a:noFill/>
                </a:ln>
                <a:effectLst/>
              </c:spPr>
              <c:showLegendKey val="0"/>
              <c:showVal val="0"/>
              <c:showCatName val="1"/>
              <c:showSerName val="0"/>
              <c:showPercent val="1"/>
              <c:showBubbleSize val="0"/>
              <c:extLst>
                <c:ext xmlns:c15="http://schemas.microsoft.com/office/drawing/2012/chart" uri="{CE6537A1-D6FC-4f65-9D91-7224C49458BB}">
                  <c15:layout>
                    <c:manualLayout>
                      <c:w val="0.2082321488826018"/>
                      <c:h val="0.17077844712182061"/>
                    </c:manualLayout>
                  </c15:layout>
                </c:ext>
                <c:ext xmlns:c16="http://schemas.microsoft.com/office/drawing/2014/chart" uri="{C3380CC4-5D6E-409C-BE32-E72D297353CC}">
                  <c16:uniqueId val="{00000011-EDCC-4275-A175-1FBF5A680FB0}"/>
                </c:ext>
              </c:extLst>
            </c:dLbl>
            <c:numFmt formatCode="0.0%" sourceLinked="0"/>
            <c:spPr>
              <a:noFill/>
              <a:ln>
                <a:noFill/>
              </a:ln>
              <a:effectLst/>
            </c:spPr>
            <c:txPr>
              <a:bodyPr/>
              <a:lstStyle/>
              <a:p>
                <a:pPr>
                  <a:defRPr sz="800">
                    <a:latin typeface="Arial Narrow" panose="020B0606020202030204" pitchFamily="34" charset="0"/>
                  </a:defRPr>
                </a:pPr>
                <a:endParaRPr lang="sk-SK"/>
              </a:p>
            </c:txPr>
            <c:showLegendKey val="0"/>
            <c:showVal val="0"/>
            <c:showCatName val="1"/>
            <c:showSerName val="0"/>
            <c:showPercent val="1"/>
            <c:showBubbleSize val="0"/>
            <c:showLeaderLines val="1"/>
            <c:extLst>
              <c:ext xmlns:c15="http://schemas.microsoft.com/office/drawing/2012/chart" uri="{CE6537A1-D6FC-4f65-9D91-7224C49458BB}"/>
            </c:extLst>
          </c:dLbls>
          <c:cat>
            <c:strRef>
              <c:f>[2]vydavky!$G$149:$G$157</c:f>
              <c:strCache>
                <c:ptCount val="9"/>
                <c:pt idx="0">
                  <c:v>Iné výdavky</c:v>
                </c:pt>
                <c:pt idx="1">
                  <c:v>Administratívne náklady</c:v>
                </c:pt>
                <c:pt idx="2">
                  <c:v>Choroba, zdrav. starostlivosť</c:v>
                </c:pt>
                <c:pt idx="3">
                  <c:v>Zdravotné postihnutie</c:v>
                </c:pt>
                <c:pt idx="4">
                  <c:v>Pozostalí</c:v>
                </c:pt>
                <c:pt idx="5">
                  <c:v>Nezamestnanosť</c:v>
                </c:pt>
                <c:pt idx="6">
                  <c:v>Rodina, deti</c:v>
                </c:pt>
                <c:pt idx="7">
                  <c:v>Staroba</c:v>
                </c:pt>
                <c:pt idx="8">
                  <c:v>Sociálne vylúčenie, bývanie</c:v>
                </c:pt>
              </c:strCache>
            </c:strRef>
          </c:cat>
          <c:val>
            <c:numRef>
              <c:f>[2]vydavky!$H$149:$H$157</c:f>
              <c:numCache>
                <c:formatCode>General</c:formatCode>
                <c:ptCount val="9"/>
                <c:pt idx="0">
                  <c:v>32.56</c:v>
                </c:pt>
                <c:pt idx="1">
                  <c:v>396.25</c:v>
                </c:pt>
                <c:pt idx="2">
                  <c:v>5140.13</c:v>
                </c:pt>
                <c:pt idx="3">
                  <c:v>1330.36</c:v>
                </c:pt>
                <c:pt idx="4">
                  <c:v>776.2</c:v>
                </c:pt>
                <c:pt idx="5">
                  <c:v>430.89</c:v>
                </c:pt>
                <c:pt idx="6">
                  <c:v>1381.06</c:v>
                </c:pt>
                <c:pt idx="7">
                  <c:v>6367.42</c:v>
                </c:pt>
                <c:pt idx="8">
                  <c:v>46.68</c:v>
                </c:pt>
              </c:numCache>
            </c:numRef>
          </c:val>
          <c:extLst>
            <c:ext xmlns:c16="http://schemas.microsoft.com/office/drawing/2014/chart" uri="{C3380CC4-5D6E-409C-BE32-E72D297353CC}">
              <c16:uniqueId val="{00000013-EDCC-4275-A175-1FBF5A680FB0}"/>
            </c:ext>
          </c:extLst>
        </c:ser>
        <c:dLbls>
          <c:showLegendKey val="0"/>
          <c:showVal val="0"/>
          <c:showCatName val="0"/>
          <c:showSerName val="0"/>
          <c:showPercent val="0"/>
          <c:showBubbleSize val="0"/>
          <c:showLeaderLines val="1"/>
        </c:dLbls>
        <c:gapWidth val="58"/>
        <c:splitType val="cust"/>
        <c:custSplit>
          <c:secondPiePt val="2"/>
          <c:secondPiePt val="3"/>
          <c:secondPiePt val="4"/>
          <c:secondPiePt val="5"/>
          <c:secondPiePt val="6"/>
          <c:secondPiePt val="7"/>
          <c:secondPiePt val="8"/>
        </c:custSplit>
        <c:secondPieSize val="86"/>
        <c:serLines/>
      </c:ofPieChart>
      <c:spPr>
        <a:noFill/>
        <a:ln w="25400">
          <a:noFill/>
        </a:ln>
      </c:spPr>
    </c:plotArea>
    <c:plotVisOnly val="1"/>
    <c:dispBlanksAs val="gap"/>
    <c:showDLblsOverMax val="0"/>
  </c:chart>
  <c:spPr>
    <a:ln>
      <a:solidFill>
        <a:srgbClr val="C00000"/>
      </a:solid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8847925826835599E-2"/>
          <c:y val="0.13276574428738763"/>
          <c:w val="0.90654034733980027"/>
          <c:h val="0.58057730623067394"/>
        </c:manualLayout>
      </c:layout>
      <c:barChart>
        <c:barDir val="col"/>
        <c:grouping val="clustered"/>
        <c:varyColors val="0"/>
        <c:ser>
          <c:idx val="0"/>
          <c:order val="0"/>
          <c:tx>
            <c:strRef>
              <c:f>'D:\ESSPROS\Publikacia_2021\[OPR_Publikácia Grafy rok 2019.xlsx]vydavky'!$H$96</c:f>
              <c:strCache>
                <c:ptCount val="1"/>
                <c:pt idx="0">
                  <c:v>Úhrn/ Total</c:v>
                </c:pt>
              </c:strCache>
            </c:strRef>
          </c:tx>
          <c:spPr>
            <a:solidFill>
              <a:schemeClr val="accent6"/>
            </a:solidFill>
          </c:spPr>
          <c:invertIfNegative val="0"/>
          <c:dLbls>
            <c:dLbl>
              <c:idx val="0"/>
              <c:layout>
                <c:manualLayout>
                  <c:x val="-2.2315196350007004E-3"/>
                  <c:y val="0.3559868390317478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7CF-4398-8924-2C17E43D3E33}"/>
                </c:ext>
              </c:extLst>
            </c:dLbl>
            <c:dLbl>
              <c:idx val="1"/>
              <c:layout>
                <c:manualLayout>
                  <c:x val="4.4630392700014008E-3"/>
                  <c:y val="0.3559868390317478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7CF-4398-8924-2C17E43D3E33}"/>
                </c:ext>
              </c:extLst>
            </c:dLbl>
            <c:numFmt formatCode="#,##0.0" sourceLinked="0"/>
            <c:spPr>
              <a:gradFill flip="none" rotWithShape="1">
                <a:gsLst>
                  <a:gs pos="0">
                    <a:schemeClr val="accent6">
                      <a:lumMod val="5000"/>
                      <a:lumOff val="95000"/>
                    </a:schemeClr>
                  </a:gs>
                  <a:gs pos="74000">
                    <a:schemeClr val="accent6">
                      <a:lumMod val="45000"/>
                      <a:lumOff val="55000"/>
                    </a:schemeClr>
                  </a:gs>
                  <a:gs pos="83000">
                    <a:schemeClr val="accent6">
                      <a:lumMod val="45000"/>
                      <a:lumOff val="55000"/>
                    </a:schemeClr>
                  </a:gs>
                  <a:gs pos="100000">
                    <a:schemeClr val="accent6">
                      <a:lumMod val="30000"/>
                      <a:lumOff val="70000"/>
                    </a:schemeClr>
                  </a:gs>
                </a:gsLst>
                <a:lin ang="5400000" scaled="1"/>
                <a:tileRect/>
              </a:gradFill>
              <a:ln>
                <a:noFill/>
              </a:ln>
              <a:effectLst/>
            </c:spPr>
            <c:txPr>
              <a:bodyPr wrap="square" lIns="38100" tIns="19050" rIns="38100" bIns="19050" anchor="ctr">
                <a:spAutoFit/>
              </a:bodyPr>
              <a:lstStyle/>
              <a:p>
                <a:pPr>
                  <a:defRPr sz="800">
                    <a:latin typeface="Arial Narrow" panose="020B0606020202030204" pitchFamily="34" charset="0"/>
                  </a:defRPr>
                </a:pPr>
                <a:endParaRPr lang="sk-SK"/>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[2]vydavky!$P$104:$P$125</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[2]vydavky!$H$97:$H$118</c:f>
              <c:numCache>
                <c:formatCode>General</c:formatCode>
                <c:ptCount val="22"/>
                <c:pt idx="0">
                  <c:v>12.143847260363541</c:v>
                </c:pt>
                <c:pt idx="1">
                  <c:v>12.887837772540092</c:v>
                </c:pt>
                <c:pt idx="2">
                  <c:v>12.773661795931579</c:v>
                </c:pt>
                <c:pt idx="3">
                  <c:v>12.982615785061169</c:v>
                </c:pt>
                <c:pt idx="4">
                  <c:v>10.77299594609538</c:v>
                </c:pt>
                <c:pt idx="5">
                  <c:v>7.108750080980454</c:v>
                </c:pt>
                <c:pt idx="6">
                  <c:v>5.0826484374445995</c:v>
                </c:pt>
                <c:pt idx="7">
                  <c:v>5.5377724010528215</c:v>
                </c:pt>
                <c:pt idx="8">
                  <c:v>6.4876647718675144</c:v>
                </c:pt>
                <c:pt idx="9">
                  <c:v>6.3739883049765789</c:v>
                </c:pt>
                <c:pt idx="10">
                  <c:v>5.098454249841299</c:v>
                </c:pt>
                <c:pt idx="11">
                  <c:v>5.0729365281916419</c:v>
                </c:pt>
                <c:pt idx="12">
                  <c:v>5.3705075876504447</c:v>
                </c:pt>
                <c:pt idx="13">
                  <c:v>5.2581791447126571</c:v>
                </c:pt>
                <c:pt idx="14">
                  <c:v>5.1540772875988949</c:v>
                </c:pt>
                <c:pt idx="15">
                  <c:v>5.0667078785068886</c:v>
                </c:pt>
                <c:pt idx="16">
                  <c:v>4.8367300065392849</c:v>
                </c:pt>
                <c:pt idx="17">
                  <c:v>4.3848641757575839</c:v>
                </c:pt>
                <c:pt idx="18">
                  <c:v>3.9594823775101951</c:v>
                </c:pt>
                <c:pt idx="19">
                  <c:v>4.0333864783559878</c:v>
                </c:pt>
                <c:pt idx="20">
                  <c:v>3.363915740496469</c:v>
                </c:pt>
                <c:pt idx="21">
                  <c:v>3.3607150821605201</c:v>
                </c:pt>
              </c:numCache>
            </c:numRef>
          </c:val>
          <c:extLst>
            <c:ext xmlns:c16="http://schemas.microsoft.com/office/drawing/2014/chart" uri="{C3380CC4-5D6E-409C-BE32-E72D297353CC}">
              <c16:uniqueId val="{00000002-C7CF-4398-8924-2C17E43D3E33}"/>
            </c:ext>
          </c:extLst>
        </c:ser>
        <c:dLbls>
          <c:showLegendKey val="0"/>
          <c:showVal val="0"/>
          <c:showCatName val="0"/>
          <c:showSerName val="0"/>
          <c:showPercent val="0"/>
          <c:showBubbleSize val="0"/>
        </c:dLbls>
        <c:gapWidth val="48"/>
        <c:axId val="-1957027872"/>
        <c:axId val="-1957033856"/>
      </c:barChart>
      <c:catAx>
        <c:axId val="-1957027872"/>
        <c:scaling>
          <c:orientation val="minMax"/>
        </c:scaling>
        <c:delete val="0"/>
        <c:axPos val="b"/>
        <c:numFmt formatCode="General" sourceLinked="0"/>
        <c:majorTickMark val="out"/>
        <c:minorTickMark val="none"/>
        <c:tickLblPos val="nextTo"/>
        <c:txPr>
          <a:bodyPr/>
          <a:lstStyle/>
          <a:p>
            <a:pPr>
              <a:defRPr sz="800">
                <a:latin typeface="Arial Narrow" pitchFamily="34" charset="0"/>
              </a:defRPr>
            </a:pPr>
            <a:endParaRPr lang="sk-SK"/>
          </a:p>
        </c:txPr>
        <c:crossAx val="-1957033856"/>
        <c:crosses val="autoZero"/>
        <c:auto val="1"/>
        <c:lblAlgn val="ctr"/>
        <c:lblOffset val="100"/>
        <c:noMultiLvlLbl val="0"/>
      </c:catAx>
      <c:valAx>
        <c:axId val="-1957033856"/>
        <c:scaling>
          <c:orientation val="minMax"/>
          <c:max val="20"/>
          <c:min val="0"/>
        </c:scaling>
        <c:delete val="0"/>
        <c:axPos val="l"/>
        <c:majorGridlines/>
        <c:numFmt formatCode="0" sourceLinked="0"/>
        <c:majorTickMark val="out"/>
        <c:minorTickMark val="none"/>
        <c:tickLblPos val="nextTo"/>
        <c:txPr>
          <a:bodyPr/>
          <a:lstStyle/>
          <a:p>
            <a:pPr>
              <a:defRPr sz="800">
                <a:latin typeface="Arial Narrow" panose="020B0606020202030204" pitchFamily="34" charset="0"/>
              </a:defRPr>
            </a:pPr>
            <a:endParaRPr lang="sk-SK"/>
          </a:p>
        </c:txPr>
        <c:crossAx val="-1957027872"/>
        <c:crosses val="autoZero"/>
        <c:crossBetween val="between"/>
        <c:majorUnit val="5"/>
      </c:valAx>
      <c:spPr>
        <a:solidFill>
          <a:schemeClr val="bg1"/>
        </a:solidFill>
      </c:spPr>
    </c:plotArea>
    <c:plotVisOnly val="1"/>
    <c:dispBlanksAs val="gap"/>
    <c:showDLblsOverMax val="0"/>
  </c:chart>
  <c:spPr>
    <a:solidFill>
      <a:schemeClr val="bg1"/>
    </a:solidFill>
    <a:ln>
      <a:solidFill>
        <a:srgbClr val="C00000"/>
      </a:solidFill>
    </a:ln>
  </c:sp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16221065587141"/>
          <c:y val="5.2380952380952382E-2"/>
          <c:w val="0.87105434027777773"/>
          <c:h val="0.73196962879640048"/>
        </c:manualLayout>
      </c:layout>
      <c:barChart>
        <c:barDir val="col"/>
        <c:grouping val="clustered"/>
        <c:varyColors val="0"/>
        <c:ser>
          <c:idx val="0"/>
          <c:order val="0"/>
          <c:tx>
            <c:strRef>
              <c:f>'D:\ESSPROS\Publikacia_2021\[OPR_Publikácia Grafy rok 2019.xlsx]druhy dávok'!$B$11</c:f>
              <c:strCache>
                <c:ptCount val="1"/>
                <c:pt idx="0">
                  <c:v>pravidelné peňažné dávky</c:v>
                </c:pt>
              </c:strCache>
            </c:strRef>
          </c:tx>
          <c:spPr>
            <a:solidFill>
              <a:schemeClr val="accent1"/>
            </a:solidFill>
            <a:ln>
              <a:noFill/>
            </a:ln>
            <a:effectLst/>
          </c:spPr>
          <c:invertIfNegative val="0"/>
          <c:cat>
            <c:strRef>
              <c:f>'[2]druhy dávok'!$A$12:$A$33</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'[2]druhy dávok'!$B$12:$B$33</c:f>
              <c:numCache>
                <c:formatCode>General</c:formatCode>
                <c:ptCount val="22"/>
                <c:pt idx="0">
                  <c:v>1041.54</c:v>
                </c:pt>
                <c:pt idx="1">
                  <c:v>1041.17</c:v>
                </c:pt>
                <c:pt idx="2">
                  <c:v>1017.3</c:v>
                </c:pt>
                <c:pt idx="3">
                  <c:v>1014.89</c:v>
                </c:pt>
                <c:pt idx="4">
                  <c:v>1060.57</c:v>
                </c:pt>
                <c:pt idx="5">
                  <c:v>1039.8699999999999</c:v>
                </c:pt>
                <c:pt idx="6">
                  <c:v>1017.82</c:v>
                </c:pt>
                <c:pt idx="7">
                  <c:v>1070.56</c:v>
                </c:pt>
                <c:pt idx="8">
                  <c:v>1113.55</c:v>
                </c:pt>
                <c:pt idx="9">
                  <c:v>1179.8399999999999</c:v>
                </c:pt>
                <c:pt idx="10">
                  <c:v>1187.52</c:v>
                </c:pt>
                <c:pt idx="11">
                  <c:v>1336.56</c:v>
                </c:pt>
                <c:pt idx="12">
                  <c:v>1395.61</c:v>
                </c:pt>
                <c:pt idx="13">
                  <c:v>1386.89</c:v>
                </c:pt>
                <c:pt idx="14">
                  <c:v>1393.23</c:v>
                </c:pt>
                <c:pt idx="15">
                  <c:v>1411.15</c:v>
                </c:pt>
                <c:pt idx="16">
                  <c:v>1457.39</c:v>
                </c:pt>
                <c:pt idx="17">
                  <c:v>1492</c:v>
                </c:pt>
                <c:pt idx="18">
                  <c:v>1520.63</c:v>
                </c:pt>
                <c:pt idx="19">
                  <c:v>1566.46</c:v>
                </c:pt>
                <c:pt idx="20">
                  <c:v>1583.08</c:v>
                </c:pt>
                <c:pt idx="21">
                  <c:v>1634.18</c:v>
                </c:pt>
              </c:numCache>
            </c:numRef>
          </c:val>
          <c:extLst>
            <c:ext xmlns:c16="http://schemas.microsoft.com/office/drawing/2014/chart" uri="{C3380CC4-5D6E-409C-BE32-E72D297353CC}">
              <c16:uniqueId val="{00000000-5D7C-4E3C-9549-F30ECC141C00}"/>
            </c:ext>
          </c:extLst>
        </c:ser>
        <c:ser>
          <c:idx val="2"/>
          <c:order val="2"/>
          <c:tx>
            <c:strRef>
              <c:f>'D:\ESSPROS\Publikacia_2021\[OPR_Publikácia Grafy rok 2019.xlsx]druhy dávok'!$D$11</c:f>
              <c:strCache>
                <c:ptCount val="1"/>
                <c:pt idx="0">
                  <c:v>vecné dávky</c:v>
                </c:pt>
              </c:strCache>
            </c:strRef>
          </c:tx>
          <c:spPr>
            <a:solidFill>
              <a:schemeClr val="accent3"/>
            </a:solidFill>
            <a:ln>
              <a:noFill/>
            </a:ln>
            <a:effectLst/>
          </c:spPr>
          <c:invertIfNegative val="0"/>
          <c:cat>
            <c:strRef>
              <c:f>'[2]druhy dávok'!$A$12:$A$33</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'[2]druhy dávok'!$D$12:$D$33</c:f>
              <c:numCache>
                <c:formatCode>General</c:formatCode>
                <c:ptCount val="22"/>
                <c:pt idx="0">
                  <c:v>541.36</c:v>
                </c:pt>
                <c:pt idx="1">
                  <c:v>521.35</c:v>
                </c:pt>
                <c:pt idx="2">
                  <c:v>550.36</c:v>
                </c:pt>
                <c:pt idx="3">
                  <c:v>569.83000000000004</c:v>
                </c:pt>
                <c:pt idx="4">
                  <c:v>609.98</c:v>
                </c:pt>
                <c:pt idx="5">
                  <c:v>601.19000000000005</c:v>
                </c:pt>
                <c:pt idx="6">
                  <c:v>559.75</c:v>
                </c:pt>
                <c:pt idx="7">
                  <c:v>563.21</c:v>
                </c:pt>
                <c:pt idx="8">
                  <c:v>597.26</c:v>
                </c:pt>
                <c:pt idx="9">
                  <c:v>648.45000000000005</c:v>
                </c:pt>
                <c:pt idx="10">
                  <c:v>722.11</c:v>
                </c:pt>
                <c:pt idx="11">
                  <c:v>733.38</c:v>
                </c:pt>
                <c:pt idx="12">
                  <c:v>735.29</c:v>
                </c:pt>
                <c:pt idx="13">
                  <c:v>719.01</c:v>
                </c:pt>
                <c:pt idx="14">
                  <c:v>728.9</c:v>
                </c:pt>
                <c:pt idx="15">
                  <c:v>755.89</c:v>
                </c:pt>
                <c:pt idx="16">
                  <c:v>791.88</c:v>
                </c:pt>
                <c:pt idx="17">
                  <c:v>811.8</c:v>
                </c:pt>
                <c:pt idx="18">
                  <c:v>869.57</c:v>
                </c:pt>
                <c:pt idx="19">
                  <c:v>859.43</c:v>
                </c:pt>
                <c:pt idx="20">
                  <c:v>905.65</c:v>
                </c:pt>
                <c:pt idx="21">
                  <c:v>899.99</c:v>
                </c:pt>
              </c:numCache>
            </c:numRef>
          </c:val>
          <c:extLst>
            <c:ext xmlns:c16="http://schemas.microsoft.com/office/drawing/2014/chart" uri="{C3380CC4-5D6E-409C-BE32-E72D297353CC}">
              <c16:uniqueId val="{00000001-5D7C-4E3C-9549-F30ECC141C00}"/>
            </c:ext>
          </c:extLst>
        </c:ser>
        <c:dLbls>
          <c:showLegendKey val="0"/>
          <c:showVal val="0"/>
          <c:showCatName val="0"/>
          <c:showSerName val="0"/>
          <c:showPercent val="0"/>
          <c:showBubbleSize val="0"/>
        </c:dLbls>
        <c:gapWidth val="75"/>
        <c:overlap val="5"/>
        <c:axId val="-1957040928"/>
        <c:axId val="-1957038208"/>
      </c:barChart>
      <c:barChart>
        <c:barDir val="col"/>
        <c:grouping val="clustered"/>
        <c:varyColors val="0"/>
        <c:ser>
          <c:idx val="1"/>
          <c:order val="1"/>
          <c:tx>
            <c:strRef>
              <c:f>'D:\ESSPROS\Publikacia_2021\[OPR_Publikácia Grafy rok 2019.xlsx]druhy dávok'!$C$11</c:f>
              <c:strCache>
                <c:ptCount val="1"/>
                <c:pt idx="0">
                  <c:v>jednorazové peňažné dávky</c:v>
                </c:pt>
              </c:strCache>
            </c:strRef>
          </c:tx>
          <c:spPr>
            <a:solidFill>
              <a:schemeClr val="accent2"/>
            </a:solidFill>
            <a:ln>
              <a:noFill/>
            </a:ln>
            <a:effectLst/>
          </c:spPr>
          <c:invertIfNegative val="0"/>
          <c:cat>
            <c:strRef>
              <c:f>'[2]druhy dávok'!$A$12:$A$33</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'[2]druhy dávok'!$C$12:$C$33</c:f>
              <c:numCache>
                <c:formatCode>General</c:formatCode>
                <c:ptCount val="22"/>
                <c:pt idx="0">
                  <c:v>35.32</c:v>
                </c:pt>
                <c:pt idx="1">
                  <c:v>44.51</c:v>
                </c:pt>
                <c:pt idx="2">
                  <c:v>28.63</c:v>
                </c:pt>
                <c:pt idx="3">
                  <c:v>27.37</c:v>
                </c:pt>
                <c:pt idx="4">
                  <c:v>37.090000000000003</c:v>
                </c:pt>
                <c:pt idx="5">
                  <c:v>63.64</c:v>
                </c:pt>
                <c:pt idx="6">
                  <c:v>68.75</c:v>
                </c:pt>
                <c:pt idx="7">
                  <c:v>35.369999999999997</c:v>
                </c:pt>
                <c:pt idx="8">
                  <c:v>42.7</c:v>
                </c:pt>
                <c:pt idx="9">
                  <c:v>50.75</c:v>
                </c:pt>
                <c:pt idx="10">
                  <c:v>57.34</c:v>
                </c:pt>
                <c:pt idx="11">
                  <c:v>85.09</c:v>
                </c:pt>
                <c:pt idx="12">
                  <c:v>84.42</c:v>
                </c:pt>
                <c:pt idx="13">
                  <c:v>79.78</c:v>
                </c:pt>
                <c:pt idx="14">
                  <c:v>72.75</c:v>
                </c:pt>
                <c:pt idx="15">
                  <c:v>75.73</c:v>
                </c:pt>
                <c:pt idx="16">
                  <c:v>70.7</c:v>
                </c:pt>
                <c:pt idx="17">
                  <c:v>68.73</c:v>
                </c:pt>
                <c:pt idx="18">
                  <c:v>68.989999999999995</c:v>
                </c:pt>
                <c:pt idx="19">
                  <c:v>66.790000000000006</c:v>
                </c:pt>
                <c:pt idx="20">
                  <c:v>56.32</c:v>
                </c:pt>
                <c:pt idx="21">
                  <c:v>56.2</c:v>
                </c:pt>
              </c:numCache>
            </c:numRef>
          </c:val>
          <c:extLst>
            <c:ext xmlns:c16="http://schemas.microsoft.com/office/drawing/2014/chart" uri="{C3380CC4-5D6E-409C-BE32-E72D297353CC}">
              <c16:uniqueId val="{00000002-5D7C-4E3C-9549-F30ECC141C00}"/>
            </c:ext>
          </c:extLst>
        </c:ser>
        <c:dLbls>
          <c:showLegendKey val="0"/>
          <c:showVal val="0"/>
          <c:showCatName val="0"/>
          <c:showSerName val="0"/>
          <c:showPercent val="0"/>
          <c:showBubbleSize val="0"/>
        </c:dLbls>
        <c:gapWidth val="231"/>
        <c:overlap val="68"/>
        <c:axId val="-289051920"/>
        <c:axId val="-1957036576"/>
      </c:barChart>
      <c:catAx>
        <c:axId val="-1957040928"/>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0"/>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1957038208"/>
        <c:crosses val="autoZero"/>
        <c:auto val="1"/>
        <c:lblAlgn val="ctr"/>
        <c:lblOffset val="100"/>
        <c:noMultiLvlLbl val="0"/>
      </c:catAx>
      <c:valAx>
        <c:axId val="-19570382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Narrow" panose="020B0606020202030204" pitchFamily="34" charset="0"/>
                <a:ea typeface="+mn-ea"/>
                <a:cs typeface="+mn-cs"/>
              </a:defRPr>
            </a:pPr>
            <a:endParaRPr lang="sk-SK"/>
          </a:p>
        </c:txPr>
        <c:crossAx val="-1957040928"/>
        <c:crosses val="autoZero"/>
        <c:crossBetween val="between"/>
        <c:majorUnit val="200"/>
      </c:valAx>
      <c:valAx>
        <c:axId val="-1957036576"/>
        <c:scaling>
          <c:orientation val="minMax"/>
          <c:max val="160"/>
        </c:scaling>
        <c:delete val="1"/>
        <c:axPos val="r"/>
        <c:numFmt formatCode="#,##0" sourceLinked="0"/>
        <c:majorTickMark val="out"/>
        <c:minorTickMark val="none"/>
        <c:tickLblPos val="nextTo"/>
        <c:crossAx val="-289051920"/>
        <c:crosses val="max"/>
        <c:crossBetween val="between"/>
        <c:majorUnit val="10"/>
      </c:valAx>
      <c:catAx>
        <c:axId val="-289051920"/>
        <c:scaling>
          <c:orientation val="minMax"/>
        </c:scaling>
        <c:delete val="1"/>
        <c:axPos val="b"/>
        <c:numFmt formatCode="General" sourceLinked="1"/>
        <c:majorTickMark val="out"/>
        <c:minorTickMark val="none"/>
        <c:tickLblPos val="nextTo"/>
        <c:crossAx val="-1957036576"/>
        <c:crosses val="autoZero"/>
        <c:auto val="1"/>
        <c:lblAlgn val="ctr"/>
        <c:lblOffset val="100"/>
        <c:noMultiLvlLbl val="0"/>
      </c:catAx>
      <c:spPr>
        <a:noFill/>
        <a:ln>
          <a:noFill/>
        </a:ln>
        <a:effectLst/>
      </c:spPr>
    </c:plotArea>
    <c:legend>
      <c:legendPos val="b"/>
      <c:layout>
        <c:manualLayout>
          <c:xMode val="edge"/>
          <c:yMode val="edge"/>
          <c:x val="0.17912878787878789"/>
          <c:y val="0.90910423697037868"/>
          <c:w val="0.6926647569444444"/>
          <c:h val="9.0895609318996415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Narrow" panose="020B0606020202030204" pitchFamily="34" charset="0"/>
              <a:ea typeface="+mn-ea"/>
              <a:cs typeface="+mn-cs"/>
            </a:defRPr>
          </a:pPr>
          <a:endParaRPr lang="sk-SK"/>
        </a:p>
      </c:txPr>
    </c:legend>
    <c:plotVisOnly val="1"/>
    <c:dispBlanksAs val="gap"/>
    <c:showDLblsOverMax val="0"/>
  </c:chart>
  <c:spPr>
    <a:solidFill>
      <a:schemeClr val="bg1"/>
    </a:solidFill>
    <a:ln w="9525" cap="flat" cmpd="sng" algn="ctr">
      <a:solidFill>
        <a:srgbClr val="FF0000"/>
      </a:solidFill>
      <a:round/>
    </a:ln>
    <a:effectLst/>
  </c:spPr>
  <c:txPr>
    <a:bodyPr/>
    <a:lstStyle/>
    <a:p>
      <a:pPr>
        <a:defRPr/>
      </a:pPr>
      <a:endParaRPr lang="sk-SK"/>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6424409203664348E-2"/>
          <c:y val="5.0925925925925923E-2"/>
          <c:w val="0.89953187908749555"/>
          <c:h val="0.68662658227848095"/>
        </c:manualLayout>
      </c:layout>
      <c:barChart>
        <c:barDir val="col"/>
        <c:grouping val="percentStacked"/>
        <c:varyColors val="0"/>
        <c:ser>
          <c:idx val="0"/>
          <c:order val="0"/>
          <c:tx>
            <c:strRef>
              <c:f>'D:\ESSPROS\Publikacia_2021\[OPR_Publikácia Grafy rok 2019.xlsx]vydavky'!$F$68</c:f>
              <c:strCache>
                <c:ptCount val="1"/>
                <c:pt idx="0">
                  <c:v>Choroba/zdrav.starostlivosť</c:v>
                </c:pt>
              </c:strCache>
            </c:strRef>
          </c:tx>
          <c:spPr>
            <a:solidFill>
              <a:schemeClr val="accent5">
                <a:lumMod val="75000"/>
              </a:schemeClr>
            </a:solidFill>
            <a:ln>
              <a:noFill/>
            </a:ln>
            <a:effectLst/>
          </c:spPr>
          <c:invertIfNegative val="0"/>
          <c:cat>
            <c:strRef>
              <c:f>[2]vydavky!$E$69:$E$90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[2]vydavky!$F$69:$F$90</c:f>
              <c:numCache>
                <c:formatCode>General</c:formatCode>
                <c:ptCount val="22"/>
                <c:pt idx="0">
                  <c:v>36.049999999999997</c:v>
                </c:pt>
                <c:pt idx="1">
                  <c:v>34.04</c:v>
                </c:pt>
                <c:pt idx="2">
                  <c:v>34.85</c:v>
                </c:pt>
                <c:pt idx="3">
                  <c:v>34.96</c:v>
                </c:pt>
                <c:pt idx="4">
                  <c:v>34.200000000000003</c:v>
                </c:pt>
                <c:pt idx="5">
                  <c:v>32.270000000000003</c:v>
                </c:pt>
                <c:pt idx="6">
                  <c:v>30</c:v>
                </c:pt>
                <c:pt idx="7">
                  <c:v>29.9</c:v>
                </c:pt>
                <c:pt idx="8">
                  <c:v>30.18</c:v>
                </c:pt>
                <c:pt idx="9">
                  <c:v>30.7</c:v>
                </c:pt>
                <c:pt idx="10">
                  <c:v>32.57</c:v>
                </c:pt>
                <c:pt idx="11">
                  <c:v>31.45</c:v>
                </c:pt>
                <c:pt idx="12">
                  <c:v>30.62</c:v>
                </c:pt>
                <c:pt idx="13">
                  <c:v>30.43</c:v>
                </c:pt>
                <c:pt idx="14">
                  <c:v>30.44</c:v>
                </c:pt>
                <c:pt idx="15">
                  <c:v>30.84</c:v>
                </c:pt>
                <c:pt idx="16">
                  <c:v>30.9</c:v>
                </c:pt>
                <c:pt idx="17">
                  <c:v>31.24</c:v>
                </c:pt>
                <c:pt idx="18">
                  <c:v>32.5</c:v>
                </c:pt>
                <c:pt idx="19">
                  <c:v>31.73</c:v>
                </c:pt>
                <c:pt idx="20">
                  <c:v>32.83</c:v>
                </c:pt>
                <c:pt idx="21">
                  <c:v>32.58</c:v>
                </c:pt>
              </c:numCache>
            </c:numRef>
          </c:val>
          <c:extLst>
            <c:ext xmlns:c16="http://schemas.microsoft.com/office/drawing/2014/chart" uri="{C3380CC4-5D6E-409C-BE32-E72D297353CC}">
              <c16:uniqueId val="{00000000-93C1-48A3-80BF-559C8AAD01FA}"/>
            </c:ext>
          </c:extLst>
        </c:ser>
        <c:ser>
          <c:idx val="1"/>
          <c:order val="1"/>
          <c:tx>
            <c:strRef>
              <c:f>'D:\ESSPROS\Publikacia_2021\[OPR_Publikácia Grafy rok 2019.xlsx]vydavky'!$G$68</c:f>
              <c:strCache>
                <c:ptCount val="1"/>
                <c:pt idx="0">
                  <c:v>Zdrav. postihnutie</c:v>
                </c:pt>
              </c:strCache>
            </c:strRef>
          </c:tx>
          <c:spPr>
            <a:solidFill>
              <a:schemeClr val="accent1">
                <a:lumMod val="40000"/>
                <a:lumOff val="60000"/>
              </a:schemeClr>
            </a:solidFill>
            <a:ln>
              <a:noFill/>
            </a:ln>
            <a:effectLst/>
          </c:spPr>
          <c:invertIfNegative val="0"/>
          <c:cat>
            <c:strRef>
              <c:f>[2]vydavky!$E$69:$E$90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[2]vydavky!$G$69:$G$90</c:f>
              <c:numCache>
                <c:formatCode>General</c:formatCode>
                <c:ptCount val="22"/>
                <c:pt idx="0">
                  <c:v>6.53</c:v>
                </c:pt>
                <c:pt idx="1">
                  <c:v>6.78</c:v>
                </c:pt>
                <c:pt idx="2">
                  <c:v>7.64</c:v>
                </c:pt>
                <c:pt idx="3">
                  <c:v>8.1300000000000008</c:v>
                </c:pt>
                <c:pt idx="4">
                  <c:v>8.83</c:v>
                </c:pt>
                <c:pt idx="5">
                  <c:v>8.76</c:v>
                </c:pt>
                <c:pt idx="6">
                  <c:v>7.89</c:v>
                </c:pt>
                <c:pt idx="7">
                  <c:v>8.24</c:v>
                </c:pt>
                <c:pt idx="8">
                  <c:v>8.5</c:v>
                </c:pt>
                <c:pt idx="9">
                  <c:v>8.5</c:v>
                </c:pt>
                <c:pt idx="10">
                  <c:v>9.01</c:v>
                </c:pt>
                <c:pt idx="11">
                  <c:v>8.4700000000000006</c:v>
                </c:pt>
                <c:pt idx="12">
                  <c:v>8.67</c:v>
                </c:pt>
                <c:pt idx="13">
                  <c:v>8.85</c:v>
                </c:pt>
                <c:pt idx="14">
                  <c:v>8.9600000000000009</c:v>
                </c:pt>
                <c:pt idx="15">
                  <c:v>8.99</c:v>
                </c:pt>
                <c:pt idx="16">
                  <c:v>9</c:v>
                </c:pt>
                <c:pt idx="17">
                  <c:v>8.84</c:v>
                </c:pt>
                <c:pt idx="18">
                  <c:v>8.82</c:v>
                </c:pt>
                <c:pt idx="19">
                  <c:v>8.7899999999999991</c:v>
                </c:pt>
                <c:pt idx="20">
                  <c:v>8.5</c:v>
                </c:pt>
                <c:pt idx="21">
                  <c:v>8.3699999999999992</c:v>
                </c:pt>
              </c:numCache>
            </c:numRef>
          </c:val>
          <c:extLst>
            <c:ext xmlns:c16="http://schemas.microsoft.com/office/drawing/2014/chart" uri="{C3380CC4-5D6E-409C-BE32-E72D297353CC}">
              <c16:uniqueId val="{00000001-93C1-48A3-80BF-559C8AAD01FA}"/>
            </c:ext>
          </c:extLst>
        </c:ser>
        <c:ser>
          <c:idx val="2"/>
          <c:order val="2"/>
          <c:tx>
            <c:strRef>
              <c:f>'D:\ESSPROS\Publikacia_2021\[OPR_Publikácia Grafy rok 2019.xlsx]vydavky'!$H$68</c:f>
              <c:strCache>
                <c:ptCount val="1"/>
                <c:pt idx="0">
                  <c:v>Staroba</c:v>
                </c:pt>
              </c:strCache>
            </c:strRef>
          </c:tx>
          <c:spPr>
            <a:solidFill>
              <a:srgbClr val="C00000"/>
            </a:solidFill>
            <a:ln>
              <a:noFill/>
            </a:ln>
            <a:effectLst/>
          </c:spPr>
          <c:invertIfNegative val="0"/>
          <c:cat>
            <c:strRef>
              <c:f>[2]vydavky!$E$69:$E$90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[2]vydavky!$H$69:$H$90</c:f>
              <c:numCache>
                <c:formatCode>General</c:formatCode>
                <c:ptCount val="22"/>
                <c:pt idx="0">
                  <c:v>31.08</c:v>
                </c:pt>
                <c:pt idx="1">
                  <c:v>31.35</c:v>
                </c:pt>
                <c:pt idx="2">
                  <c:v>32.17</c:v>
                </c:pt>
                <c:pt idx="3">
                  <c:v>33.21</c:v>
                </c:pt>
                <c:pt idx="4">
                  <c:v>33.369999999999997</c:v>
                </c:pt>
                <c:pt idx="5">
                  <c:v>35.450000000000003</c:v>
                </c:pt>
                <c:pt idx="6">
                  <c:v>36.99</c:v>
                </c:pt>
                <c:pt idx="7">
                  <c:v>39.08</c:v>
                </c:pt>
                <c:pt idx="8">
                  <c:v>38.479999999999997</c:v>
                </c:pt>
                <c:pt idx="9">
                  <c:v>38.18</c:v>
                </c:pt>
                <c:pt idx="10">
                  <c:v>37.07</c:v>
                </c:pt>
                <c:pt idx="11">
                  <c:v>37.200000000000003</c:v>
                </c:pt>
                <c:pt idx="12">
                  <c:v>37.520000000000003</c:v>
                </c:pt>
                <c:pt idx="13">
                  <c:v>38.26</c:v>
                </c:pt>
                <c:pt idx="14">
                  <c:v>38.880000000000003</c:v>
                </c:pt>
                <c:pt idx="15">
                  <c:v>39.380000000000003</c:v>
                </c:pt>
                <c:pt idx="16">
                  <c:v>40.51</c:v>
                </c:pt>
                <c:pt idx="17">
                  <c:v>40.78</c:v>
                </c:pt>
                <c:pt idx="18">
                  <c:v>40.119999999999997</c:v>
                </c:pt>
                <c:pt idx="19">
                  <c:v>40.909999999999997</c:v>
                </c:pt>
                <c:pt idx="20">
                  <c:v>40.67</c:v>
                </c:pt>
                <c:pt idx="21">
                  <c:v>40.69</c:v>
                </c:pt>
              </c:numCache>
            </c:numRef>
          </c:val>
          <c:extLst>
            <c:ext xmlns:c16="http://schemas.microsoft.com/office/drawing/2014/chart" uri="{C3380CC4-5D6E-409C-BE32-E72D297353CC}">
              <c16:uniqueId val="{00000002-93C1-48A3-80BF-559C8AAD01FA}"/>
            </c:ext>
          </c:extLst>
        </c:ser>
        <c:ser>
          <c:idx val="3"/>
          <c:order val="3"/>
          <c:tx>
            <c:strRef>
              <c:f>'D:\ESSPROS\Publikacia_2021\[OPR_Publikácia Grafy rok 2019.xlsx]vydavky'!$I$68</c:f>
              <c:strCache>
                <c:ptCount val="1"/>
                <c:pt idx="0">
                  <c:v>Pozostalí</c:v>
                </c:pt>
              </c:strCache>
            </c:strRef>
          </c:tx>
          <c:spPr>
            <a:solidFill>
              <a:schemeClr val="accent6">
                <a:lumMod val="75000"/>
              </a:schemeClr>
            </a:solidFill>
            <a:ln>
              <a:noFill/>
            </a:ln>
            <a:effectLst/>
          </c:spPr>
          <c:invertIfNegative val="0"/>
          <c:cat>
            <c:strRef>
              <c:f>[2]vydavky!$E$69:$E$90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[2]vydavky!$I$69:$I$90</c:f>
              <c:numCache>
                <c:formatCode>General</c:formatCode>
                <c:ptCount val="22"/>
                <c:pt idx="0">
                  <c:v>5.24</c:v>
                </c:pt>
                <c:pt idx="1">
                  <c:v>5.14</c:v>
                </c:pt>
                <c:pt idx="2">
                  <c:v>5.05</c:v>
                </c:pt>
                <c:pt idx="3">
                  <c:v>5.05</c:v>
                </c:pt>
                <c:pt idx="4">
                  <c:v>5.1100000000000003</c:v>
                </c:pt>
                <c:pt idx="5">
                  <c:v>4.93</c:v>
                </c:pt>
                <c:pt idx="6">
                  <c:v>5.29</c:v>
                </c:pt>
                <c:pt idx="7">
                  <c:v>5.52</c:v>
                </c:pt>
                <c:pt idx="8">
                  <c:v>5.44</c:v>
                </c:pt>
                <c:pt idx="9">
                  <c:v>5.51</c:v>
                </c:pt>
                <c:pt idx="10">
                  <c:v>5.36</c:v>
                </c:pt>
                <c:pt idx="11">
                  <c:v>5.28</c:v>
                </c:pt>
                <c:pt idx="12">
                  <c:v>5.26</c:v>
                </c:pt>
                <c:pt idx="13">
                  <c:v>5.21</c:v>
                </c:pt>
                <c:pt idx="14">
                  <c:v>5.18</c:v>
                </c:pt>
                <c:pt idx="15">
                  <c:v>5.16</c:v>
                </c:pt>
                <c:pt idx="16">
                  <c:v>5.13</c:v>
                </c:pt>
                <c:pt idx="17">
                  <c:v>5.12</c:v>
                </c:pt>
                <c:pt idx="18">
                  <c:v>4.8499999999999996</c:v>
                </c:pt>
                <c:pt idx="19">
                  <c:v>4.88</c:v>
                </c:pt>
                <c:pt idx="20">
                  <c:v>4.96</c:v>
                </c:pt>
                <c:pt idx="21">
                  <c:v>4.71</c:v>
                </c:pt>
              </c:numCache>
            </c:numRef>
          </c:val>
          <c:extLst>
            <c:ext xmlns:c16="http://schemas.microsoft.com/office/drawing/2014/chart" uri="{C3380CC4-5D6E-409C-BE32-E72D297353CC}">
              <c16:uniqueId val="{00000003-93C1-48A3-80BF-559C8AAD01FA}"/>
            </c:ext>
          </c:extLst>
        </c:ser>
        <c:ser>
          <c:idx val="4"/>
          <c:order val="4"/>
          <c:tx>
            <c:strRef>
              <c:f>'D:\ESSPROS\Publikacia_2021\[OPR_Publikácia Grafy rok 2019.xlsx]vydavky'!$J$68</c:f>
              <c:strCache>
                <c:ptCount val="1"/>
                <c:pt idx="0">
                  <c:v>Rodina/ deti</c:v>
                </c:pt>
              </c:strCache>
            </c:strRef>
          </c:tx>
          <c:spPr>
            <a:solidFill>
              <a:schemeClr val="accent2">
                <a:lumMod val="60000"/>
                <a:lumOff val="40000"/>
              </a:schemeClr>
            </a:solidFill>
            <a:ln>
              <a:noFill/>
            </a:ln>
            <a:effectLst/>
          </c:spPr>
          <c:invertIfNegative val="0"/>
          <c:cat>
            <c:strRef>
              <c:f>[2]vydavky!$E$69:$E$90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[2]vydavky!$J$69:$J$90</c:f>
              <c:numCache>
                <c:formatCode>General</c:formatCode>
                <c:ptCount val="22"/>
                <c:pt idx="0">
                  <c:v>11.06</c:v>
                </c:pt>
                <c:pt idx="1">
                  <c:v>9.84</c:v>
                </c:pt>
                <c:pt idx="2">
                  <c:v>8.9700000000000006</c:v>
                </c:pt>
                <c:pt idx="3">
                  <c:v>8.24</c:v>
                </c:pt>
                <c:pt idx="4">
                  <c:v>8.0500000000000007</c:v>
                </c:pt>
                <c:pt idx="5">
                  <c:v>8.15</c:v>
                </c:pt>
                <c:pt idx="6">
                  <c:v>10.4</c:v>
                </c:pt>
                <c:pt idx="7">
                  <c:v>10.52</c:v>
                </c:pt>
                <c:pt idx="8">
                  <c:v>10.48</c:v>
                </c:pt>
                <c:pt idx="9">
                  <c:v>10.02</c:v>
                </c:pt>
                <c:pt idx="10">
                  <c:v>9.52</c:v>
                </c:pt>
                <c:pt idx="11">
                  <c:v>9.39</c:v>
                </c:pt>
                <c:pt idx="12">
                  <c:v>9.69</c:v>
                </c:pt>
                <c:pt idx="13">
                  <c:v>9.9</c:v>
                </c:pt>
                <c:pt idx="14">
                  <c:v>9.94</c:v>
                </c:pt>
                <c:pt idx="15">
                  <c:v>9.69</c:v>
                </c:pt>
                <c:pt idx="16">
                  <c:v>9.3000000000000007</c:v>
                </c:pt>
                <c:pt idx="17">
                  <c:v>9.14</c:v>
                </c:pt>
                <c:pt idx="18">
                  <c:v>8.99</c:v>
                </c:pt>
                <c:pt idx="19">
                  <c:v>9.1</c:v>
                </c:pt>
                <c:pt idx="20">
                  <c:v>8.82</c:v>
                </c:pt>
                <c:pt idx="21">
                  <c:v>9.26</c:v>
                </c:pt>
              </c:numCache>
            </c:numRef>
          </c:val>
          <c:extLst>
            <c:ext xmlns:c16="http://schemas.microsoft.com/office/drawing/2014/chart" uri="{C3380CC4-5D6E-409C-BE32-E72D297353CC}">
              <c16:uniqueId val="{00000004-93C1-48A3-80BF-559C8AAD01FA}"/>
            </c:ext>
          </c:extLst>
        </c:ser>
        <c:ser>
          <c:idx val="5"/>
          <c:order val="5"/>
          <c:tx>
            <c:strRef>
              <c:f>'D:\ESSPROS\Publikacia_2021\[OPR_Publikácia Grafy rok 2019.xlsx]vydavky'!$K$68</c:f>
              <c:strCache>
                <c:ptCount val="1"/>
                <c:pt idx="0">
                  <c:v>Nezamestnanosť</c:v>
                </c:pt>
              </c:strCache>
            </c:strRef>
          </c:tx>
          <c:spPr>
            <a:solidFill>
              <a:srgbClr val="B4C795"/>
            </a:solidFill>
            <a:ln>
              <a:noFill/>
            </a:ln>
            <a:effectLst/>
          </c:spPr>
          <c:invertIfNegative val="0"/>
          <c:cat>
            <c:strRef>
              <c:f>[2]vydavky!$E$69:$E$90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[2]vydavky!$K$69:$K$90</c:f>
              <c:numCache>
                <c:formatCode>General</c:formatCode>
                <c:ptCount val="22"/>
                <c:pt idx="0">
                  <c:v>5.4</c:v>
                </c:pt>
                <c:pt idx="1">
                  <c:v>6.77</c:v>
                </c:pt>
                <c:pt idx="2">
                  <c:v>4.84</c:v>
                </c:pt>
                <c:pt idx="3">
                  <c:v>3.64</c:v>
                </c:pt>
                <c:pt idx="4">
                  <c:v>4.0999999999999996</c:v>
                </c:pt>
                <c:pt idx="5">
                  <c:v>5.58</c:v>
                </c:pt>
                <c:pt idx="6">
                  <c:v>6.19</c:v>
                </c:pt>
                <c:pt idx="7">
                  <c:v>3.45</c:v>
                </c:pt>
                <c:pt idx="8">
                  <c:v>3.37</c:v>
                </c:pt>
                <c:pt idx="9">
                  <c:v>3.63</c:v>
                </c:pt>
                <c:pt idx="10">
                  <c:v>3.88</c:v>
                </c:pt>
                <c:pt idx="11">
                  <c:v>5.69</c:v>
                </c:pt>
                <c:pt idx="12">
                  <c:v>5.49</c:v>
                </c:pt>
                <c:pt idx="13">
                  <c:v>4.74</c:v>
                </c:pt>
                <c:pt idx="14">
                  <c:v>4.0199999999999996</c:v>
                </c:pt>
                <c:pt idx="15">
                  <c:v>3.42</c:v>
                </c:pt>
                <c:pt idx="16">
                  <c:v>2.9</c:v>
                </c:pt>
                <c:pt idx="17">
                  <c:v>2.91</c:v>
                </c:pt>
                <c:pt idx="18">
                  <c:v>2.99</c:v>
                </c:pt>
                <c:pt idx="19">
                  <c:v>2.88</c:v>
                </c:pt>
                <c:pt idx="20">
                  <c:v>2.75</c:v>
                </c:pt>
                <c:pt idx="21">
                  <c:v>2.87</c:v>
                </c:pt>
              </c:numCache>
            </c:numRef>
          </c:val>
          <c:extLst>
            <c:ext xmlns:c16="http://schemas.microsoft.com/office/drawing/2014/chart" uri="{C3380CC4-5D6E-409C-BE32-E72D297353CC}">
              <c16:uniqueId val="{00000005-93C1-48A3-80BF-559C8AAD01FA}"/>
            </c:ext>
          </c:extLst>
        </c:ser>
        <c:ser>
          <c:idx val="6"/>
          <c:order val="6"/>
          <c:tx>
            <c:strRef>
              <c:f>'D:\ESSPROS\Publikacia_2021\[OPR_Publikácia Grafy rok 2019.xlsx]vydavky'!$L$68</c:f>
              <c:strCache>
                <c:ptCount val="1"/>
                <c:pt idx="0">
                  <c:v>Bývanie+soc. vylúčenie</c:v>
                </c:pt>
              </c:strCache>
            </c:strRef>
          </c:tx>
          <c:spPr>
            <a:solidFill>
              <a:schemeClr val="tx1"/>
            </a:solidFill>
            <a:ln>
              <a:noFill/>
            </a:ln>
            <a:effectLst/>
          </c:spPr>
          <c:invertIfNegative val="0"/>
          <c:cat>
            <c:strRef>
              <c:f>[2]vydavky!$E$69:$E$90</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[2]vydavky!$L$69:$L$90</c:f>
              <c:numCache>
                <c:formatCode>General</c:formatCode>
                <c:ptCount val="22"/>
                <c:pt idx="0">
                  <c:v>4.63</c:v>
                </c:pt>
                <c:pt idx="1">
                  <c:v>6.08</c:v>
                </c:pt>
                <c:pt idx="2">
                  <c:v>6.48</c:v>
                </c:pt>
                <c:pt idx="3">
                  <c:v>6.76</c:v>
                </c:pt>
                <c:pt idx="4">
                  <c:v>6.33</c:v>
                </c:pt>
                <c:pt idx="5">
                  <c:v>4.8600000000000003</c:v>
                </c:pt>
                <c:pt idx="6">
                  <c:v>3.25</c:v>
                </c:pt>
                <c:pt idx="7">
                  <c:v>3.28</c:v>
                </c:pt>
                <c:pt idx="8">
                  <c:v>3.55</c:v>
                </c:pt>
                <c:pt idx="9">
                  <c:v>3.46</c:v>
                </c:pt>
                <c:pt idx="10">
                  <c:v>2.6</c:v>
                </c:pt>
                <c:pt idx="11">
                  <c:v>2.5099999999999998</c:v>
                </c:pt>
                <c:pt idx="12">
                  <c:v>2.75</c:v>
                </c:pt>
                <c:pt idx="13">
                  <c:v>2.62</c:v>
                </c:pt>
                <c:pt idx="14">
                  <c:v>2.58</c:v>
                </c:pt>
                <c:pt idx="15">
                  <c:v>2.52</c:v>
                </c:pt>
                <c:pt idx="16">
                  <c:v>2.25</c:v>
                </c:pt>
                <c:pt idx="17">
                  <c:v>1.98</c:v>
                </c:pt>
                <c:pt idx="18">
                  <c:v>1.72</c:v>
                </c:pt>
                <c:pt idx="19">
                  <c:v>1.71</c:v>
                </c:pt>
                <c:pt idx="20">
                  <c:v>1.46</c:v>
                </c:pt>
                <c:pt idx="21">
                  <c:v>1.52</c:v>
                </c:pt>
              </c:numCache>
            </c:numRef>
          </c:val>
          <c:extLst>
            <c:ext xmlns:c16="http://schemas.microsoft.com/office/drawing/2014/chart" uri="{C3380CC4-5D6E-409C-BE32-E72D297353CC}">
              <c16:uniqueId val="{00000006-93C1-48A3-80BF-559C8AAD01FA}"/>
            </c:ext>
          </c:extLst>
        </c:ser>
        <c:dLbls>
          <c:showLegendKey val="0"/>
          <c:showVal val="0"/>
          <c:showCatName val="0"/>
          <c:showSerName val="0"/>
          <c:showPercent val="0"/>
          <c:showBubbleSize val="0"/>
        </c:dLbls>
        <c:gapWidth val="25"/>
        <c:overlap val="100"/>
        <c:axId val="-289050288"/>
        <c:axId val="-289063888"/>
      </c:barChart>
      <c:catAx>
        <c:axId val="-289050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Narrow" panose="020B0606020202030204" pitchFamily="34" charset="0"/>
                <a:ea typeface="+mn-ea"/>
                <a:cs typeface="+mn-cs"/>
              </a:defRPr>
            </a:pPr>
            <a:endParaRPr lang="sk-SK"/>
          </a:p>
        </c:txPr>
        <c:crossAx val="-289063888"/>
        <c:crosses val="autoZero"/>
        <c:auto val="1"/>
        <c:lblAlgn val="ctr"/>
        <c:lblOffset val="100"/>
        <c:noMultiLvlLbl val="0"/>
      </c:catAx>
      <c:valAx>
        <c:axId val="-28906388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Narrow" panose="020B0606020202030204" pitchFamily="34" charset="0"/>
                <a:ea typeface="+mn-ea"/>
                <a:cs typeface="+mn-cs"/>
              </a:defRPr>
            </a:pPr>
            <a:endParaRPr lang="sk-SK"/>
          </a:p>
        </c:txPr>
        <c:crossAx val="-289050288"/>
        <c:crosses val="autoZero"/>
        <c:crossBetween val="between"/>
        <c:majorUnit val="0.1"/>
      </c:valAx>
      <c:spPr>
        <a:noFill/>
        <a:ln>
          <a:noFill/>
        </a:ln>
        <a:effectLst/>
      </c:spPr>
    </c:plotArea>
    <c:legend>
      <c:legendPos val="b"/>
      <c:layout>
        <c:manualLayout>
          <c:xMode val="edge"/>
          <c:yMode val="edge"/>
          <c:x val="2.2737744032056452E-2"/>
          <c:y val="0.83070569620253143"/>
          <c:w val="0.93738125000000017"/>
          <c:h val="0.14151652601969059"/>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Narrow" panose="020B0606020202030204" pitchFamily="34" charset="0"/>
              <a:ea typeface="+mn-ea"/>
              <a:cs typeface="+mn-cs"/>
            </a:defRPr>
          </a:pPr>
          <a:endParaRPr lang="sk-SK"/>
        </a:p>
      </c:txPr>
    </c:legend>
    <c:plotVisOnly val="1"/>
    <c:dispBlanksAs val="gap"/>
    <c:showDLblsOverMax val="0"/>
  </c:chart>
  <c:spPr>
    <a:solidFill>
      <a:schemeClr val="bg1"/>
    </a:solidFill>
    <a:ln w="9525" cap="flat" cmpd="sng" algn="ctr">
      <a:solidFill>
        <a:srgbClr val="C00000"/>
      </a:solidFill>
      <a:round/>
    </a:ln>
    <a:effectLst/>
  </c:spPr>
  <c:txPr>
    <a:bodyPr/>
    <a:lstStyle/>
    <a:p>
      <a:pPr>
        <a:defRPr/>
      </a:pPr>
      <a:endParaRPr lang="sk-SK"/>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8124826388888892E-2"/>
          <c:y val="6.4313643323394315E-2"/>
          <c:w val="0.80436319444444448"/>
          <c:h val="0.70798935185185174"/>
        </c:manualLayout>
      </c:layout>
      <c:barChart>
        <c:barDir val="col"/>
        <c:grouping val="clustered"/>
        <c:varyColors val="0"/>
        <c:ser>
          <c:idx val="0"/>
          <c:order val="0"/>
          <c:tx>
            <c:strRef>
              <c:f>'D:\ESSPROS\Publikacia_2021\[OPR_Publikácia Grafy rok 2019.xlsx]prijmy '!$B$50:$B$51</c:f>
              <c:strCache>
                <c:ptCount val="1"/>
                <c:pt idx="0">
                  <c:v>Úhrn príjmov (Mil. EUR)</c:v>
                </c:pt>
              </c:strCache>
            </c:strRef>
          </c:tx>
          <c:spPr>
            <a:solidFill>
              <a:schemeClr val="accent6">
                <a:lumMod val="75000"/>
              </a:schemeClr>
            </a:solidFill>
          </c:spPr>
          <c:invertIfNegative val="0"/>
          <c:cat>
            <c:numRef>
              <c:f>'[2]prijmy '!$A$52:$A$73</c:f>
              <c:numCache>
                <c:formatCode>General</c:formatCod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numCache>
            </c:numRef>
          </c:cat>
          <c:val>
            <c:numRef>
              <c:f>'[2]prijmy '!$B$52:$B$73</c:f>
              <c:numCache>
                <c:formatCode>General</c:formatCode>
                <c:ptCount val="22"/>
                <c:pt idx="0">
                  <c:v>3955.51</c:v>
                </c:pt>
                <c:pt idx="1">
                  <c:v>3755.62</c:v>
                </c:pt>
                <c:pt idx="2">
                  <c:v>4257.46</c:v>
                </c:pt>
                <c:pt idx="3">
                  <c:v>4528.99</c:v>
                </c:pt>
                <c:pt idx="4">
                  <c:v>5030.3100000000004</c:v>
                </c:pt>
                <c:pt idx="5">
                  <c:v>5410.66</c:v>
                </c:pt>
                <c:pt idx="6">
                  <c:v>5915.68</c:v>
                </c:pt>
                <c:pt idx="7">
                  <c:v>6607.55</c:v>
                </c:pt>
                <c:pt idx="8">
                  <c:v>8033.66</c:v>
                </c:pt>
                <c:pt idx="9">
                  <c:v>9766.2800000000007</c:v>
                </c:pt>
                <c:pt idx="10">
                  <c:v>11405.16</c:v>
                </c:pt>
                <c:pt idx="11">
                  <c:v>12640.86</c:v>
                </c:pt>
                <c:pt idx="12">
                  <c:v>13506.94</c:v>
                </c:pt>
                <c:pt idx="13">
                  <c:v>13748.03</c:v>
                </c:pt>
                <c:pt idx="14">
                  <c:v>14249.86</c:v>
                </c:pt>
                <c:pt idx="15">
                  <c:v>13985.33</c:v>
                </c:pt>
                <c:pt idx="16">
                  <c:v>14818.47</c:v>
                </c:pt>
                <c:pt idx="17">
                  <c:v>14824.63</c:v>
                </c:pt>
                <c:pt idx="18">
                  <c:v>15600.76</c:v>
                </c:pt>
                <c:pt idx="19">
                  <c:v>16339.13</c:v>
                </c:pt>
                <c:pt idx="20">
                  <c:v>16357.48</c:v>
                </c:pt>
                <c:pt idx="21">
                  <c:v>18059.2</c:v>
                </c:pt>
              </c:numCache>
            </c:numRef>
          </c:val>
          <c:extLst>
            <c:ext xmlns:c16="http://schemas.microsoft.com/office/drawing/2014/chart" uri="{C3380CC4-5D6E-409C-BE32-E72D297353CC}">
              <c16:uniqueId val="{00000000-C41C-41BA-8C50-35A8D67D08D0}"/>
            </c:ext>
          </c:extLst>
        </c:ser>
        <c:ser>
          <c:idx val="2"/>
          <c:order val="2"/>
          <c:tx>
            <c:strRef>
              <c:f>'D:\ESSPROS\Publikacia_2021\[OPR_Publikácia Grafy rok 2019.xlsx]prijmy '!$D$50:$D$51</c:f>
              <c:strCache>
                <c:ptCount val="1"/>
                <c:pt idx="0">
                  <c:v>Úhrn výdavkov (Mil. EUR)</c:v>
                </c:pt>
              </c:strCache>
            </c:strRef>
          </c:tx>
          <c:spPr>
            <a:solidFill>
              <a:schemeClr val="accent5">
                <a:lumMod val="60000"/>
                <a:lumOff val="40000"/>
              </a:schemeClr>
            </a:solidFill>
          </c:spPr>
          <c:invertIfNegative val="0"/>
          <c:cat>
            <c:numRef>
              <c:f>'[2]prijmy '!$A$52:$A$73</c:f>
              <c:numCache>
                <c:formatCode>General</c:formatCod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numCache>
            </c:numRef>
          </c:cat>
          <c:val>
            <c:numRef>
              <c:f>'[2]prijmy '!$D$52:$D$73</c:f>
              <c:numCache>
                <c:formatCode>General</c:formatCode>
                <c:ptCount val="22"/>
                <c:pt idx="0">
                  <c:v>3993.43</c:v>
                </c:pt>
                <c:pt idx="1">
                  <c:v>3868.37</c:v>
                </c:pt>
                <c:pt idx="2">
                  <c:v>4273.6499999999996</c:v>
                </c:pt>
                <c:pt idx="3">
                  <c:v>4463.8599999999997</c:v>
                </c:pt>
                <c:pt idx="4">
                  <c:v>4957.16</c:v>
                </c:pt>
                <c:pt idx="5">
                  <c:v>5422.71</c:v>
                </c:pt>
                <c:pt idx="6">
                  <c:v>5848.29</c:v>
                </c:pt>
                <c:pt idx="7">
                  <c:v>6349.35</c:v>
                </c:pt>
                <c:pt idx="8">
                  <c:v>7276.92</c:v>
                </c:pt>
                <c:pt idx="9">
                  <c:v>8821.16</c:v>
                </c:pt>
                <c:pt idx="10">
                  <c:v>10365.94</c:v>
                </c:pt>
                <c:pt idx="11">
                  <c:v>11813.29</c:v>
                </c:pt>
                <c:pt idx="12">
                  <c:v>12322.44</c:v>
                </c:pt>
                <c:pt idx="13">
                  <c:v>12590.77</c:v>
                </c:pt>
                <c:pt idx="14">
                  <c:v>13090.35</c:v>
                </c:pt>
                <c:pt idx="15">
                  <c:v>13569.91</c:v>
                </c:pt>
                <c:pt idx="16">
                  <c:v>14056.72</c:v>
                </c:pt>
                <c:pt idx="17">
                  <c:v>14369.99</c:v>
                </c:pt>
                <c:pt idx="18">
                  <c:v>14901.12</c:v>
                </c:pt>
                <c:pt idx="19">
                  <c:v>15387.08</c:v>
                </c:pt>
                <c:pt idx="20">
                  <c:v>16083.78</c:v>
                </c:pt>
                <c:pt idx="21">
                  <c:v>16843.400000000001</c:v>
                </c:pt>
              </c:numCache>
            </c:numRef>
          </c:val>
          <c:extLst>
            <c:ext xmlns:c16="http://schemas.microsoft.com/office/drawing/2014/chart" uri="{C3380CC4-5D6E-409C-BE32-E72D297353CC}">
              <c16:uniqueId val="{00000001-C41C-41BA-8C50-35A8D67D08D0}"/>
            </c:ext>
          </c:extLst>
        </c:ser>
        <c:dLbls>
          <c:showLegendKey val="0"/>
          <c:showVal val="0"/>
          <c:showCatName val="0"/>
          <c:showSerName val="0"/>
          <c:showPercent val="0"/>
          <c:showBubbleSize val="0"/>
        </c:dLbls>
        <c:gapWidth val="36"/>
        <c:axId val="-289062256"/>
        <c:axId val="-1840698400"/>
      </c:barChart>
      <c:lineChart>
        <c:grouping val="standard"/>
        <c:varyColors val="0"/>
        <c:ser>
          <c:idx val="1"/>
          <c:order val="1"/>
          <c:tx>
            <c:strRef>
              <c:f>'D:\ESSPROS\Publikacia_2021\[OPR_Publikácia Grafy rok 2019.xlsx]prijmy '!$C$50:$C$51</c:f>
              <c:strCache>
                <c:ptCount val="1"/>
                <c:pt idx="0">
                  <c:v>Úhrn príjmov (% HDP)</c:v>
                </c:pt>
              </c:strCache>
            </c:strRef>
          </c:tx>
          <c:spPr>
            <a:ln w="22225">
              <a:solidFill>
                <a:srgbClr val="C00000"/>
              </a:solidFill>
            </a:ln>
          </c:spPr>
          <c:marker>
            <c:symbol val="square"/>
            <c:size val="5"/>
            <c:spPr>
              <a:solidFill>
                <a:schemeClr val="bg1"/>
              </a:solidFill>
              <a:ln>
                <a:solidFill>
                  <a:srgbClr val="C00000"/>
                </a:solidFill>
              </a:ln>
            </c:spPr>
          </c:marker>
          <c:cat>
            <c:numRef>
              <c:f>'[2]prijmy '!$A$52:$A$73</c:f>
              <c:numCache>
                <c:formatCode>General</c:formatCod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numCache>
            </c:numRef>
          </c:cat>
          <c:val>
            <c:numRef>
              <c:f>'[2]prijmy '!$C$52:$C$73</c:f>
              <c:numCache>
                <c:formatCode>General</c:formatCode>
                <c:ptCount val="22"/>
                <c:pt idx="0">
                  <c:v>19.5</c:v>
                </c:pt>
                <c:pt idx="1">
                  <c:v>19.2</c:v>
                </c:pt>
                <c:pt idx="2">
                  <c:v>19</c:v>
                </c:pt>
                <c:pt idx="3">
                  <c:v>18.899999999999999</c:v>
                </c:pt>
                <c:pt idx="4">
                  <c:v>19.100000000000001</c:v>
                </c:pt>
                <c:pt idx="5">
                  <c:v>18</c:v>
                </c:pt>
                <c:pt idx="6">
                  <c:v>17</c:v>
                </c:pt>
                <c:pt idx="7">
                  <c:v>16.8</c:v>
                </c:pt>
                <c:pt idx="8">
                  <c:v>17.600000000000001</c:v>
                </c:pt>
                <c:pt idx="9">
                  <c:v>17.3</c:v>
                </c:pt>
                <c:pt idx="10">
                  <c:v>17.3</c:v>
                </c:pt>
                <c:pt idx="11">
                  <c:v>19.7</c:v>
                </c:pt>
                <c:pt idx="12">
                  <c:v>19.8</c:v>
                </c:pt>
                <c:pt idx="13">
                  <c:v>19.3</c:v>
                </c:pt>
                <c:pt idx="14">
                  <c:v>19.399999999999999</c:v>
                </c:pt>
                <c:pt idx="15">
                  <c:v>18.8</c:v>
                </c:pt>
                <c:pt idx="16">
                  <c:v>19.399999999999999</c:v>
                </c:pt>
                <c:pt idx="17">
                  <c:v>18.600000000000001</c:v>
                </c:pt>
                <c:pt idx="18">
                  <c:v>19.2</c:v>
                </c:pt>
                <c:pt idx="19">
                  <c:v>19.3</c:v>
                </c:pt>
                <c:pt idx="20">
                  <c:v>18.3</c:v>
                </c:pt>
                <c:pt idx="21">
                  <c:v>19.2</c:v>
                </c:pt>
              </c:numCache>
            </c:numRef>
          </c:val>
          <c:smooth val="0"/>
          <c:extLst>
            <c:ext xmlns:c16="http://schemas.microsoft.com/office/drawing/2014/chart" uri="{C3380CC4-5D6E-409C-BE32-E72D297353CC}">
              <c16:uniqueId val="{00000002-C41C-41BA-8C50-35A8D67D08D0}"/>
            </c:ext>
          </c:extLst>
        </c:ser>
        <c:ser>
          <c:idx val="3"/>
          <c:order val="3"/>
          <c:tx>
            <c:strRef>
              <c:f>'D:\ESSPROS\Publikacia_2021\[OPR_Publikácia Grafy rok 2019.xlsx]prijmy '!$E$50:$E$51</c:f>
              <c:strCache>
                <c:ptCount val="1"/>
                <c:pt idx="0">
                  <c:v>Úhrn výdavkov (% HDP)</c:v>
                </c:pt>
              </c:strCache>
            </c:strRef>
          </c:tx>
          <c:spPr>
            <a:ln w="25400">
              <a:solidFill>
                <a:schemeClr val="accent1">
                  <a:lumMod val="75000"/>
                </a:schemeClr>
              </a:solidFill>
              <a:prstDash val="sysDash"/>
            </a:ln>
          </c:spPr>
          <c:marker>
            <c:symbol val="triangle"/>
            <c:size val="5"/>
            <c:spPr>
              <a:solidFill>
                <a:schemeClr val="bg1">
                  <a:lumMod val="95000"/>
                </a:schemeClr>
              </a:solidFill>
              <a:ln>
                <a:solidFill>
                  <a:schemeClr val="tx1"/>
                </a:solidFill>
              </a:ln>
            </c:spPr>
          </c:marker>
          <c:dPt>
            <c:idx val="15"/>
            <c:bubble3D val="0"/>
            <c:extLst>
              <c:ext xmlns:c16="http://schemas.microsoft.com/office/drawing/2014/chart" uri="{C3380CC4-5D6E-409C-BE32-E72D297353CC}">
                <c16:uniqueId val="{00000003-C41C-41BA-8C50-35A8D67D08D0}"/>
              </c:ext>
            </c:extLst>
          </c:dPt>
          <c:cat>
            <c:numRef>
              <c:f>'[2]prijmy '!$A$52:$A$73</c:f>
              <c:numCache>
                <c:formatCode>General</c:formatCod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numCache>
            </c:numRef>
          </c:cat>
          <c:val>
            <c:numRef>
              <c:f>'[2]prijmy '!$E$52:$E$73</c:f>
              <c:numCache>
                <c:formatCode>General</c:formatCode>
                <c:ptCount val="22"/>
                <c:pt idx="0">
                  <c:v>19.600000000000001</c:v>
                </c:pt>
                <c:pt idx="1">
                  <c:v>19.8</c:v>
                </c:pt>
                <c:pt idx="2">
                  <c:v>19.100000000000001</c:v>
                </c:pt>
                <c:pt idx="3">
                  <c:v>18.7</c:v>
                </c:pt>
                <c:pt idx="4">
                  <c:v>18.8</c:v>
                </c:pt>
                <c:pt idx="5">
                  <c:v>18</c:v>
                </c:pt>
                <c:pt idx="6">
                  <c:v>16.8</c:v>
                </c:pt>
                <c:pt idx="7">
                  <c:v>16.100000000000001</c:v>
                </c:pt>
                <c:pt idx="8">
                  <c:v>16</c:v>
                </c:pt>
                <c:pt idx="9">
                  <c:v>15.7</c:v>
                </c:pt>
                <c:pt idx="10">
                  <c:v>15.7</c:v>
                </c:pt>
                <c:pt idx="11">
                  <c:v>18.399999999999999</c:v>
                </c:pt>
                <c:pt idx="12">
                  <c:v>18.100000000000001</c:v>
                </c:pt>
                <c:pt idx="13">
                  <c:v>17.7</c:v>
                </c:pt>
                <c:pt idx="14">
                  <c:v>17.8</c:v>
                </c:pt>
                <c:pt idx="15">
                  <c:v>18.2</c:v>
                </c:pt>
                <c:pt idx="16">
                  <c:v>18.399999999999999</c:v>
                </c:pt>
                <c:pt idx="17">
                  <c:v>18</c:v>
                </c:pt>
                <c:pt idx="18">
                  <c:v>18.399999999999999</c:v>
                </c:pt>
                <c:pt idx="19">
                  <c:v>18.2</c:v>
                </c:pt>
                <c:pt idx="20">
                  <c:v>18</c:v>
                </c:pt>
                <c:pt idx="21">
                  <c:v>17.899999999999999</c:v>
                </c:pt>
              </c:numCache>
            </c:numRef>
          </c:val>
          <c:smooth val="0"/>
          <c:extLst>
            <c:ext xmlns:c16="http://schemas.microsoft.com/office/drawing/2014/chart" uri="{C3380CC4-5D6E-409C-BE32-E72D297353CC}">
              <c16:uniqueId val="{00000004-C41C-41BA-8C50-35A8D67D08D0}"/>
            </c:ext>
          </c:extLst>
        </c:ser>
        <c:dLbls>
          <c:showLegendKey val="0"/>
          <c:showVal val="0"/>
          <c:showCatName val="0"/>
          <c:showSerName val="0"/>
          <c:showPercent val="0"/>
          <c:showBubbleSize val="0"/>
        </c:dLbls>
        <c:marker val="1"/>
        <c:smooth val="0"/>
        <c:axId val="-1840713088"/>
        <c:axId val="-1840709824"/>
      </c:lineChart>
      <c:catAx>
        <c:axId val="-289062256"/>
        <c:scaling>
          <c:orientation val="minMax"/>
        </c:scaling>
        <c:delete val="0"/>
        <c:axPos val="b"/>
        <c:majorGridlines>
          <c:spPr>
            <a:ln>
              <a:solidFill>
                <a:schemeClr val="bg1">
                  <a:lumMod val="65000"/>
                </a:schemeClr>
              </a:solidFill>
            </a:ln>
          </c:spPr>
        </c:majorGridlines>
        <c:numFmt formatCode="General" sourceLinked="0"/>
        <c:majorTickMark val="out"/>
        <c:minorTickMark val="none"/>
        <c:tickLblPos val="nextTo"/>
        <c:spPr>
          <a:ln>
            <a:solidFill>
              <a:schemeClr val="bg1">
                <a:lumMod val="65000"/>
              </a:schemeClr>
            </a:solidFill>
            <a:prstDash val="sysDot"/>
          </a:ln>
        </c:spPr>
        <c:txPr>
          <a:bodyPr/>
          <a:lstStyle/>
          <a:p>
            <a:pPr>
              <a:defRPr sz="800">
                <a:latin typeface="Arial Narrow" pitchFamily="34" charset="0"/>
              </a:defRPr>
            </a:pPr>
            <a:endParaRPr lang="sk-SK"/>
          </a:p>
        </c:txPr>
        <c:crossAx val="-1840698400"/>
        <c:crosses val="autoZero"/>
        <c:auto val="1"/>
        <c:lblAlgn val="ctr"/>
        <c:lblOffset val="100"/>
        <c:noMultiLvlLbl val="0"/>
      </c:catAx>
      <c:valAx>
        <c:axId val="-1840698400"/>
        <c:scaling>
          <c:orientation val="minMax"/>
          <c:max val="20000"/>
          <c:min val="0"/>
        </c:scaling>
        <c:delete val="0"/>
        <c:axPos val="l"/>
        <c:majorGridlines>
          <c:spPr>
            <a:ln>
              <a:solidFill>
                <a:schemeClr val="bg1">
                  <a:lumMod val="65000"/>
                </a:schemeClr>
              </a:solidFill>
            </a:ln>
          </c:spPr>
        </c:majorGridlines>
        <c:numFmt formatCode="0" sourceLinked="0"/>
        <c:majorTickMark val="out"/>
        <c:minorTickMark val="none"/>
        <c:tickLblPos val="nextTo"/>
        <c:txPr>
          <a:bodyPr/>
          <a:lstStyle/>
          <a:p>
            <a:pPr>
              <a:defRPr sz="800">
                <a:latin typeface="Arial Narrow" pitchFamily="34" charset="0"/>
              </a:defRPr>
            </a:pPr>
            <a:endParaRPr lang="sk-SK"/>
          </a:p>
        </c:txPr>
        <c:crossAx val="-289062256"/>
        <c:crosses val="autoZero"/>
        <c:crossBetween val="between"/>
        <c:majorUnit val="2000"/>
        <c:minorUnit val="400"/>
      </c:valAx>
      <c:valAx>
        <c:axId val="-1840709824"/>
        <c:scaling>
          <c:orientation val="minMax"/>
          <c:max val="22"/>
          <c:min val="10"/>
        </c:scaling>
        <c:delete val="0"/>
        <c:axPos val="r"/>
        <c:numFmt formatCode="#,##0.0" sourceLinked="0"/>
        <c:majorTickMark val="out"/>
        <c:minorTickMark val="none"/>
        <c:tickLblPos val="nextTo"/>
        <c:txPr>
          <a:bodyPr/>
          <a:lstStyle/>
          <a:p>
            <a:pPr>
              <a:defRPr sz="800">
                <a:latin typeface="Arial Narrow" pitchFamily="34" charset="0"/>
              </a:defRPr>
            </a:pPr>
            <a:endParaRPr lang="sk-SK"/>
          </a:p>
        </c:txPr>
        <c:crossAx val="-1840713088"/>
        <c:crosses val="max"/>
        <c:crossBetween val="between"/>
        <c:majorUnit val="2"/>
      </c:valAx>
      <c:catAx>
        <c:axId val="-1840713088"/>
        <c:scaling>
          <c:orientation val="minMax"/>
        </c:scaling>
        <c:delete val="1"/>
        <c:axPos val="b"/>
        <c:numFmt formatCode="General" sourceLinked="1"/>
        <c:majorTickMark val="out"/>
        <c:minorTickMark val="none"/>
        <c:tickLblPos val="nextTo"/>
        <c:crossAx val="-1840709824"/>
        <c:crosses val="autoZero"/>
        <c:auto val="1"/>
        <c:lblAlgn val="ctr"/>
        <c:lblOffset val="100"/>
        <c:noMultiLvlLbl val="0"/>
      </c:catAx>
    </c:plotArea>
    <c:legend>
      <c:legendPos val="r"/>
      <c:layout>
        <c:manualLayout>
          <c:xMode val="edge"/>
          <c:yMode val="edge"/>
          <c:x val="3.0711296296296296E-2"/>
          <c:y val="0.8598527777777778"/>
          <c:w val="0.95807258575436693"/>
          <c:h val="0.11374966060276948"/>
        </c:manualLayout>
      </c:layout>
      <c:overlay val="0"/>
      <c:txPr>
        <a:bodyPr/>
        <a:lstStyle/>
        <a:p>
          <a:pPr>
            <a:defRPr sz="800">
              <a:latin typeface="Arial Narrow" pitchFamily="34" charset="0"/>
            </a:defRPr>
          </a:pPr>
          <a:endParaRPr lang="sk-SK"/>
        </a:p>
      </c:txPr>
    </c:legend>
    <c:plotVisOnly val="1"/>
    <c:dispBlanksAs val="gap"/>
    <c:showDLblsOverMax val="0"/>
  </c:chart>
  <c:spPr>
    <a:ln>
      <a:solidFill>
        <a:srgbClr val="C00000"/>
      </a:solidFill>
    </a:ln>
  </c:sp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430842567841567"/>
          <c:y val="6.7172474747474745E-2"/>
          <c:w val="0.80658032160088722"/>
          <c:h val="0.70993055555555551"/>
        </c:manualLayout>
      </c:layout>
      <c:barChart>
        <c:barDir val="col"/>
        <c:grouping val="stacked"/>
        <c:varyColors val="0"/>
        <c:ser>
          <c:idx val="0"/>
          <c:order val="0"/>
          <c:tx>
            <c:strRef>
              <c:f>'D:\ESSPROS\Publikacia_2021\[OPR_Publikácia Grafy rok 2019.xlsx]choroba zdrav. st.'!$B$10</c:f>
              <c:strCache>
                <c:ptCount val="1"/>
                <c:pt idx="0">
                  <c:v>Nemocenské</c:v>
                </c:pt>
              </c:strCache>
            </c:strRef>
          </c:tx>
          <c:spPr>
            <a:solidFill>
              <a:schemeClr val="accent6">
                <a:lumMod val="75000"/>
              </a:schemeClr>
            </a:solidFill>
          </c:spPr>
          <c:invertIfNegative val="0"/>
          <c:cat>
            <c:strRef>
              <c:f>'[2]choroba zdrav. st.'!$A$11:$A$32</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'[2]choroba zdrav. st.'!$B$11:$B$32</c:f>
              <c:numCache>
                <c:formatCode>General</c:formatCode>
                <c:ptCount val="22"/>
                <c:pt idx="0">
                  <c:v>261.58999999999997</c:v>
                </c:pt>
                <c:pt idx="1">
                  <c:v>225.36</c:v>
                </c:pt>
                <c:pt idx="2">
                  <c:v>219.81</c:v>
                </c:pt>
                <c:pt idx="3">
                  <c:v>212.5</c:v>
                </c:pt>
                <c:pt idx="4">
                  <c:v>199.55</c:v>
                </c:pt>
                <c:pt idx="5">
                  <c:v>201.97</c:v>
                </c:pt>
                <c:pt idx="6">
                  <c:v>112.01</c:v>
                </c:pt>
                <c:pt idx="7">
                  <c:v>125.87</c:v>
                </c:pt>
                <c:pt idx="8">
                  <c:v>142.44999999999999</c:v>
                </c:pt>
                <c:pt idx="9">
                  <c:v>178.78</c:v>
                </c:pt>
                <c:pt idx="10">
                  <c:v>235.08</c:v>
                </c:pt>
                <c:pt idx="11">
                  <c:v>317.05</c:v>
                </c:pt>
                <c:pt idx="12">
                  <c:v>330.62</c:v>
                </c:pt>
                <c:pt idx="13">
                  <c:v>343.63</c:v>
                </c:pt>
                <c:pt idx="14">
                  <c:v>355.94</c:v>
                </c:pt>
                <c:pt idx="15">
                  <c:v>343.76</c:v>
                </c:pt>
                <c:pt idx="16">
                  <c:v>321.85000000000002</c:v>
                </c:pt>
                <c:pt idx="17">
                  <c:v>367.06</c:v>
                </c:pt>
                <c:pt idx="18">
                  <c:v>424.12</c:v>
                </c:pt>
                <c:pt idx="19">
                  <c:v>489.24</c:v>
                </c:pt>
                <c:pt idx="20">
                  <c:v>502.73</c:v>
                </c:pt>
                <c:pt idx="21">
                  <c:v>604.30999999999995</c:v>
                </c:pt>
              </c:numCache>
            </c:numRef>
          </c:val>
          <c:extLst>
            <c:ext xmlns:c16="http://schemas.microsoft.com/office/drawing/2014/chart" uri="{C3380CC4-5D6E-409C-BE32-E72D297353CC}">
              <c16:uniqueId val="{00000000-C830-4602-9176-AF5D006D795C}"/>
            </c:ext>
          </c:extLst>
        </c:ser>
        <c:ser>
          <c:idx val="1"/>
          <c:order val="1"/>
          <c:tx>
            <c:strRef>
              <c:f>'D:\ESSPROS\Publikacia_2021\[OPR_Publikácia Grafy rok 2019.xlsx]choroba zdrav. st.'!$C$10</c:f>
              <c:strCache>
                <c:ptCount val="1"/>
                <c:pt idx="0">
                  <c:v>Ústavná statostlivosť</c:v>
                </c:pt>
              </c:strCache>
            </c:strRef>
          </c:tx>
          <c:spPr>
            <a:solidFill>
              <a:schemeClr val="accent6">
                <a:lumMod val="40000"/>
                <a:lumOff val="60000"/>
              </a:schemeClr>
            </a:solidFill>
          </c:spPr>
          <c:invertIfNegative val="0"/>
          <c:cat>
            <c:strRef>
              <c:f>'[2]choroba zdrav. st.'!$A$11:$A$32</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'[2]choroba zdrav. st.'!$C$11:$C$32</c:f>
              <c:numCache>
                <c:formatCode>General</c:formatCode>
                <c:ptCount val="22"/>
                <c:pt idx="0">
                  <c:v>377.46</c:v>
                </c:pt>
                <c:pt idx="1">
                  <c:v>399.32</c:v>
                </c:pt>
                <c:pt idx="2">
                  <c:v>472.54</c:v>
                </c:pt>
                <c:pt idx="3">
                  <c:v>527.46</c:v>
                </c:pt>
                <c:pt idx="4">
                  <c:v>650.41999999999996</c:v>
                </c:pt>
                <c:pt idx="5">
                  <c:v>567.98</c:v>
                </c:pt>
                <c:pt idx="6">
                  <c:v>586.89</c:v>
                </c:pt>
                <c:pt idx="7">
                  <c:v>619.47</c:v>
                </c:pt>
                <c:pt idx="8">
                  <c:v>507.23</c:v>
                </c:pt>
                <c:pt idx="9">
                  <c:v>712.61</c:v>
                </c:pt>
                <c:pt idx="10">
                  <c:v>862.59</c:v>
                </c:pt>
                <c:pt idx="11">
                  <c:v>946.49</c:v>
                </c:pt>
                <c:pt idx="12">
                  <c:v>974.32</c:v>
                </c:pt>
                <c:pt idx="13">
                  <c:v>1022.78</c:v>
                </c:pt>
                <c:pt idx="14">
                  <c:v>1115.6099999999999</c:v>
                </c:pt>
                <c:pt idx="15">
                  <c:v>1243.3800000000001</c:v>
                </c:pt>
                <c:pt idx="16">
                  <c:v>1327.31</c:v>
                </c:pt>
                <c:pt idx="17">
                  <c:v>1356.57</c:v>
                </c:pt>
                <c:pt idx="18">
                  <c:v>1362.25</c:v>
                </c:pt>
                <c:pt idx="19">
                  <c:v>1377.95</c:v>
                </c:pt>
                <c:pt idx="20">
                  <c:v>1380.26</c:v>
                </c:pt>
                <c:pt idx="21">
                  <c:v>1674.9</c:v>
                </c:pt>
              </c:numCache>
            </c:numRef>
          </c:val>
          <c:extLst>
            <c:ext xmlns:c16="http://schemas.microsoft.com/office/drawing/2014/chart" uri="{C3380CC4-5D6E-409C-BE32-E72D297353CC}">
              <c16:uniqueId val="{00000001-C830-4602-9176-AF5D006D795C}"/>
            </c:ext>
          </c:extLst>
        </c:ser>
        <c:ser>
          <c:idx val="2"/>
          <c:order val="2"/>
          <c:tx>
            <c:strRef>
              <c:f>'D:\ESSPROS\Publikacia_2021\[OPR_Publikácia Grafy rok 2019.xlsx]choroba zdrav. st.'!$D$10</c:f>
              <c:strCache>
                <c:ptCount val="1"/>
                <c:pt idx="0">
                  <c:v>Ambulantná starostlivosť</c:v>
                </c:pt>
              </c:strCache>
            </c:strRef>
          </c:tx>
          <c:spPr>
            <a:solidFill>
              <a:schemeClr val="accent5">
                <a:lumMod val="75000"/>
              </a:schemeClr>
            </a:solidFill>
          </c:spPr>
          <c:invertIfNegative val="0"/>
          <c:cat>
            <c:strRef>
              <c:f>'[2]choroba zdrav. st.'!$A$11:$A$32</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'[2]choroba zdrav. st.'!$D$11:$D$32</c:f>
              <c:numCache>
                <c:formatCode>General</c:formatCode>
                <c:ptCount val="22"/>
                <c:pt idx="0">
                  <c:v>354.65</c:v>
                </c:pt>
                <c:pt idx="1">
                  <c:v>300.37</c:v>
                </c:pt>
                <c:pt idx="2">
                  <c:v>369.13</c:v>
                </c:pt>
                <c:pt idx="3">
                  <c:v>359.89</c:v>
                </c:pt>
                <c:pt idx="4">
                  <c:v>283.48</c:v>
                </c:pt>
                <c:pt idx="5">
                  <c:v>326.26</c:v>
                </c:pt>
                <c:pt idx="6">
                  <c:v>313.62</c:v>
                </c:pt>
                <c:pt idx="7">
                  <c:v>399.46</c:v>
                </c:pt>
                <c:pt idx="8">
                  <c:v>730.05</c:v>
                </c:pt>
                <c:pt idx="9">
                  <c:v>902.6</c:v>
                </c:pt>
                <c:pt idx="10">
                  <c:v>1155.17</c:v>
                </c:pt>
                <c:pt idx="11">
                  <c:v>1290.53</c:v>
                </c:pt>
                <c:pt idx="12">
                  <c:v>1274.03</c:v>
                </c:pt>
                <c:pt idx="13">
                  <c:v>1308.1500000000001</c:v>
                </c:pt>
                <c:pt idx="14">
                  <c:v>1395.51</c:v>
                </c:pt>
                <c:pt idx="15">
                  <c:v>1458.48</c:v>
                </c:pt>
                <c:pt idx="16">
                  <c:v>1498.03</c:v>
                </c:pt>
                <c:pt idx="17">
                  <c:v>1542.62</c:v>
                </c:pt>
                <c:pt idx="18">
                  <c:v>1778.34</c:v>
                </c:pt>
                <c:pt idx="19">
                  <c:v>1745.87</c:v>
                </c:pt>
                <c:pt idx="20">
                  <c:v>2120.58</c:v>
                </c:pt>
                <c:pt idx="21">
                  <c:v>1864.45</c:v>
                </c:pt>
              </c:numCache>
            </c:numRef>
          </c:val>
          <c:extLst>
            <c:ext xmlns:c16="http://schemas.microsoft.com/office/drawing/2014/chart" uri="{C3380CC4-5D6E-409C-BE32-E72D297353CC}">
              <c16:uniqueId val="{00000002-C830-4602-9176-AF5D006D795C}"/>
            </c:ext>
          </c:extLst>
        </c:ser>
        <c:ser>
          <c:idx val="3"/>
          <c:order val="3"/>
          <c:tx>
            <c:strRef>
              <c:f>'D:\ESSPROS\Publikacia_2021\[OPR_Publikácia Grafy rok 2019.xlsx]choroba zdrav. st.'!$E$10</c:f>
              <c:strCache>
                <c:ptCount val="1"/>
                <c:pt idx="0">
                  <c:v>Liečivá na recepty</c:v>
                </c:pt>
              </c:strCache>
            </c:strRef>
          </c:tx>
          <c:spPr>
            <a:solidFill>
              <a:schemeClr val="accent5">
                <a:lumMod val="40000"/>
                <a:lumOff val="60000"/>
              </a:schemeClr>
            </a:solidFill>
          </c:spPr>
          <c:invertIfNegative val="0"/>
          <c:cat>
            <c:strRef>
              <c:f>'[2]choroba zdrav. st.'!$A$11:$A$32</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'[2]choroba zdrav. st.'!$E$11:$E$32</c:f>
              <c:numCache>
                <c:formatCode>General</c:formatCode>
                <c:ptCount val="22"/>
                <c:pt idx="0">
                  <c:v>287.77999999999997</c:v>
                </c:pt>
                <c:pt idx="1">
                  <c:v>286.42</c:v>
                </c:pt>
                <c:pt idx="2">
                  <c:v>340.08</c:v>
                </c:pt>
                <c:pt idx="3">
                  <c:v>365.22</c:v>
                </c:pt>
                <c:pt idx="4">
                  <c:v>460.59</c:v>
                </c:pt>
                <c:pt idx="5">
                  <c:v>546.13</c:v>
                </c:pt>
                <c:pt idx="6">
                  <c:v>643.9</c:v>
                </c:pt>
                <c:pt idx="7">
                  <c:v>634.20000000000005</c:v>
                </c:pt>
                <c:pt idx="8">
                  <c:v>708.69</c:v>
                </c:pt>
                <c:pt idx="9">
                  <c:v>789.78</c:v>
                </c:pt>
                <c:pt idx="10">
                  <c:v>981.52</c:v>
                </c:pt>
                <c:pt idx="11">
                  <c:v>1023.81</c:v>
                </c:pt>
                <c:pt idx="12">
                  <c:v>1045.18</c:v>
                </c:pt>
                <c:pt idx="13">
                  <c:v>984.58</c:v>
                </c:pt>
                <c:pt idx="14">
                  <c:v>930.64</c:v>
                </c:pt>
                <c:pt idx="15">
                  <c:v>934.36</c:v>
                </c:pt>
                <c:pt idx="16">
                  <c:v>1015.46</c:v>
                </c:pt>
                <c:pt idx="17">
                  <c:v>1028.49</c:v>
                </c:pt>
                <c:pt idx="18">
                  <c:v>1074.32</c:v>
                </c:pt>
                <c:pt idx="19">
                  <c:v>1064.97</c:v>
                </c:pt>
                <c:pt idx="20">
                  <c:v>1059.23</c:v>
                </c:pt>
                <c:pt idx="21">
                  <c:v>1093.76</c:v>
                </c:pt>
              </c:numCache>
            </c:numRef>
          </c:val>
          <c:extLst>
            <c:ext xmlns:c16="http://schemas.microsoft.com/office/drawing/2014/chart" uri="{C3380CC4-5D6E-409C-BE32-E72D297353CC}">
              <c16:uniqueId val="{00000003-C830-4602-9176-AF5D006D795C}"/>
            </c:ext>
          </c:extLst>
        </c:ser>
        <c:ser>
          <c:idx val="4"/>
          <c:order val="4"/>
          <c:tx>
            <c:strRef>
              <c:f>'D:\ESSPROS\Publikacia_2021\[OPR_Publikácia Grafy rok 2019.xlsx]choroba zdrav. st.'!$F$10</c:f>
              <c:strCache>
                <c:ptCount val="1"/>
                <c:pt idx="0">
                  <c:v>Iné dávky</c:v>
                </c:pt>
              </c:strCache>
            </c:strRef>
          </c:tx>
          <c:spPr>
            <a:solidFill>
              <a:schemeClr val="accent1">
                <a:lumMod val="75000"/>
              </a:schemeClr>
            </a:solidFill>
          </c:spPr>
          <c:invertIfNegative val="0"/>
          <c:cat>
            <c:strRef>
              <c:f>'[2]choroba zdrav. st.'!$A$11:$A$32</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'[2]choroba zdrav. st.'!$F$11:$F$32</c:f>
              <c:numCache>
                <c:formatCode>General</c:formatCode>
                <c:ptCount val="22"/>
                <c:pt idx="0">
                  <c:v>96.930000000000177</c:v>
                </c:pt>
                <c:pt idx="1">
                  <c:v>56.609999999999843</c:v>
                </c:pt>
                <c:pt idx="2">
                  <c:v>41.200000000000102</c:v>
                </c:pt>
                <c:pt idx="3">
                  <c:v>48.739999999999895</c:v>
                </c:pt>
                <c:pt idx="4">
                  <c:v>45.350000000000193</c:v>
                </c:pt>
                <c:pt idx="5">
                  <c:v>51.040000000000077</c:v>
                </c:pt>
                <c:pt idx="6">
                  <c:v>35.669999999999959</c:v>
                </c:pt>
                <c:pt idx="7">
                  <c:v>50.190000000000055</c:v>
                </c:pt>
                <c:pt idx="8">
                  <c:v>25.739999999999782</c:v>
                </c:pt>
                <c:pt idx="9">
                  <c:v>19.039999999999623</c:v>
                </c:pt>
                <c:pt idx="10">
                  <c:v>33.960000000000036</c:v>
                </c:pt>
                <c:pt idx="11">
                  <c:v>33.259999999999536</c:v>
                </c:pt>
                <c:pt idx="12">
                  <c:v>32.929999999999836</c:v>
                </c:pt>
                <c:pt idx="13">
                  <c:v>65.809999999999832</c:v>
                </c:pt>
                <c:pt idx="14">
                  <c:v>77.759999999999877</c:v>
                </c:pt>
                <c:pt idx="15">
                  <c:v>90.469999999999459</c:v>
                </c:pt>
                <c:pt idx="16">
                  <c:v>61.4500000000005</c:v>
                </c:pt>
                <c:pt idx="17">
                  <c:v>77.310000000000173</c:v>
                </c:pt>
                <c:pt idx="18">
                  <c:v>73.5</c:v>
                </c:pt>
                <c:pt idx="19">
                  <c:v>70.370000000000118</c:v>
                </c:pt>
                <c:pt idx="20">
                  <c:v>77.329999999999472</c:v>
                </c:pt>
                <c:pt idx="21">
                  <c:v>95.019999999999072</c:v>
                </c:pt>
              </c:numCache>
            </c:numRef>
          </c:val>
          <c:extLst>
            <c:ext xmlns:c16="http://schemas.microsoft.com/office/drawing/2014/chart" uri="{C3380CC4-5D6E-409C-BE32-E72D297353CC}">
              <c16:uniqueId val="{00000004-C830-4602-9176-AF5D006D795C}"/>
            </c:ext>
          </c:extLst>
        </c:ser>
        <c:dLbls>
          <c:showLegendKey val="0"/>
          <c:showVal val="0"/>
          <c:showCatName val="0"/>
          <c:showSerName val="0"/>
          <c:showPercent val="0"/>
          <c:showBubbleSize val="0"/>
        </c:dLbls>
        <c:gapWidth val="30"/>
        <c:overlap val="100"/>
        <c:axId val="-1840690784"/>
        <c:axId val="-1840717984"/>
      </c:barChart>
      <c:lineChart>
        <c:grouping val="standard"/>
        <c:varyColors val="0"/>
        <c:ser>
          <c:idx val="5"/>
          <c:order val="5"/>
          <c:tx>
            <c:strRef>
              <c:f>'D:\ESSPROS\Publikacia_2021\[OPR_Publikácia Grafy rok 2019.xlsx]choroba zdrav. st.'!$G$10</c:f>
              <c:strCache>
                <c:ptCount val="1"/>
                <c:pt idx="0">
                  <c:v>% HDP</c:v>
                </c:pt>
              </c:strCache>
            </c:strRef>
          </c:tx>
          <c:spPr>
            <a:ln>
              <a:solidFill>
                <a:srgbClr val="C00000"/>
              </a:solidFill>
            </a:ln>
          </c:spPr>
          <c:marker>
            <c:symbol val="circle"/>
            <c:size val="5"/>
            <c:spPr>
              <a:solidFill>
                <a:schemeClr val="bg1"/>
              </a:solidFill>
              <a:ln>
                <a:solidFill>
                  <a:srgbClr val="C00000"/>
                </a:solidFill>
              </a:ln>
            </c:spPr>
          </c:marker>
          <c:cat>
            <c:strRef>
              <c:f>'[2]choroba zdrav. st.'!$A$11:$A$32</c:f>
              <c:strCache>
                <c:ptCount val="22"/>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strCache>
            </c:strRef>
          </c:cat>
          <c:val>
            <c:numRef>
              <c:f>'[2]choroba zdrav. st.'!$G$11:$G$32</c:f>
              <c:numCache>
                <c:formatCode>General</c:formatCode>
                <c:ptCount val="22"/>
                <c:pt idx="0">
                  <c:v>6.8</c:v>
                </c:pt>
                <c:pt idx="1">
                  <c:v>6.5</c:v>
                </c:pt>
                <c:pt idx="2">
                  <c:v>6.4</c:v>
                </c:pt>
                <c:pt idx="3">
                  <c:v>6.3</c:v>
                </c:pt>
                <c:pt idx="4">
                  <c:v>6.2</c:v>
                </c:pt>
                <c:pt idx="5">
                  <c:v>5.6</c:v>
                </c:pt>
                <c:pt idx="6">
                  <c:v>4.9000000000000004</c:v>
                </c:pt>
                <c:pt idx="7">
                  <c:v>4.5999999999999996</c:v>
                </c:pt>
                <c:pt idx="8">
                  <c:v>4.5999999999999996</c:v>
                </c:pt>
                <c:pt idx="9">
                  <c:v>4.5999999999999996</c:v>
                </c:pt>
                <c:pt idx="10">
                  <c:v>4.9000000000000004</c:v>
                </c:pt>
                <c:pt idx="11">
                  <c:v>5.6</c:v>
                </c:pt>
                <c:pt idx="12">
                  <c:v>5.4</c:v>
                </c:pt>
                <c:pt idx="13">
                  <c:v>5.2</c:v>
                </c:pt>
                <c:pt idx="14">
                  <c:v>5.3</c:v>
                </c:pt>
                <c:pt idx="15">
                  <c:v>5.5</c:v>
                </c:pt>
                <c:pt idx="16">
                  <c:v>5.5</c:v>
                </c:pt>
                <c:pt idx="17">
                  <c:v>5.5</c:v>
                </c:pt>
                <c:pt idx="18">
                  <c:v>5.8</c:v>
                </c:pt>
                <c:pt idx="19">
                  <c:v>5.6</c:v>
                </c:pt>
                <c:pt idx="20">
                  <c:v>5.7</c:v>
                </c:pt>
                <c:pt idx="21">
                  <c:v>5.7</c:v>
                </c:pt>
              </c:numCache>
            </c:numRef>
          </c:val>
          <c:smooth val="0"/>
          <c:extLst>
            <c:ext xmlns:c16="http://schemas.microsoft.com/office/drawing/2014/chart" uri="{C3380CC4-5D6E-409C-BE32-E72D297353CC}">
              <c16:uniqueId val="{00000005-C830-4602-9176-AF5D006D795C}"/>
            </c:ext>
          </c:extLst>
        </c:ser>
        <c:dLbls>
          <c:showLegendKey val="0"/>
          <c:showVal val="0"/>
          <c:showCatName val="0"/>
          <c:showSerName val="0"/>
          <c:showPercent val="0"/>
          <c:showBubbleSize val="0"/>
        </c:dLbls>
        <c:marker val="1"/>
        <c:smooth val="0"/>
        <c:axId val="-21131264"/>
        <c:axId val="-21127456"/>
      </c:lineChart>
      <c:catAx>
        <c:axId val="-1840690784"/>
        <c:scaling>
          <c:orientation val="minMax"/>
        </c:scaling>
        <c:delete val="0"/>
        <c:axPos val="b"/>
        <c:minorGridlines>
          <c:spPr>
            <a:ln>
              <a:solidFill>
                <a:schemeClr val="bg1">
                  <a:lumMod val="75000"/>
                </a:schemeClr>
              </a:solidFill>
              <a:prstDash val="sysDot"/>
            </a:ln>
          </c:spPr>
        </c:minorGridlines>
        <c:numFmt formatCode="General" sourceLinked="0"/>
        <c:majorTickMark val="out"/>
        <c:minorTickMark val="none"/>
        <c:tickLblPos val="nextTo"/>
        <c:txPr>
          <a:bodyPr/>
          <a:lstStyle/>
          <a:p>
            <a:pPr>
              <a:defRPr sz="800">
                <a:latin typeface="Arial Narrow" pitchFamily="34" charset="0"/>
              </a:defRPr>
            </a:pPr>
            <a:endParaRPr lang="sk-SK"/>
          </a:p>
        </c:txPr>
        <c:crossAx val="-1840717984"/>
        <c:crosses val="autoZero"/>
        <c:auto val="1"/>
        <c:lblAlgn val="ctr"/>
        <c:lblOffset val="100"/>
        <c:noMultiLvlLbl val="0"/>
      </c:catAx>
      <c:valAx>
        <c:axId val="-1840717984"/>
        <c:scaling>
          <c:orientation val="minMax"/>
          <c:max val="5600"/>
          <c:min val="0"/>
        </c:scaling>
        <c:delete val="0"/>
        <c:axPos val="l"/>
        <c:majorGridlines/>
        <c:numFmt formatCode="0" sourceLinked="0"/>
        <c:majorTickMark val="out"/>
        <c:minorTickMark val="none"/>
        <c:tickLblPos val="nextTo"/>
        <c:spPr>
          <a:ln>
            <a:noFill/>
            <a:prstDash val="sysDot"/>
          </a:ln>
        </c:spPr>
        <c:txPr>
          <a:bodyPr/>
          <a:lstStyle/>
          <a:p>
            <a:pPr>
              <a:defRPr sz="800">
                <a:latin typeface="Arial Narrow" pitchFamily="34" charset="0"/>
              </a:defRPr>
            </a:pPr>
            <a:endParaRPr lang="sk-SK"/>
          </a:p>
        </c:txPr>
        <c:crossAx val="-1840690784"/>
        <c:crosses val="autoZero"/>
        <c:crossBetween val="between"/>
        <c:majorUnit val="400"/>
      </c:valAx>
      <c:valAx>
        <c:axId val="-21127456"/>
        <c:scaling>
          <c:orientation val="minMax"/>
          <c:max val="8"/>
        </c:scaling>
        <c:delete val="0"/>
        <c:axPos val="r"/>
        <c:numFmt formatCode="General" sourceLinked="1"/>
        <c:majorTickMark val="out"/>
        <c:minorTickMark val="none"/>
        <c:tickLblPos val="nextTo"/>
        <c:txPr>
          <a:bodyPr/>
          <a:lstStyle/>
          <a:p>
            <a:pPr>
              <a:defRPr sz="800">
                <a:latin typeface="Arial Narrow" panose="020B0606020202030204" pitchFamily="34" charset="0"/>
              </a:defRPr>
            </a:pPr>
            <a:endParaRPr lang="sk-SK"/>
          </a:p>
        </c:txPr>
        <c:crossAx val="-21131264"/>
        <c:crosses val="max"/>
        <c:crossBetween val="between"/>
        <c:majorUnit val="0.5"/>
      </c:valAx>
      <c:catAx>
        <c:axId val="-21131264"/>
        <c:scaling>
          <c:orientation val="minMax"/>
        </c:scaling>
        <c:delete val="1"/>
        <c:axPos val="b"/>
        <c:numFmt formatCode="General" sourceLinked="1"/>
        <c:majorTickMark val="out"/>
        <c:minorTickMark val="none"/>
        <c:tickLblPos val="nextTo"/>
        <c:crossAx val="-21127456"/>
        <c:crosses val="autoZero"/>
        <c:auto val="1"/>
        <c:lblAlgn val="ctr"/>
        <c:lblOffset val="100"/>
        <c:noMultiLvlLbl val="0"/>
      </c:catAx>
    </c:plotArea>
    <c:legend>
      <c:legendPos val="r"/>
      <c:layout>
        <c:manualLayout>
          <c:xMode val="edge"/>
          <c:yMode val="edge"/>
          <c:x val="0.10606388888888889"/>
          <c:y val="0.88752452718676123"/>
          <c:w val="0.88424427083333312"/>
          <c:h val="8.5740839243498818E-2"/>
        </c:manualLayout>
      </c:layout>
      <c:overlay val="0"/>
      <c:txPr>
        <a:bodyPr/>
        <a:lstStyle/>
        <a:p>
          <a:pPr>
            <a:defRPr sz="850">
              <a:latin typeface="Arial Narrow" pitchFamily="34" charset="0"/>
            </a:defRPr>
          </a:pPr>
          <a:endParaRPr lang="sk-SK"/>
        </a:p>
      </c:txPr>
    </c:legend>
    <c:plotVisOnly val="1"/>
    <c:dispBlanksAs val="gap"/>
    <c:showDLblsOverMax val="0"/>
  </c:chart>
  <c:spPr>
    <a:ln>
      <a:solidFill>
        <a:srgbClr val="C00000"/>
      </a:solidFill>
    </a:ln>
  </c:spPr>
  <c:externalData r:id="rId1">
    <c:autoUpdate val="0"/>
  </c:externalData>
  <c:userShapes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1.71002E-7</cdr:x>
      <cdr:y>0.22381</cdr:y>
    </cdr:from>
    <cdr:to>
      <cdr:x>0.03923</cdr:x>
      <cdr:y>0.56089</cdr:y>
    </cdr:to>
    <cdr:sp macro="" textlink="">
      <cdr:nvSpPr>
        <cdr:cNvPr id="2" name="BlokTextu 1"/>
        <cdr:cNvSpPr txBox="1"/>
      </cdr:nvSpPr>
      <cdr:spPr>
        <a:xfrm xmlns:a="http://schemas.openxmlformats.org/drawingml/2006/main">
          <a:off x="1" y="616138"/>
          <a:ext cx="229411" cy="927970"/>
        </a:xfrm>
        <a:prstGeom xmlns:a="http://schemas.openxmlformats.org/drawingml/2006/main" prst="rect">
          <a:avLst/>
        </a:prstGeom>
      </cdr:spPr>
      <cdr:txBody>
        <a:bodyPr xmlns:a="http://schemas.openxmlformats.org/drawingml/2006/main" vertOverflow="clip" vert="vert270" wrap="square" rtlCol="0" anchor="ctr"/>
        <a:lstStyle xmlns:a="http://schemas.openxmlformats.org/drawingml/2006/main"/>
        <a:p xmlns:a="http://schemas.openxmlformats.org/drawingml/2006/main">
          <a:r>
            <a:rPr lang="sk-SK" sz="800">
              <a:latin typeface="Arial Narrow" panose="020B0606020202030204" pitchFamily="34" charset="0"/>
            </a:rPr>
            <a:t>mil. EUR</a:t>
          </a:r>
        </a:p>
      </cdr:txBody>
    </cdr:sp>
  </cdr:relSizeAnchor>
  <cdr:relSizeAnchor xmlns:cdr="http://schemas.openxmlformats.org/drawingml/2006/chartDrawing">
    <cdr:from>
      <cdr:x>0.94926</cdr:x>
      <cdr:y>0.18803</cdr:y>
    </cdr:from>
    <cdr:to>
      <cdr:x>1</cdr:x>
      <cdr:y>0.50553</cdr:y>
    </cdr:to>
    <cdr:sp macro="" textlink="">
      <cdr:nvSpPr>
        <cdr:cNvPr id="4" name="BlokTextu 1"/>
        <cdr:cNvSpPr txBox="1"/>
      </cdr:nvSpPr>
      <cdr:spPr>
        <a:xfrm xmlns:a="http://schemas.openxmlformats.org/drawingml/2006/main">
          <a:off x="5551154" y="517637"/>
          <a:ext cx="296721" cy="874071"/>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mil. EUR</a:t>
          </a:r>
        </a:p>
        <a:p xmlns:a="http://schemas.openxmlformats.org/drawingml/2006/main">
          <a:endParaRPr lang="sk-SK" sz="850">
            <a:latin typeface="Arial Narrow" panose="020B0606020202030204" pitchFamily="34" charset="0"/>
          </a:endParaRPr>
        </a:p>
      </cdr:txBody>
    </cdr:sp>
  </cdr:relSizeAnchor>
</c:userShapes>
</file>

<file path=word/drawings/drawing10.xml><?xml version="1.0" encoding="utf-8"?>
<c:userShapes xmlns:c="http://schemas.openxmlformats.org/drawingml/2006/chart">
  <cdr:relSizeAnchor xmlns:cdr="http://schemas.openxmlformats.org/drawingml/2006/chartDrawing">
    <cdr:from>
      <cdr:x>0</cdr:x>
      <cdr:y>0.19326</cdr:y>
    </cdr:from>
    <cdr:to>
      <cdr:x>0.04944</cdr:x>
      <cdr:y>0.52257</cdr:y>
    </cdr:to>
    <cdr:sp macro="" textlink="">
      <cdr:nvSpPr>
        <cdr:cNvPr id="3" name="BlokTextu 1"/>
        <cdr:cNvSpPr txBox="1"/>
      </cdr:nvSpPr>
      <cdr:spPr>
        <a:xfrm xmlns:a="http://schemas.openxmlformats.org/drawingml/2006/main">
          <a:off x="0" y="598347"/>
          <a:ext cx="284788" cy="1019542"/>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mil. EUR</a:t>
          </a:r>
        </a:p>
      </cdr:txBody>
    </cdr:sp>
  </cdr:relSizeAnchor>
  <cdr:relSizeAnchor xmlns:cdr="http://schemas.openxmlformats.org/drawingml/2006/chartDrawing">
    <cdr:from>
      <cdr:x>0.95638</cdr:x>
      <cdr:y>0.29138</cdr:y>
    </cdr:from>
    <cdr:to>
      <cdr:x>1</cdr:x>
      <cdr:y>0.46747</cdr:y>
    </cdr:to>
    <cdr:sp macro="" textlink="">
      <cdr:nvSpPr>
        <cdr:cNvPr id="5" name="BlokTextu 1"/>
        <cdr:cNvSpPr txBox="1"/>
      </cdr:nvSpPr>
      <cdr:spPr>
        <a:xfrm xmlns:a="http://schemas.openxmlformats.org/drawingml/2006/main">
          <a:off x="5508749" y="746759"/>
          <a:ext cx="251251" cy="451301"/>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 </a:t>
          </a:r>
        </a:p>
      </cdr:txBody>
    </cdr:sp>
  </cdr:relSizeAnchor>
</c:userShapes>
</file>

<file path=word/drawings/drawing11.xml><?xml version="1.0" encoding="utf-8"?>
<c:userShapes xmlns:c="http://schemas.openxmlformats.org/drawingml/2006/chart">
  <cdr:relSizeAnchor xmlns:cdr="http://schemas.openxmlformats.org/drawingml/2006/chartDrawing">
    <cdr:from>
      <cdr:x>1.75809E-7</cdr:x>
      <cdr:y>0.05217</cdr:y>
    </cdr:from>
    <cdr:to>
      <cdr:x>0.04828</cdr:x>
      <cdr:y>0.71261</cdr:y>
    </cdr:to>
    <cdr:sp macro="" textlink="">
      <cdr:nvSpPr>
        <cdr:cNvPr id="2" name="BlokTextu 1"/>
        <cdr:cNvSpPr txBox="1"/>
      </cdr:nvSpPr>
      <cdr:spPr>
        <a:xfrm xmlns:a="http://schemas.openxmlformats.org/drawingml/2006/main">
          <a:off x="1" y="93905"/>
          <a:ext cx="274638" cy="1188793"/>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mil.</a:t>
          </a:r>
          <a:r>
            <a:rPr lang="sk-SK" sz="800" baseline="0">
              <a:latin typeface="Arial Narrow" panose="020B0606020202030204" pitchFamily="34" charset="0"/>
            </a:rPr>
            <a:t> </a:t>
          </a:r>
          <a:r>
            <a:rPr lang="sk-SK" sz="800">
              <a:latin typeface="Arial Narrow" panose="020B0606020202030204" pitchFamily="34" charset="0"/>
            </a:rPr>
            <a:t>EUR</a:t>
          </a:r>
        </a:p>
      </cdr:txBody>
    </cdr:sp>
  </cdr:relSizeAnchor>
  <cdr:relSizeAnchor xmlns:cdr="http://schemas.openxmlformats.org/drawingml/2006/chartDrawing">
    <cdr:from>
      <cdr:x>0.95439</cdr:x>
      <cdr:y>0.19109</cdr:y>
    </cdr:from>
    <cdr:to>
      <cdr:x>1</cdr:x>
      <cdr:y>0.66881</cdr:y>
    </cdr:to>
    <cdr:sp macro="" textlink="">
      <cdr:nvSpPr>
        <cdr:cNvPr id="3" name="BlokTextu 1"/>
        <cdr:cNvSpPr txBox="1"/>
      </cdr:nvSpPr>
      <cdr:spPr>
        <a:xfrm xmlns:a="http://schemas.openxmlformats.org/drawingml/2006/main">
          <a:off x="5291138" y="330199"/>
          <a:ext cx="252862" cy="825500"/>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 HDP</a:t>
          </a:r>
        </a:p>
      </cdr:txBody>
    </cdr:sp>
  </cdr:relSizeAnchor>
</c:userShapes>
</file>

<file path=word/drawings/drawing2.xml><?xml version="1.0" encoding="utf-8"?>
<c:userShapes xmlns:c="http://schemas.openxmlformats.org/drawingml/2006/chart">
  <cdr:relSizeAnchor xmlns:cdr="http://schemas.openxmlformats.org/drawingml/2006/chartDrawing">
    <cdr:from>
      <cdr:x>0.01265</cdr:x>
      <cdr:y>0.33073</cdr:y>
    </cdr:from>
    <cdr:to>
      <cdr:x>0.04215</cdr:x>
      <cdr:y>0.59362</cdr:y>
    </cdr:to>
    <cdr:sp macro="" textlink="">
      <cdr:nvSpPr>
        <cdr:cNvPr id="2" name="BlokTextu 1"/>
        <cdr:cNvSpPr txBox="1"/>
      </cdr:nvSpPr>
      <cdr:spPr>
        <a:xfrm xmlns:a="http://schemas.openxmlformats.org/drawingml/2006/main">
          <a:off x="71471" y="247778"/>
          <a:ext cx="166655" cy="196953"/>
        </a:xfrm>
        <a:prstGeom xmlns:a="http://schemas.openxmlformats.org/drawingml/2006/main" prst="rect">
          <a:avLst/>
        </a:prstGeom>
      </cdr:spPr>
      <cdr:txBody>
        <a:bodyPr xmlns:a="http://schemas.openxmlformats.org/drawingml/2006/main" vertOverflow="clip" vert="vert270" wrap="square" rtlCol="0" anchor="ctr" anchorCtr="1"/>
        <a:lstStyle xmlns:a="http://schemas.openxmlformats.org/drawingml/2006/main"/>
        <a:p xmlns:a="http://schemas.openxmlformats.org/drawingml/2006/main">
          <a:r>
            <a:rPr lang="sk-SK" sz="800">
              <a:latin typeface="Arial Narrow" panose="020B0606020202030204" pitchFamily="34" charset="0"/>
            </a:rPr>
            <a:t>% dávok/benet</a:t>
          </a:r>
        </a:p>
      </cdr:txBody>
    </cdr:sp>
  </cdr:relSizeAnchor>
</c:userShapes>
</file>

<file path=word/drawings/drawing3.xml><?xml version="1.0" encoding="utf-8"?>
<c:userShapes xmlns:c="http://schemas.openxmlformats.org/drawingml/2006/chart">
  <cdr:relSizeAnchor xmlns:cdr="http://schemas.openxmlformats.org/drawingml/2006/chartDrawing">
    <cdr:from>
      <cdr:x>0.00661</cdr:x>
      <cdr:y>0.08571</cdr:y>
    </cdr:from>
    <cdr:to>
      <cdr:x>0.04851</cdr:x>
      <cdr:y>0.8619</cdr:y>
    </cdr:to>
    <cdr:sp macro="" textlink="">
      <cdr:nvSpPr>
        <cdr:cNvPr id="2" name="BlokTextu 1"/>
        <cdr:cNvSpPr txBox="1"/>
      </cdr:nvSpPr>
      <cdr:spPr>
        <a:xfrm xmlns:a="http://schemas.openxmlformats.org/drawingml/2006/main">
          <a:off x="38101" y="191314"/>
          <a:ext cx="241300" cy="1732457"/>
        </a:xfrm>
        <a:prstGeom xmlns:a="http://schemas.openxmlformats.org/drawingml/2006/main" prst="rect">
          <a:avLst/>
        </a:prstGeom>
      </cdr:spPr>
      <cdr:txBody>
        <a:bodyPr xmlns:a="http://schemas.openxmlformats.org/drawingml/2006/main" vertOverflow="clip" vert="vert270" wrap="square" rtlCol="0"/>
        <a:lstStyle xmlns:a="http://schemas.openxmlformats.org/drawingml/2006/main"/>
        <a:p xmlns:a="http://schemas.openxmlformats.org/drawingml/2006/main">
          <a:r>
            <a:rPr lang="sk-SK" sz="800">
              <a:latin typeface="Arial Narrow" panose="020B0606020202030204" pitchFamily="34" charset="0"/>
            </a:rPr>
            <a:t>          v eur na obyvateľa v s.c. 2010</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0.1253</cdr:y>
    </cdr:from>
    <cdr:to>
      <cdr:x>0.04765</cdr:x>
      <cdr:y>0.58209</cdr:y>
    </cdr:to>
    <cdr:sp macro="" textlink="">
      <cdr:nvSpPr>
        <cdr:cNvPr id="2" name="BlokTextu 1"/>
        <cdr:cNvSpPr txBox="1"/>
      </cdr:nvSpPr>
      <cdr:spPr>
        <a:xfrm xmlns:a="http://schemas.openxmlformats.org/drawingml/2006/main">
          <a:off x="0" y="382059"/>
          <a:ext cx="276206" cy="1392778"/>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        mil. EUR</a:t>
          </a:r>
        </a:p>
      </cdr:txBody>
    </cdr:sp>
  </cdr:relSizeAnchor>
  <cdr:relSizeAnchor xmlns:cdr="http://schemas.openxmlformats.org/drawingml/2006/chartDrawing">
    <cdr:from>
      <cdr:x>0.95967</cdr:x>
      <cdr:y>0.29191</cdr:y>
    </cdr:from>
    <cdr:to>
      <cdr:x>0.99096</cdr:x>
      <cdr:y>0.56817</cdr:y>
    </cdr:to>
    <cdr:sp macro="" textlink="">
      <cdr:nvSpPr>
        <cdr:cNvPr id="3" name="BlokTextu 2"/>
        <cdr:cNvSpPr txBox="1"/>
      </cdr:nvSpPr>
      <cdr:spPr>
        <a:xfrm xmlns:a="http://schemas.openxmlformats.org/drawingml/2006/main">
          <a:off x="5527674" y="890059"/>
          <a:ext cx="180255" cy="842317"/>
        </a:xfrm>
        <a:prstGeom xmlns:a="http://schemas.openxmlformats.org/drawingml/2006/main" prst="rect">
          <a:avLst/>
        </a:prstGeom>
      </cdr:spPr>
      <cdr:txBody>
        <a:bodyPr xmlns:a="http://schemas.openxmlformats.org/drawingml/2006/main" vertOverflow="clip" vert="vert270" wrap="square" rtlCol="0" anchor="ctr"/>
        <a:lstStyle xmlns:a="http://schemas.openxmlformats.org/drawingml/2006/main"/>
        <a:p xmlns:a="http://schemas.openxmlformats.org/drawingml/2006/main">
          <a:r>
            <a:rPr lang="sk-SK" sz="800" b="0">
              <a:latin typeface="Arial Narrow" panose="020B0606020202030204" pitchFamily="34" charset="0"/>
            </a:rPr>
            <a:t>% HDP</a:t>
          </a:r>
        </a:p>
      </cdr:txBody>
    </cdr:sp>
  </cdr:relSizeAnchor>
</c:userShapes>
</file>

<file path=word/drawings/drawing5.xml><?xml version="1.0" encoding="utf-8"?>
<c:userShapes xmlns:c="http://schemas.openxmlformats.org/drawingml/2006/chart">
  <cdr:relSizeAnchor xmlns:cdr="http://schemas.openxmlformats.org/drawingml/2006/chartDrawing">
    <cdr:from>
      <cdr:x>0.00736</cdr:x>
      <cdr:y>0.26378</cdr:y>
    </cdr:from>
    <cdr:to>
      <cdr:x>0.05237</cdr:x>
      <cdr:y>0.542</cdr:y>
    </cdr:to>
    <cdr:sp macro="" textlink="">
      <cdr:nvSpPr>
        <cdr:cNvPr id="3" name="BlokTextu 1"/>
        <cdr:cNvSpPr txBox="1"/>
      </cdr:nvSpPr>
      <cdr:spPr>
        <a:xfrm xmlns:a="http://schemas.openxmlformats.org/drawingml/2006/main">
          <a:off x="42394" y="892632"/>
          <a:ext cx="259233" cy="941496"/>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mil. EUR</a:t>
          </a:r>
        </a:p>
      </cdr:txBody>
    </cdr:sp>
  </cdr:relSizeAnchor>
  <cdr:relSizeAnchor xmlns:cdr="http://schemas.openxmlformats.org/drawingml/2006/chartDrawing">
    <cdr:from>
      <cdr:x>0.95428</cdr:x>
      <cdr:y>0.27758</cdr:y>
    </cdr:from>
    <cdr:to>
      <cdr:x>1</cdr:x>
      <cdr:y>0.47785</cdr:y>
    </cdr:to>
    <cdr:sp macro="" textlink="">
      <cdr:nvSpPr>
        <cdr:cNvPr id="2" name="BlokTextu 1"/>
        <cdr:cNvSpPr txBox="1"/>
      </cdr:nvSpPr>
      <cdr:spPr>
        <a:xfrm xmlns:a="http://schemas.openxmlformats.org/drawingml/2006/main">
          <a:off x="5617846" y="699770"/>
          <a:ext cx="269154" cy="504866"/>
        </a:xfrm>
        <a:prstGeom xmlns:a="http://schemas.openxmlformats.org/drawingml/2006/main" prst="rect">
          <a:avLst/>
        </a:prstGeom>
      </cdr:spPr>
      <cdr:txBody>
        <a:bodyPr xmlns:a="http://schemas.openxmlformats.org/drawingml/2006/main" vertOverflow="clip" vert="vert270" wrap="square" rtlCol="0"/>
        <a:lstStyle xmlns:a="http://schemas.openxmlformats.org/drawingml/2006/main"/>
        <a:p xmlns:a="http://schemas.openxmlformats.org/drawingml/2006/main">
          <a:r>
            <a:rPr lang="sk-SK" sz="800">
              <a:latin typeface="Arial Narrow" panose="020B0606020202030204" pitchFamily="34" charset="0"/>
            </a:rPr>
            <a:t>% HDP</a:t>
          </a:r>
        </a:p>
        <a:p xmlns:a="http://schemas.openxmlformats.org/drawingml/2006/main">
          <a:endParaRPr lang="sk-SK" sz="850">
            <a:latin typeface="Arial Narrow" panose="020B0606020202030204"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cdr:x>
      <cdr:y>0.20673</cdr:y>
    </cdr:from>
    <cdr:to>
      <cdr:x>0.03749</cdr:x>
      <cdr:y>0.54788</cdr:y>
    </cdr:to>
    <cdr:sp macro="" textlink="">
      <cdr:nvSpPr>
        <cdr:cNvPr id="3" name="BlokTextu 1"/>
        <cdr:cNvSpPr txBox="1"/>
      </cdr:nvSpPr>
      <cdr:spPr>
        <a:xfrm xmlns:a="http://schemas.openxmlformats.org/drawingml/2006/main">
          <a:off x="0" y="668492"/>
          <a:ext cx="222716" cy="1103158"/>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mil. EUR</a:t>
          </a:r>
        </a:p>
      </cdr:txBody>
    </cdr:sp>
  </cdr:relSizeAnchor>
  <cdr:relSizeAnchor xmlns:cdr="http://schemas.openxmlformats.org/drawingml/2006/chartDrawing">
    <cdr:from>
      <cdr:x>0.94651</cdr:x>
      <cdr:y>0.22997</cdr:y>
    </cdr:from>
    <cdr:to>
      <cdr:x>0.99847</cdr:x>
      <cdr:y>0.40373</cdr:y>
    </cdr:to>
    <cdr:sp macro="" textlink="">
      <cdr:nvSpPr>
        <cdr:cNvPr id="4" name="BlokTextu 3"/>
        <cdr:cNvSpPr txBox="1"/>
      </cdr:nvSpPr>
      <cdr:spPr>
        <a:xfrm xmlns:a="http://schemas.openxmlformats.org/drawingml/2006/main">
          <a:off x="5793564" y="701675"/>
          <a:ext cx="318046" cy="530176"/>
        </a:xfrm>
        <a:prstGeom xmlns:a="http://schemas.openxmlformats.org/drawingml/2006/main" prst="rect">
          <a:avLst/>
        </a:prstGeom>
      </cdr:spPr>
      <cdr:txBody>
        <a:bodyPr xmlns:a="http://schemas.openxmlformats.org/drawingml/2006/main" vertOverflow="clip" vert="vert270" wrap="square" rtlCol="0"/>
        <a:lstStyle xmlns:a="http://schemas.openxmlformats.org/drawingml/2006/main"/>
        <a:p xmlns:a="http://schemas.openxmlformats.org/drawingml/2006/main">
          <a:r>
            <a:rPr lang="sk-SK" sz="800">
              <a:latin typeface="Arial Narrow" panose="020B0606020202030204" pitchFamily="34" charset="0"/>
            </a:rPr>
            <a:t>% HDP</a:t>
          </a:r>
        </a:p>
      </cdr:txBody>
    </cdr:sp>
  </cdr:relSizeAnchor>
</c:userShapes>
</file>

<file path=word/drawings/drawing7.xml><?xml version="1.0" encoding="utf-8"?>
<c:userShapes xmlns:c="http://schemas.openxmlformats.org/drawingml/2006/chart">
  <cdr:relSizeAnchor xmlns:cdr="http://schemas.openxmlformats.org/drawingml/2006/chartDrawing">
    <cdr:from>
      <cdr:x>0.00051</cdr:x>
      <cdr:y>0.19033</cdr:y>
    </cdr:from>
    <cdr:to>
      <cdr:x>0.06</cdr:x>
      <cdr:y>0.47889</cdr:y>
    </cdr:to>
    <cdr:sp macro="" textlink="">
      <cdr:nvSpPr>
        <cdr:cNvPr id="2" name="BlokTextu 1"/>
        <cdr:cNvSpPr txBox="1"/>
      </cdr:nvSpPr>
      <cdr:spPr>
        <a:xfrm xmlns:a="http://schemas.openxmlformats.org/drawingml/2006/main">
          <a:off x="3029" y="673101"/>
          <a:ext cx="353371" cy="1020494"/>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mil. EUR</a:t>
          </a:r>
        </a:p>
      </cdr:txBody>
    </cdr:sp>
  </cdr:relSizeAnchor>
  <cdr:relSizeAnchor xmlns:cdr="http://schemas.openxmlformats.org/drawingml/2006/chartDrawing">
    <cdr:from>
      <cdr:x>0.95122</cdr:x>
      <cdr:y>0.33073</cdr:y>
    </cdr:from>
    <cdr:to>
      <cdr:x>0.99265</cdr:x>
      <cdr:y>0.51068</cdr:y>
    </cdr:to>
    <cdr:sp macro="" textlink="">
      <cdr:nvSpPr>
        <cdr:cNvPr id="3" name="BlokTextu 2"/>
        <cdr:cNvSpPr txBox="1"/>
      </cdr:nvSpPr>
      <cdr:spPr>
        <a:xfrm xmlns:a="http://schemas.openxmlformats.org/drawingml/2006/main">
          <a:off x="5650230" y="825773"/>
          <a:ext cx="246116" cy="449305"/>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vert="vert270" wrap="square" rtlCol="0"/>
        <a:lstStyle xmlns:a="http://schemas.openxmlformats.org/drawingml/2006/main"/>
        <a:p xmlns:a="http://schemas.openxmlformats.org/drawingml/2006/main">
          <a:r>
            <a:rPr lang="sk-SK" sz="800">
              <a:latin typeface="Arial Narrow" panose="020B0606020202030204" pitchFamily="34" charset="0"/>
            </a:rPr>
            <a:t>% HDP</a:t>
          </a:r>
        </a:p>
      </cdr:txBody>
    </cdr:sp>
  </cdr:relSizeAnchor>
</c:userShapes>
</file>

<file path=word/drawings/drawing8.xml><?xml version="1.0" encoding="utf-8"?>
<c:userShapes xmlns:c="http://schemas.openxmlformats.org/drawingml/2006/chart">
  <cdr:relSizeAnchor xmlns:cdr="http://schemas.openxmlformats.org/drawingml/2006/chartDrawing">
    <cdr:from>
      <cdr:x>1.76152E-7</cdr:x>
      <cdr:y>0.29238</cdr:y>
    </cdr:from>
    <cdr:to>
      <cdr:x>0.03356</cdr:x>
      <cdr:y>0.5424</cdr:y>
    </cdr:to>
    <cdr:sp macro="" textlink="">
      <cdr:nvSpPr>
        <cdr:cNvPr id="2" name="BlokTextu 1"/>
        <cdr:cNvSpPr txBox="1"/>
      </cdr:nvSpPr>
      <cdr:spPr>
        <a:xfrm xmlns:a="http://schemas.openxmlformats.org/drawingml/2006/main">
          <a:off x="1" y="755650"/>
          <a:ext cx="190499" cy="646156"/>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mil. EUR</a:t>
          </a:r>
        </a:p>
      </cdr:txBody>
    </cdr:sp>
  </cdr:relSizeAnchor>
  <cdr:relSizeAnchor xmlns:cdr="http://schemas.openxmlformats.org/drawingml/2006/chartDrawing">
    <cdr:from>
      <cdr:x>0.94816</cdr:x>
      <cdr:y>0.2731</cdr:y>
    </cdr:from>
    <cdr:to>
      <cdr:x>0.98008</cdr:x>
      <cdr:y>0.492</cdr:y>
    </cdr:to>
    <cdr:sp macro="" textlink="">
      <cdr:nvSpPr>
        <cdr:cNvPr id="3" name="BlokTextu 2"/>
        <cdr:cNvSpPr txBox="1"/>
      </cdr:nvSpPr>
      <cdr:spPr>
        <a:xfrm xmlns:a="http://schemas.openxmlformats.org/drawingml/2006/main">
          <a:off x="5440409" y="671830"/>
          <a:ext cx="183151" cy="538480"/>
        </a:xfrm>
        <a:prstGeom xmlns:a="http://schemas.openxmlformats.org/drawingml/2006/main" prst="rect">
          <a:avLst/>
        </a:prstGeom>
      </cdr:spPr>
      <cdr:txBody>
        <a:bodyPr xmlns:a="http://schemas.openxmlformats.org/drawingml/2006/main" vertOverflow="clip" vert="vert270" wrap="square" rtlCol="0"/>
        <a:lstStyle xmlns:a="http://schemas.openxmlformats.org/drawingml/2006/main"/>
        <a:p xmlns:a="http://schemas.openxmlformats.org/drawingml/2006/main">
          <a:r>
            <a:rPr lang="sk-SK" sz="800">
              <a:latin typeface="Arial Narrow" panose="020B0606020202030204" pitchFamily="34" charset="0"/>
            </a:rPr>
            <a:t>% HDP</a:t>
          </a:r>
        </a:p>
      </cdr:txBody>
    </cdr:sp>
  </cdr:relSizeAnchor>
</c:userShapes>
</file>

<file path=word/drawings/drawing9.xml><?xml version="1.0" encoding="utf-8"?>
<c:userShapes xmlns:c="http://schemas.openxmlformats.org/drawingml/2006/chart">
  <cdr:relSizeAnchor xmlns:cdr="http://schemas.openxmlformats.org/drawingml/2006/chartDrawing">
    <cdr:from>
      <cdr:x>1.6618E-7</cdr:x>
      <cdr:y>0.2845</cdr:y>
    </cdr:from>
    <cdr:to>
      <cdr:x>0.04357</cdr:x>
      <cdr:y>0.57988</cdr:y>
    </cdr:to>
    <cdr:sp macro="" textlink="">
      <cdr:nvSpPr>
        <cdr:cNvPr id="2" name="BlokTextu 1"/>
        <cdr:cNvSpPr txBox="1"/>
      </cdr:nvSpPr>
      <cdr:spPr>
        <a:xfrm xmlns:a="http://schemas.openxmlformats.org/drawingml/2006/main">
          <a:off x="1" y="763269"/>
          <a:ext cx="262185" cy="792481"/>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mil. EUR</a:t>
          </a:r>
        </a:p>
      </cdr:txBody>
    </cdr:sp>
  </cdr:relSizeAnchor>
  <cdr:relSizeAnchor xmlns:cdr="http://schemas.openxmlformats.org/drawingml/2006/chartDrawing">
    <cdr:from>
      <cdr:x>0.9567</cdr:x>
      <cdr:y>0.24663</cdr:y>
    </cdr:from>
    <cdr:to>
      <cdr:x>0.9984</cdr:x>
      <cdr:y>0.39546</cdr:y>
    </cdr:to>
    <cdr:sp macro="" textlink="">
      <cdr:nvSpPr>
        <cdr:cNvPr id="4" name="BlokTextu 1"/>
        <cdr:cNvSpPr txBox="1"/>
      </cdr:nvSpPr>
      <cdr:spPr>
        <a:xfrm xmlns:a="http://schemas.openxmlformats.org/drawingml/2006/main">
          <a:off x="5757018" y="661670"/>
          <a:ext cx="250933" cy="399300"/>
        </a:xfrm>
        <a:prstGeom xmlns:a="http://schemas.openxmlformats.org/drawingml/2006/main" prst="rect">
          <a:avLst/>
        </a:prstGeom>
      </cdr:spPr>
      <cdr:txBody>
        <a:bodyPr xmlns:a="http://schemas.openxmlformats.org/drawingml/2006/main" vert="vert270"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sk-SK" sz="800">
              <a:latin typeface="Arial Narrow" panose="020B0606020202030204" pitchFamily="34" charset="0"/>
            </a:rPr>
            <a:t>% HDP</a:t>
          </a:r>
        </a:p>
      </cdr:txBody>
    </cdr:sp>
  </cdr:relSizeAnchor>
</c:userShape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65BC4-FDD0-490D-A8B0-FFD727439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SO_2010-2011_2013</Template>
  <TotalTime>470</TotalTime>
  <Pages>27</Pages>
  <Words>9511</Words>
  <Characters>54214</Characters>
  <Application>Microsoft Office Word</Application>
  <DocSecurity>0</DocSecurity>
  <Lines>451</Lines>
  <Paragraphs>127</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SOCIÁLNA OCHRANA (ESSPROS)</vt:lpstr>
      <vt:lpstr>SOCIÁLNA OCHRANA (ESSPROS)</vt:lpstr>
      <vt:lpstr>SOCIÁLNA OCHRANA (ESSPROS)</vt:lpstr>
    </vt:vector>
  </TitlesOfParts>
  <Company>Štatistický úrad SR</Company>
  <LinksUpToDate>false</LinksUpToDate>
  <CharactersWithSpaces>63598</CharactersWithSpaces>
  <SharedDoc>false</SharedDoc>
  <HLinks>
    <vt:vector size="240" baseType="variant">
      <vt:variant>
        <vt:i4>3014716</vt:i4>
      </vt:variant>
      <vt:variant>
        <vt:i4>156</vt:i4>
      </vt:variant>
      <vt:variant>
        <vt:i4>0</vt:i4>
      </vt:variant>
      <vt:variant>
        <vt:i4>5</vt:i4>
      </vt:variant>
      <vt:variant>
        <vt:lpwstr>http://www.ssds.sk/casopis/archiv/2013/fss0313.pdf</vt:lpwstr>
      </vt:variant>
      <vt:variant>
        <vt:lpwstr/>
      </vt:variant>
      <vt:variant>
        <vt:i4>2621500</vt:i4>
      </vt:variant>
      <vt:variant>
        <vt:i4>153</vt:i4>
      </vt:variant>
      <vt:variant>
        <vt:i4>0</vt:i4>
      </vt:variant>
      <vt:variant>
        <vt:i4>5</vt:i4>
      </vt:variant>
      <vt:variant>
        <vt:lpwstr>http://www.ssds.sk/casopis/archiv/2012/fss0512.pdf</vt:lpwstr>
      </vt:variant>
      <vt:variant>
        <vt:lpwstr/>
      </vt:variant>
      <vt:variant>
        <vt:i4>2883644</vt:i4>
      </vt:variant>
      <vt:variant>
        <vt:i4>150</vt:i4>
      </vt:variant>
      <vt:variant>
        <vt:i4>0</vt:i4>
      </vt:variant>
      <vt:variant>
        <vt:i4>5</vt:i4>
      </vt:variant>
      <vt:variant>
        <vt:lpwstr>http://www.ssds.sk/casopis/archiv/2011/fss0111.pdf</vt:lpwstr>
      </vt:variant>
      <vt:variant>
        <vt:lpwstr/>
      </vt:variant>
      <vt:variant>
        <vt:i4>2818108</vt:i4>
      </vt:variant>
      <vt:variant>
        <vt:i4>147</vt:i4>
      </vt:variant>
      <vt:variant>
        <vt:i4>0</vt:i4>
      </vt:variant>
      <vt:variant>
        <vt:i4>5</vt:i4>
      </vt:variant>
      <vt:variant>
        <vt:lpwstr>http://www.ssds.sk/casopis/archiv/2011/fss0611.pdf</vt:lpwstr>
      </vt:variant>
      <vt:variant>
        <vt:lpwstr/>
      </vt:variant>
      <vt:variant>
        <vt:i4>3866629</vt:i4>
      </vt:variant>
      <vt:variant>
        <vt:i4>144</vt:i4>
      </vt:variant>
      <vt:variant>
        <vt:i4>0</vt:i4>
      </vt:variant>
      <vt:variant>
        <vt:i4>5</vt:i4>
      </vt:variant>
      <vt:variant>
        <vt:lpwstr>http://www.susr.sk/wps/portal/!ut/p/b1/hZLZcrJAEIWfxQcwNMuwXLIFRxgiMIPCDRUE_FUWFQLi08fkv07SV91VX3ed03W4lNtxafs-Hg_vw7Fr3-uvOZWzQMGqYfA6gIIswGtmBU6k8SABt-V2NJkVq8eTpZvZ5UpiX4xLjLIwP6OjUOvdOXSD5aq_rltKxZ1xZayXyw8hbw6Feu-TfLZeD9U-VgR6jp3KKi5vyyp7eFd7uSeGrZZHy7TCe36Yg2Tw12v_RtADxdt58HC5gb6-ovp-HOzUwNDoQ0MkzEuS_TBjRCTkHsqszZE-bGTA_eJpKHkagh9Kh7_8_t83HX0lKR6A6jkIsL5ioRaIIuji3_9Kv5HfLnwDv0n8BvQgCCIvjsGJhVfAIu-AzxhAqPwBUJlLnoDyo0xX4Ci3AymLTvMFP86P8AQTEBu55LTnwWIzscXIp68eKUye2AIPNk8Iq31q-T69hSQqvE0Rh8zQDS_EAXBrLj3mzcu0b17ghRdURZYEXlI1QXz2XEyTm2d1eLKfEfq3J2V0L3u2mSLNS7XQuLiREMTPCOVUSD7OaotZIbVoZI7pncbyLhI2fKi6gTxqjIdl372BYdNW7leD1dzpPFWbR52cOivNrWDdqjfNP61IahO0QWO7rKaRxmO3lPuvfJnuLjSxWBu1gLpxe2EptE7Kx5q-LeosgwXnr7qm5C7N6HpyaFd-5Uv6YvEJzgRhDQ!!/dl4/d5/L0lDUmlTUSEhL3dHa0FKRnNBLzRKVXFDQSEhL2Vu/</vt:lpwstr>
      </vt:variant>
      <vt:variant>
        <vt:lpwstr/>
      </vt:variant>
      <vt:variant>
        <vt:i4>4784230</vt:i4>
      </vt:variant>
      <vt:variant>
        <vt:i4>141</vt:i4>
      </vt:variant>
      <vt:variant>
        <vt:i4>0</vt:i4>
      </vt:variant>
      <vt:variant>
        <vt:i4>5</vt:i4>
      </vt:variant>
      <vt:variant>
        <vt:lpwstr>http://www.susr.sk/wps/portal/!ut/p/b1/hZHJkqJAFEW_pT4ASYZkWAJJaSJJCSQobAgRpFEGFWT6-qY6elvdb3VfxIm4ceKyMXti4-Y8lMW5L9vmXH3_sZS4MlZ0ndMAkCEC2AqQu_VVDoiAPbInGs0y6vCINCN5PEnoCGGOYeKld1jyldbevb3L7Lqn1VAqnPRnEHRS_ubTusiUqYvSGX0W10so8_Qebq8oe3wx12SxnyZzIbqp5CUykDelxexGvWNZzovABYbHubdxfgBd9YTVVPZmrGNQa31NRMyJorkYISQi3Bd50qRQ6w8SwN3HKhStQuCH08D_feM_iLHVdqJsA6DYWwiwtgs81RUEoAl_gX9URCsg_1iy51nKnoCY-Lf5gZf74t3ACIgJ9-R24QAKZmIKvkM_bZIZHDF5DpgcIUHlUOQ49OURP7MPWegFuqbbHnYBa7Fxmdab8VJvwIbjFVkSeU5UVF5YMxvS6GWjFo_mOuCvC8n9Ke-Cw-irdqx6-mPv8264DphSPnrflQYHmdjAIdga9m3IJ4EE_VvRdGhTfSiYrv0Cukkbqdv1qJ7oPF4PSxXdWhSnyLUa5aU6tx2JTQIPcGiY6zjQcGgZqfte19ifPAMLlV7xsB2OjyAGzTbmQlU7ZlWSgA_W2bV1zj7qwZY8hVOE4uM3N0Mrlg!!/dl4/d5/L2dBISEvZ0FBIS9nQSEh/D:/Users/petras/Documents/Príloha2010.dot</vt:lpwstr>
      </vt:variant>
      <vt:variant>
        <vt:lpwstr/>
      </vt:variant>
      <vt:variant>
        <vt:i4>1572950</vt:i4>
      </vt:variant>
      <vt:variant>
        <vt:i4>138</vt:i4>
      </vt:variant>
      <vt:variant>
        <vt:i4>0</vt:i4>
      </vt:variant>
      <vt:variant>
        <vt:i4>5</vt:i4>
      </vt:variant>
      <vt:variant>
        <vt:lpwstr>http://www.susr.sk/wps/portal/!ut/p/b1/hY9JsqJAAETP4gH4VAEyLJmUuSkBGTYGCiqToCAUdfpvd_T2d-cqM-JFZDw6oxM6e-Rzdcunqn_k7e-d8SckmKKiQBkAYasB04o0tA8kCDhAx3QSpljRRvOmy8oVUO5efaCkJnw9B6wzjNHTq7qcMt6WxYlkTXFGVBsaMSAio175EnmTLDClfRSYY2drcybl03g6celUzuiOYJCbbtiYYdOJZosCx8-baDkZAmZ-uVN-XVHb4eZhVAVWzeA9kUZP3XPZvJ7ObulHUpNKuPY7R4FqsGw2H6H0IwR-iAz-75v9QdS9bHCCA4Do7LfAlI3oICGWBTL7F_jHRfoBhB9PbIYO6QRwp6BeB5M05FATRMIQgTBMV0Ai1iXO0Ysa7BY7L9QQgSRiQhKvns4xHmhdb3L84niIFFmbdHcX0hadVefua7l0X-ALMqLAcwzkRIlhP50-hpfB03pz0XXtPgpqmpVtPwZxqXgszFbTG4JoiV-VhK1YaLeFr80mdiuJRa6S53guWL9fZWpL1vt8G4dU3qv47N9TVVIjkmVnP6GWURG1yqtHe30W1BujB0-5g49nXPjLtYLDAFFyaITOej0K-22PENVdPec7udT0dc5enYqXqp0uG9oz-q6kh252-IMIRfa2-QYdEcMz/dl4/d5/L2dBISEvZ0FBIS9nQSEh/</vt:lpwstr>
      </vt:variant>
      <vt:variant>
        <vt:lpwstr/>
      </vt:variant>
      <vt:variant>
        <vt:i4>8126539</vt:i4>
      </vt:variant>
      <vt:variant>
        <vt:i4>135</vt:i4>
      </vt:variant>
      <vt:variant>
        <vt:i4>0</vt:i4>
      </vt:variant>
      <vt:variant>
        <vt:i4>5</vt:i4>
      </vt:variant>
      <vt:variant>
        <vt:lpwstr>http://slovak.statistics.sk/wps/portal/ext/themes/demography/social/publications/!ut/p/b1/jZDLDoIwEEW_xS_opZTXsqCUGoI8rCIbw8IYjIAL4_cLBDcmVGc3mXMyd4ZUpCRVV7-aa_1s-q6-j31lnzNHur5vcLiWA8ikUMChAGI6AKcBwEJxfPlJvoHc81TkW2aAWbOvAUY_LFLKPSaCdb4Lh3FA3SK2KWDMfiB4xJwYcGNhQfJI5V5mmuDmf_k1C374R1JNiC7BBOhepF_yAZZCCvsHMFyRRH17IY9WKVWikTe2egOmflqs/dl4/d5/L2dJQSEvUUt3QS80SmtFL1o2X1E3SThCQjFBMDg1NzAwSU5TVTAwVlMwME4w/</vt:lpwstr>
      </vt:variant>
      <vt:variant>
        <vt:lpwstr/>
      </vt:variant>
      <vt:variant>
        <vt:i4>2097164</vt:i4>
      </vt:variant>
      <vt:variant>
        <vt:i4>132</vt:i4>
      </vt:variant>
      <vt:variant>
        <vt:i4>0</vt:i4>
      </vt:variant>
      <vt:variant>
        <vt:i4>5</vt:i4>
      </vt:variant>
      <vt:variant>
        <vt:lpwstr>http://www.susr.sk/wps/portal/a3bbc288-f92c-4bc2-a8d0-79c5ba7d4c77/!ut/p/b1/jZLbcqJAEIafxQcwNANyuETOCiPDAAI3KRQFEdDEKMrTL2azF9mt6PbVTPX3V_99YFImZtI2u-yK7GN3aLP6_k-FVyLa0nTKKgDiRAN7FmrEpDILPAxAMgDwQyjwXS9hXwc7UDzTn_GDfvKlfwDc9Qb1kCLzpqr5C2NIq0iijoAA2C-9aioWLzoAkmNOwFas0JcJx4HC_Z__BwW--5-IADamIUBEARz0j_-_AHiox8AsmbhKOlE7uYWuRB4R66ycount2mtim8RJ6UmEzKzbGWmxU7syyvaboCpn1gXna8MXEtdxIpXCpd1jmlFzFoxrQwtkJByS66qynM60ZZXTNlSaVhe7kFohfusN-Xg9apUQLhZSTLeEf_2IzuKFk5RwNyvhNHrWF3o21yWTfiKPNvMJPDqdx8P_A_y0PFN4Aty3-wkohBDqRBGYERoAjjUBh0MZX3wCBAKDrUOzYZIBE3-cxxwxARMD_0qr29Hu971fQQfB_jjH7_MOdNRj_X2JiXnLffcjLK7QUxQEqUv7CLv7E4fl2M0NP5wiw5l3ZDRiZky6WzUv3bp5gRcWSaLAI5aXZMQNbyaqEv73Tem-R6BWqp23EnKnVWxBTNe6ikiim5x8tq60pov6jK23DAt27MApFKG7nZfc6pq1ddEY5bqWm3bSuPNl0WBfIzpBgal1aYAcvjyyeo_8oc3eCwVrm7VJcFAv-6Zg8ZWTtEhYdll9GudlfDs3ZPGeZpKwVZsD1ll8AD5HRT_f5-9h3WDbt1yvz03qTPduSIrbBLbFuPSyzZYdbwuF9fLlShl6PzbhPS6O4Ou-vtXiXhn9Ap_jYF0!/dl4/d5/L0lDUmlTUSEhL3dHa0FKRnNBLzRKVXFDQSEhL2Vu/</vt:lpwstr>
      </vt:variant>
      <vt:variant>
        <vt:lpwstr/>
      </vt:variant>
      <vt:variant>
        <vt:i4>3342440</vt:i4>
      </vt:variant>
      <vt:variant>
        <vt:i4>129</vt:i4>
      </vt:variant>
      <vt:variant>
        <vt:i4>0</vt:i4>
      </vt:variant>
      <vt:variant>
        <vt:i4>5</vt:i4>
      </vt:variant>
      <vt:variant>
        <vt:lpwstr>http://www.susr.sk/wps/portal/a3bbc288-f92c-4bc2-a8d0-79c5ba7d4c77/!ut/p/b1/hZLLdqJAEIafJQ9gKBpsYIncFVqgQYFNDoqC3DQaRXn6wUyymMyJ1qq7-vtP1d9VTMJETNKml12efuz2bVrf7wl-8wRLnExYGUAYq2BNQ9UzqMQCDwMQDwD8EjL8qxeJr4EVyK7hT_lBP_7SPwDuep26SJZ4Q1H9uT48K0ikNkYA7JdeMWSTF2wA0TbGYMlm6Esex4HM_ag_FgAsQkOABQUg3_0_KPBIb6P_-v8BwLP6SyYq405QT06uyQvXE-q0mKDJ7dqrQhtHceGKnjc1b2ekRnbtSCitNkFZTM0Lyda6j2PHthcKhUtbEZpSYxqMal0NJIT38XVVmnZnWJLCqRsqTsqLlYstjt57XTpcD2qJw_lcjOjW498-FmfhwolyuJsWcHp55gs924slk3wijybzCTxancef_w38NjwDPwGG6RJz32yYeMCEX93MEBMwEfBvtLwdrL7q_RI6CKrDjBxnHWioJ9pxSTzjlvnOR5hfoacoCBKH9gviVCeOSJGT6X44Qbo967yXF2bKJLtV89qtm1d4ZZEoYB6xvCghbjgzizLm_26E5rse1HK5c1c4s1vZwkKy1hTkxZrBSWfzSms6r8_EfE8JtiIbTqEA3e285FbXtK3zRi_WtdS048aZLfOG-KqneSgw1C4JkM0XB1brkT_Y7N0Qm9u0jYO9cqmanCVXTlQXeNml9WmUFdHt3HjzY5KKeKs0e6KxZA98hvJ-VmXHsG6I5ZuO22cGtSeVE3r5bQzbfFS46WbLjra5zLrZciUP3g9NeI-LjX3NF8nWGZJ_AIukZRg!/dl4/d5/L2dBISEvZ0FBIS9nQSEh/</vt:lpwstr>
      </vt:variant>
      <vt:variant>
        <vt:lpwstr/>
      </vt:variant>
      <vt:variant>
        <vt:i4>6094914</vt:i4>
      </vt:variant>
      <vt:variant>
        <vt:i4>126</vt:i4>
      </vt:variant>
      <vt:variant>
        <vt:i4>0</vt:i4>
      </vt:variant>
      <vt:variant>
        <vt:i4>5</vt:i4>
      </vt:variant>
      <vt:variant>
        <vt:lpwstr>http://www.employment.gov.sk/en/analyses-statistics/</vt:lpwstr>
      </vt:variant>
      <vt:variant>
        <vt:lpwstr/>
      </vt:variant>
      <vt:variant>
        <vt:i4>5832795</vt:i4>
      </vt:variant>
      <vt:variant>
        <vt:i4>123</vt:i4>
      </vt:variant>
      <vt:variant>
        <vt:i4>0</vt:i4>
      </vt:variant>
      <vt:variant>
        <vt:i4>5</vt:i4>
      </vt:variant>
      <vt:variant>
        <vt:lpwstr>http://www.employment.gov.sk/sk/ministerstvo/vyskum-oblasti-prace-socialnych-veci-analyticke-centrum/spravy-socialnej-situacii-obyvatelstva-slovenskej-republiky.html</vt:lpwstr>
      </vt:variant>
      <vt:variant>
        <vt:lpwstr/>
      </vt:variant>
      <vt:variant>
        <vt:i4>5374051</vt:i4>
      </vt:variant>
      <vt:variant>
        <vt:i4>120</vt:i4>
      </vt:variant>
      <vt:variant>
        <vt:i4>0</vt:i4>
      </vt:variant>
      <vt:variant>
        <vt:i4>5</vt:i4>
      </vt:variant>
      <vt:variant>
        <vt:lpwstr>http://slovak.statistics.sk/wps/portal/99364213-12fa-4da9-a6c6-0499458e8946/!ut/p/b1/hZLJkqowFIafpR_AJmF2ySSCEEwgIGwsGdpmdBbh6S_d5eYuWs8qqfq-OjnnD5MwGybpdvdyv7uWh27X_NwTcYslS1ZVqAAgCTqwbKpj059DwIMJiCcA_FEK-N-XETGAFShrk9j85AtP_wXw4ysYY98JQ2CG7AJYHDQBohSAQHz6mqkseckBQHZMAVjKkpI55jigcC99Ij39Fw1e-arIRMwG8Fu_AmdvNdSHIdfWob7pg-HojUhB8yaGmvaNhkvnBvXoBQsKV9rVc7L2RtTd46pj1h2NAaEYIuPoQD20_TSgQUAcdHWh60ytdBP6TtQjfRmowjGr7bJoj_aus9tCncVNIqYH8lg1aJ6Vw8NQZgfV7fDHx5vZVPFdthGT_CKvtvsLvIr_XYBoeWgLJp4w6c-3rFgmeO55OFpjPZJK8qe9xKMbWABWFPj1nSLa2FdEEDIuLBhpf0kxcNPQuqYKcPP1Og8JVRXN61gMGJtJyrT97LP2E3xCVpZEnoW8PGe56cyEVcxvdd7qFy7eBtmXr0KicUkPQYYXLBEb1Vh96xtuEOY3JzgIbi41mdQVpbGaRYMtJ-6ijOzidLJy-xY7ipfve3frkZNaUR_cYqTMoOmWni23eWTsI714RL2Qyee9XEiXhl3frrc0G3Wabmc2beu2Hqsmy619M9JTdew8zygbQau5W7JKvGVycMNNf046NizkFp_v50bE86DaG3Rzqpsur3hAHpp579gZ1ZcNtr766X8cWzrV3RHJsody__EPT-tDBw!!/dl4/d5/L2dBISEvZ0FBIS9nQSEh/</vt:lpwstr>
      </vt:variant>
      <vt:variant>
        <vt:lpwstr/>
      </vt:variant>
      <vt:variant>
        <vt:i4>589884</vt:i4>
      </vt:variant>
      <vt:variant>
        <vt:i4>117</vt:i4>
      </vt:variant>
      <vt:variant>
        <vt:i4>0</vt:i4>
      </vt:variant>
      <vt:variant>
        <vt:i4>5</vt:i4>
      </vt:variant>
      <vt:variant>
        <vt:lpwstr>http://epp.eurostat.ec.europa.eu/cache/ITY_OFFPUB/KS-SF-08-046/EN/KS-SF-08-046-EN.PDF</vt:lpwstr>
      </vt:variant>
      <vt:variant>
        <vt:lpwstr/>
      </vt:variant>
      <vt:variant>
        <vt:i4>5570639</vt:i4>
      </vt:variant>
      <vt:variant>
        <vt:i4>114</vt:i4>
      </vt:variant>
      <vt:variant>
        <vt:i4>0</vt:i4>
      </vt:variant>
      <vt:variant>
        <vt:i4>5</vt:i4>
      </vt:variant>
      <vt:variant>
        <vt:lpwstr>http://www.oecd.org/officialdocuments/publicdisplaydocumentpdf/?cote=DELSA/ELSA/WD/SEM(2011)9&amp;docLanguage=En</vt:lpwstr>
      </vt:variant>
      <vt:variant>
        <vt:lpwstr/>
      </vt:variant>
      <vt:variant>
        <vt:i4>589884</vt:i4>
      </vt:variant>
      <vt:variant>
        <vt:i4>111</vt:i4>
      </vt:variant>
      <vt:variant>
        <vt:i4>0</vt:i4>
      </vt:variant>
      <vt:variant>
        <vt:i4>5</vt:i4>
      </vt:variant>
      <vt:variant>
        <vt:lpwstr>http://epp.eurostat.ec.europa.eu/cache/ITY_OFFPUB/KS-SF-09-102/EN/KS-SF-09-102-EN.PDF</vt:lpwstr>
      </vt:variant>
      <vt:variant>
        <vt:lpwstr/>
      </vt:variant>
      <vt:variant>
        <vt:i4>589884</vt:i4>
      </vt:variant>
      <vt:variant>
        <vt:i4>108</vt:i4>
      </vt:variant>
      <vt:variant>
        <vt:i4>0</vt:i4>
      </vt:variant>
      <vt:variant>
        <vt:i4>5</vt:i4>
      </vt:variant>
      <vt:variant>
        <vt:lpwstr>http://epp.eurostat.ec.europa.eu/cache/ITY_OFFPUB/KS-SF-11-017/EN/KS-SF-11-017-EN.PDF</vt:lpwstr>
      </vt:variant>
      <vt:variant>
        <vt:lpwstr/>
      </vt:variant>
      <vt:variant>
        <vt:i4>589884</vt:i4>
      </vt:variant>
      <vt:variant>
        <vt:i4>105</vt:i4>
      </vt:variant>
      <vt:variant>
        <vt:i4>0</vt:i4>
      </vt:variant>
      <vt:variant>
        <vt:i4>5</vt:i4>
      </vt:variant>
      <vt:variant>
        <vt:lpwstr>http://epp.eurostat.ec.europa.eu/cache/ITY_OFFPUB/KS-RA-11-014/EN/KS-RA-11-014-EN.PDF</vt:lpwstr>
      </vt:variant>
      <vt:variant>
        <vt:lpwstr/>
      </vt:variant>
      <vt:variant>
        <vt:i4>4784220</vt:i4>
      </vt:variant>
      <vt:variant>
        <vt:i4>102</vt:i4>
      </vt:variant>
      <vt:variant>
        <vt:i4>0</vt:i4>
      </vt:variant>
      <vt:variant>
        <vt:i4>5</vt:i4>
      </vt:variant>
      <vt:variant>
        <vt:lpwstr>http://www.ilo.org/global/statistics-and-databases/lang--en/index.htm</vt:lpwstr>
      </vt:variant>
      <vt:variant>
        <vt:lpwstr/>
      </vt:variant>
      <vt:variant>
        <vt:i4>3997783</vt:i4>
      </vt:variant>
      <vt:variant>
        <vt:i4>99</vt:i4>
      </vt:variant>
      <vt:variant>
        <vt:i4>0</vt:i4>
      </vt:variant>
      <vt:variant>
        <vt:i4>5</vt:i4>
      </vt:variant>
      <vt:variant>
        <vt:lpwstr>http://www.oecd-ilibrary.org/social-issues-migration-health/data/oecd-social-expenditure-statistics_socx-data-en</vt:lpwstr>
      </vt:variant>
      <vt:variant>
        <vt:lpwstr/>
      </vt:variant>
      <vt:variant>
        <vt:i4>7209013</vt:i4>
      </vt:variant>
      <vt:variant>
        <vt:i4>96</vt:i4>
      </vt:variant>
      <vt:variant>
        <vt:i4>0</vt:i4>
      </vt:variant>
      <vt:variant>
        <vt:i4>5</vt:i4>
      </vt:variant>
      <vt:variant>
        <vt:lpwstr>http://ec.europa.eu/social/main.jsp?catId=815&amp;langId=sk</vt:lpwstr>
      </vt:variant>
      <vt:variant>
        <vt:lpwstr/>
      </vt:variant>
      <vt:variant>
        <vt:i4>1376347</vt:i4>
      </vt:variant>
      <vt:variant>
        <vt:i4>93</vt:i4>
      </vt:variant>
      <vt:variant>
        <vt:i4>0</vt:i4>
      </vt:variant>
      <vt:variant>
        <vt:i4>5</vt:i4>
      </vt:variant>
      <vt:variant>
        <vt:lpwstr>http://www.missoc.org/MISSOC/INFORMATIONBASE/COMPARATIVETABLES/MISSOCDATABASE/comparativeTableSearch.jsp</vt:lpwstr>
      </vt:variant>
      <vt:variant>
        <vt:lpwstr/>
      </vt:variant>
      <vt:variant>
        <vt:i4>1310802</vt:i4>
      </vt:variant>
      <vt:variant>
        <vt:i4>90</vt:i4>
      </vt:variant>
      <vt:variant>
        <vt:i4>0</vt:i4>
      </vt:variant>
      <vt:variant>
        <vt:i4>5</vt:i4>
      </vt:variant>
      <vt:variant>
        <vt:lpwstr>http://epp.eurostat.ec.europa.eu/statistics_explained/index.php/Social_protection_statistics</vt:lpwstr>
      </vt:variant>
      <vt:variant>
        <vt:lpwstr>Data_sources_and_availability</vt:lpwstr>
      </vt:variant>
      <vt:variant>
        <vt:i4>5963895</vt:i4>
      </vt:variant>
      <vt:variant>
        <vt:i4>87</vt:i4>
      </vt:variant>
      <vt:variant>
        <vt:i4>0</vt:i4>
      </vt:variant>
      <vt:variant>
        <vt:i4>5</vt:i4>
      </vt:variant>
      <vt:variant>
        <vt:lpwstr>http://epp.eurostat.ec.europa.eu/cache/ITY_SDDS/en/spr_esms.htm</vt:lpwstr>
      </vt:variant>
      <vt:variant>
        <vt:lpwstr>meta_update</vt:lpwstr>
      </vt:variant>
      <vt:variant>
        <vt:i4>3080287</vt:i4>
      </vt:variant>
      <vt:variant>
        <vt:i4>84</vt:i4>
      </vt:variant>
      <vt:variant>
        <vt:i4>0</vt:i4>
      </vt:variant>
      <vt:variant>
        <vt:i4>5</vt:i4>
      </vt:variant>
      <vt:variant>
        <vt:lpwstr>http://epp.eurostat.ec.europa.eu/portal/page/portal/social_protection/quality/consolidated_quality_reports</vt:lpwstr>
      </vt:variant>
      <vt:variant>
        <vt:lpwstr/>
      </vt:variant>
      <vt:variant>
        <vt:i4>3801120</vt:i4>
      </vt:variant>
      <vt:variant>
        <vt:i4>81</vt:i4>
      </vt:variant>
      <vt:variant>
        <vt:i4>0</vt:i4>
      </vt:variant>
      <vt:variant>
        <vt:i4>5</vt:i4>
      </vt:variant>
      <vt:variant>
        <vt:lpwstr>http://epp.eurostat.ec.europa.eu/cache/ITY_SDDS/en/spr_esms.htm</vt:lpwstr>
      </vt:variant>
      <vt:variant>
        <vt:lpwstr/>
      </vt:variant>
      <vt:variant>
        <vt:i4>6619195</vt:i4>
      </vt:variant>
      <vt:variant>
        <vt:i4>78</vt:i4>
      </vt:variant>
      <vt:variant>
        <vt:i4>0</vt:i4>
      </vt:variant>
      <vt:variant>
        <vt:i4>5</vt:i4>
      </vt:variant>
      <vt:variant>
        <vt:lpwstr>http://epp.eurostat.ec.europa.eu/portal/page/portal/social_protection/data/qualitative_information</vt:lpwstr>
      </vt:variant>
      <vt:variant>
        <vt:lpwstr/>
      </vt:variant>
      <vt:variant>
        <vt:i4>458781</vt:i4>
      </vt:variant>
      <vt:variant>
        <vt:i4>75</vt:i4>
      </vt:variant>
      <vt:variant>
        <vt:i4>0</vt:i4>
      </vt:variant>
      <vt:variant>
        <vt:i4>5</vt:i4>
      </vt:variant>
      <vt:variant>
        <vt:lpwstr>http://portal.statistics.sk/showdoc.do?docid=3159</vt:lpwstr>
      </vt:variant>
      <vt:variant>
        <vt:lpwstr/>
      </vt:variant>
      <vt:variant>
        <vt:i4>3670060</vt:i4>
      </vt:variant>
      <vt:variant>
        <vt:i4>72</vt:i4>
      </vt:variant>
      <vt:variant>
        <vt:i4>0</vt:i4>
      </vt:variant>
      <vt:variant>
        <vt:i4>5</vt:i4>
      </vt:variant>
      <vt:variant>
        <vt:lpwstr>http://portal.statistics.sk/showdoc.do?docid=96</vt:lpwstr>
      </vt:variant>
      <vt:variant>
        <vt:lpwstr/>
      </vt:variant>
      <vt:variant>
        <vt:i4>458781</vt:i4>
      </vt:variant>
      <vt:variant>
        <vt:i4>69</vt:i4>
      </vt:variant>
      <vt:variant>
        <vt:i4>0</vt:i4>
      </vt:variant>
      <vt:variant>
        <vt:i4>5</vt:i4>
      </vt:variant>
      <vt:variant>
        <vt:lpwstr>http://portal.statistics.sk/showdoc.do?docid=3158</vt:lpwstr>
      </vt:variant>
      <vt:variant>
        <vt:lpwstr/>
      </vt:variant>
      <vt:variant>
        <vt:i4>3670060</vt:i4>
      </vt:variant>
      <vt:variant>
        <vt:i4>66</vt:i4>
      </vt:variant>
      <vt:variant>
        <vt:i4>0</vt:i4>
      </vt:variant>
      <vt:variant>
        <vt:i4>5</vt:i4>
      </vt:variant>
      <vt:variant>
        <vt:lpwstr>http://portal.statistics.sk/showdoc.do?docid=95</vt:lpwstr>
      </vt:variant>
      <vt:variant>
        <vt:lpwstr/>
      </vt:variant>
      <vt:variant>
        <vt:i4>7012381</vt:i4>
      </vt:variant>
      <vt:variant>
        <vt:i4>63</vt:i4>
      </vt:variant>
      <vt:variant>
        <vt:i4>0</vt:i4>
      </vt:variant>
      <vt:variant>
        <vt:i4>5</vt:i4>
      </vt:variant>
      <vt:variant>
        <vt:lpwstr>http://epp.eurostat.ec.europa.eu/portal/page/portal/social_protection/data/database</vt:lpwstr>
      </vt:variant>
      <vt:variant>
        <vt:lpwstr/>
      </vt:variant>
      <vt:variant>
        <vt:i4>131146</vt:i4>
      </vt:variant>
      <vt:variant>
        <vt:i4>0</vt:i4>
      </vt:variant>
      <vt:variant>
        <vt:i4>0</vt:i4>
      </vt:variant>
      <vt:variant>
        <vt:i4>5</vt:i4>
      </vt:variant>
      <vt:variant>
        <vt:lpwstr>http://www.statistics.sk/</vt:lpwstr>
      </vt:variant>
      <vt:variant>
        <vt:lpwstr/>
      </vt:variant>
      <vt:variant>
        <vt:i4>3407909</vt:i4>
      </vt:variant>
      <vt:variant>
        <vt:i4>15</vt:i4>
      </vt:variant>
      <vt:variant>
        <vt:i4>0</vt:i4>
      </vt:variant>
      <vt:variant>
        <vt:i4>5</vt:i4>
      </vt:variant>
      <vt:variant>
        <vt:lpwstr>http://portal.statistics.sk/showdoc.do?docid=40392</vt:lpwstr>
      </vt:variant>
      <vt:variant>
        <vt:lpwstr/>
      </vt:variant>
      <vt:variant>
        <vt:i4>5439499</vt:i4>
      </vt:variant>
      <vt:variant>
        <vt:i4>12</vt:i4>
      </vt:variant>
      <vt:variant>
        <vt:i4>0</vt:i4>
      </vt:variant>
      <vt:variant>
        <vt:i4>5</vt:i4>
      </vt:variant>
      <vt:variant>
        <vt:lpwstr>http://eur-lex.europa.eu/LexUriServ/LexUriServ.do?uri=OJ:L:2011:071:0004:0008:SK:PDF</vt:lpwstr>
      </vt:variant>
      <vt:variant>
        <vt:lpwstr/>
      </vt:variant>
      <vt:variant>
        <vt:i4>5832710</vt:i4>
      </vt:variant>
      <vt:variant>
        <vt:i4>9</vt:i4>
      </vt:variant>
      <vt:variant>
        <vt:i4>0</vt:i4>
      </vt:variant>
      <vt:variant>
        <vt:i4>5</vt:i4>
      </vt:variant>
      <vt:variant>
        <vt:lpwstr>http://eur-lex.europa.eu/LexUriServ/LexUriServ.do?uri=OJ:L:2011:034:0029:0032:SK:PDF</vt:lpwstr>
      </vt:variant>
      <vt:variant>
        <vt:lpwstr/>
      </vt:variant>
      <vt:variant>
        <vt:i4>7405615</vt:i4>
      </vt:variant>
      <vt:variant>
        <vt:i4>6</vt:i4>
      </vt:variant>
      <vt:variant>
        <vt:i4>0</vt:i4>
      </vt:variant>
      <vt:variant>
        <vt:i4>5</vt:i4>
      </vt:variant>
      <vt:variant>
        <vt:lpwstr>http://eur-lex.europa.eu/LexUriServ/LexUriServ.do?uri=OJ:L:2008:005:0003:01:SK:HTML</vt:lpwstr>
      </vt:variant>
      <vt:variant>
        <vt:lpwstr/>
      </vt:variant>
      <vt:variant>
        <vt:i4>8257571</vt:i4>
      </vt:variant>
      <vt:variant>
        <vt:i4>3</vt:i4>
      </vt:variant>
      <vt:variant>
        <vt:i4>0</vt:i4>
      </vt:variant>
      <vt:variant>
        <vt:i4>5</vt:i4>
      </vt:variant>
      <vt:variant>
        <vt:lpwstr>http://eur-lex.europa.eu/LexUriServ/LexUriServ.do?uri=OJ:L:2007:294:0005:01:SK:HTML</vt:lpwstr>
      </vt:variant>
      <vt:variant>
        <vt:lpwstr/>
      </vt:variant>
      <vt:variant>
        <vt:i4>5439502</vt:i4>
      </vt:variant>
      <vt:variant>
        <vt:i4>0</vt:i4>
      </vt:variant>
      <vt:variant>
        <vt:i4>0</vt:i4>
      </vt:variant>
      <vt:variant>
        <vt:i4>5</vt:i4>
      </vt:variant>
      <vt:variant>
        <vt:lpwstr>http://eur-lex.europa.eu/LexUriServ/LexUriServ.do?uri=OJ:L:2007:113:0003:0008:SK:PDF</vt:lpwstr>
      </vt:variant>
      <vt:variant>
        <vt:lpwstr/>
      </vt:variant>
      <vt:variant>
        <vt:i4>2752521</vt:i4>
      </vt:variant>
      <vt:variant>
        <vt:i4>0</vt:i4>
      </vt:variant>
      <vt:variant>
        <vt:i4>0</vt:i4>
      </vt:variant>
      <vt:variant>
        <vt:i4>5</vt:i4>
      </vt:variant>
      <vt:variant>
        <vt:lpwstr>http://www.eudemocrats.org/fileadmin/user_upload/Documents/D-Reader_friendly_latest version.pdf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SOCIÁLNA OCHRANA (ESSPROS)</dc:title>
  <dc:creator>Petrášová Alexandra</dc:creator>
  <cp:keywords>*7*</cp:keywords>
  <cp:lastModifiedBy>Vlačuha Róbert</cp:lastModifiedBy>
  <cp:revision>78</cp:revision>
  <cp:lastPrinted>2021-12-10T12:25:00Z</cp:lastPrinted>
  <dcterms:created xsi:type="dcterms:W3CDTF">2021-12-10T06:56:00Z</dcterms:created>
  <dcterms:modified xsi:type="dcterms:W3CDTF">2021-12-10T15:21:00Z</dcterms:modified>
</cp:coreProperties>
</file>